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E27B1" w14:textId="77777777" w:rsidR="00F0089A" w:rsidRPr="00F0089A" w:rsidRDefault="00F0089A" w:rsidP="00F0089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0089A">
        <w:rPr>
          <w:rFonts w:ascii="Times New Roman" w:eastAsia="Times New Roman" w:hAnsi="Times New Roman" w:cs="Times New Roman"/>
          <w:b/>
          <w:bCs/>
          <w:kern w:val="36"/>
          <w:sz w:val="48"/>
          <w:szCs w:val="48"/>
          <w:lang w:eastAsia="en-AU"/>
        </w:rPr>
        <w:t>Schleft v. Board of Education of the Los Alamos Public Schools, 109 N.M. 271, 784 P.2d 1014 (1989)</w:t>
      </w:r>
    </w:p>
    <w:p w14:paraId="70158BD0" w14:textId="77777777" w:rsidR="00F0089A" w:rsidRPr="00F0089A" w:rsidRDefault="00F0089A" w:rsidP="00F0089A">
      <w:pPr>
        <w:spacing w:after="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Oct. 19, 1989 · Court of Appeals of New Mexico · No. 10170 </w:t>
      </w:r>
    </w:p>
    <w:p w14:paraId="05A19497" w14:textId="77777777" w:rsidR="00F0089A" w:rsidRPr="00F0089A" w:rsidRDefault="00F0089A" w:rsidP="00F0089A">
      <w:pPr>
        <w:spacing w:after="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109 N.M. 271, 784 P.2d 1014 </w:t>
      </w:r>
    </w:p>
    <w:p w14:paraId="22CE193C" w14:textId="77777777" w:rsidR="00F0089A" w:rsidRPr="00F0089A" w:rsidRDefault="00F0089A" w:rsidP="00F0089A">
      <w:pPr>
        <w:spacing w:after="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Joseph SCHLEFT, Individually and William A. Schleft and Connie Schleft, Individually and as parents and next friends of Joseph Schleft, Plaintiffs-Appellants, v. The BOARD OF EDUCATION OF the LOS ALAMOS PUBLIC SCHOOLS, Defendant-Appellee </w:t>
      </w:r>
    </w:p>
    <w:p w14:paraId="57AAC4FF"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784 P.2d 1014</w:t>
      </w:r>
    </w:p>
    <w:p w14:paraId="4D545F4D"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Court of Appeals of New Mexico.</w:t>
      </w:r>
    </w:p>
    <w:p w14:paraId="38D8DFB2"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Certiorari Denied Dec. 5, 1989.</w:t>
      </w:r>
    </w:p>
    <w:p w14:paraId="730A7784" w14:textId="5CBBF4E9"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See also, </w:t>
      </w:r>
      <w:r w:rsidRPr="00F0089A">
        <w:rPr>
          <w:rFonts w:ascii="Times New Roman" w:eastAsia="Times New Roman" w:hAnsi="Times New Roman" w:cs="Times New Roman"/>
          <w:color w:val="0000FF"/>
          <w:sz w:val="24"/>
          <w:szCs w:val="24"/>
          <w:u w:val="single"/>
          <w:lang w:eastAsia="en-AU"/>
        </w:rPr>
        <w:t>107 N.M. 56</w:t>
      </w:r>
      <w:r w:rsidRPr="00F0089A">
        <w:rPr>
          <w:rFonts w:ascii="Times New Roman" w:eastAsia="Times New Roman" w:hAnsi="Times New Roman" w:cs="Times New Roman"/>
          <w:sz w:val="24"/>
          <w:szCs w:val="24"/>
          <w:lang w:eastAsia="en-AU"/>
        </w:rPr>
        <w:t xml:space="preserve">, </w:t>
      </w:r>
      <w:hyperlink r:id="rId5" w:history="1">
        <w:r w:rsidRPr="00F0089A">
          <w:rPr>
            <w:rFonts w:ascii="Times New Roman" w:eastAsia="Times New Roman" w:hAnsi="Times New Roman" w:cs="Times New Roman"/>
            <w:color w:val="0000FF"/>
            <w:sz w:val="24"/>
            <w:szCs w:val="24"/>
            <w:u w:val="single"/>
            <w:lang w:eastAsia="en-AU"/>
          </w:rPr>
          <w:t>752 P.2d 248</w:t>
        </w:r>
      </w:hyperlink>
      <w:r w:rsidRPr="00F0089A">
        <w:rPr>
          <w:rFonts w:ascii="Times New Roman" w:eastAsia="Times New Roman" w:hAnsi="Times New Roman" w:cs="Times New Roman"/>
          <w:sz w:val="24"/>
          <w:szCs w:val="24"/>
          <w:lang w:eastAsia="en-AU"/>
        </w:rPr>
        <w:t>.</w:t>
      </w:r>
    </w:p>
    <w:p w14:paraId="73980A92" w14:textId="35DFD9D3"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Steven L. Tucker, John Wentworth, Jones, Snead, Wertheim, Rodriguez &amp; </w:t>
      </w:r>
      <w:r w:rsidRPr="00F0089A">
        <w:rPr>
          <w:rFonts w:ascii="Times New Roman" w:eastAsia="Times New Roman" w:hAnsi="Times New Roman" w:cs="Times New Roman"/>
          <w:color w:val="0000FF"/>
          <w:sz w:val="24"/>
          <w:szCs w:val="24"/>
          <w:u w:val="single"/>
          <w:lang w:eastAsia="en-AU"/>
        </w:rPr>
        <w:t>*272</w:t>
      </w:r>
      <w:r w:rsidRPr="00F0089A">
        <w:rPr>
          <w:rFonts w:ascii="Times New Roman" w:eastAsia="Times New Roman" w:hAnsi="Times New Roman" w:cs="Times New Roman"/>
          <w:sz w:val="24"/>
          <w:szCs w:val="24"/>
          <w:lang w:eastAsia="en-AU"/>
        </w:rPr>
        <w:t>Wentworth, P.A., Santa Fe, for plaintiffs-appellants.</w:t>
      </w:r>
    </w:p>
    <w:p w14:paraId="2ADA7A8D"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John B. Pound, James C. Murphy, Montgomery &amp; Andrews, P.A., Albuquerque, for defendant-appellee.</w:t>
      </w:r>
    </w:p>
    <w:p w14:paraId="1A9C4246"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OPINION</w:t>
      </w:r>
    </w:p>
    <w:p w14:paraId="77A7431B"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APODACA, Judge.</w:t>
      </w:r>
    </w:p>
    <w:p w14:paraId="66C64E2E"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65C">
        <w:rPr>
          <w:rFonts w:ascii="Times New Roman" w:eastAsia="Times New Roman" w:hAnsi="Times New Roman" w:cs="Times New Roman"/>
          <w:sz w:val="24"/>
          <w:szCs w:val="24"/>
          <w:highlight w:val="magenta"/>
          <w:lang w:eastAsia="en-AU"/>
        </w:rPr>
        <w:t>Plaintiffs Joseph Schleft (Joseph) and William A. and Connie Schleft, Joseph’s parents, appeal the trial court’s judgment entered in favor of defendant Board of Education of Los Alamos (the Board). After a bench trial, the trial court held the Board was immune from suit, that such immunity was not waived-by the New Mexico Tort Claims Act, NMSA 1978, Sections 41-4-1 to -29 (Repl.1986 and Cum.Supp. 1988) (the Act), and that the Board had no duty to inspect or maintain the electrical facility causing Joseph’s injuries or to warn against any inherent dangers</w:t>
      </w:r>
      <w:r w:rsidRPr="00F0089A">
        <w:rPr>
          <w:rFonts w:ascii="Times New Roman" w:eastAsia="Times New Roman" w:hAnsi="Times New Roman" w:cs="Times New Roman"/>
          <w:sz w:val="24"/>
          <w:szCs w:val="24"/>
          <w:lang w:eastAsia="en-AU"/>
        </w:rPr>
        <w:t xml:space="preserve">. </w:t>
      </w:r>
      <w:r w:rsidRPr="000F365C">
        <w:rPr>
          <w:rFonts w:ascii="Times New Roman" w:eastAsia="Times New Roman" w:hAnsi="Times New Roman" w:cs="Times New Roman"/>
          <w:sz w:val="24"/>
          <w:szCs w:val="24"/>
          <w:highlight w:val="red"/>
          <w:lang w:eastAsia="en-AU"/>
        </w:rPr>
        <w:t>We disagree with the trial court</w:t>
      </w:r>
      <w:r w:rsidRPr="00F0089A">
        <w:rPr>
          <w:rFonts w:ascii="Times New Roman" w:eastAsia="Times New Roman" w:hAnsi="Times New Roman" w:cs="Times New Roman"/>
          <w:sz w:val="24"/>
          <w:szCs w:val="24"/>
          <w:lang w:eastAsia="en-AU"/>
        </w:rPr>
        <w:t xml:space="preserve"> and conclude that: (1) immunity was waived under the Act; and (2) </w:t>
      </w:r>
      <w:r w:rsidRPr="000F365C">
        <w:rPr>
          <w:rFonts w:ascii="Times New Roman" w:eastAsia="Times New Roman" w:hAnsi="Times New Roman" w:cs="Times New Roman"/>
          <w:sz w:val="24"/>
          <w:szCs w:val="24"/>
          <w:highlight w:val="green"/>
          <w:lang w:eastAsia="en-AU"/>
        </w:rPr>
        <w:t>the Board had a duty to plaintiffs, as a matter of law</w:t>
      </w:r>
      <w:r w:rsidRPr="00F0089A">
        <w:rPr>
          <w:rFonts w:ascii="Times New Roman" w:eastAsia="Times New Roman" w:hAnsi="Times New Roman" w:cs="Times New Roman"/>
          <w:sz w:val="24"/>
          <w:szCs w:val="24"/>
          <w:lang w:eastAsia="en-AU"/>
        </w:rPr>
        <w:t>. We thus reverse and remand for the entry of findings and conclusions on the issue of negligence. As a sub-issue of issue 2, plaintiffs also contend that the trial court erred in concluding a certain deed was ambiguous and permitting the introduction of parol evidence to prove the parties’ intent. On this issue, we hold the deed was ambiguous and that the trial court was correct in allowing parol evidence.</w:t>
      </w:r>
    </w:p>
    <w:p w14:paraId="60B21FCA"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FACTS:</w:t>
      </w:r>
    </w:p>
    <w:p w14:paraId="2C7A637F"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45BB4">
        <w:rPr>
          <w:rFonts w:ascii="Times New Roman" w:eastAsia="Times New Roman" w:hAnsi="Times New Roman" w:cs="Times New Roman"/>
          <w:sz w:val="24"/>
          <w:szCs w:val="24"/>
          <w:highlight w:val="yellow"/>
          <w:lang w:eastAsia="en-AU"/>
        </w:rPr>
        <w:t xml:space="preserve">Joseph, who was fifteen years of age at the time of the accident, was injured on the grounds of Mountain Elementary School in Los Alamos. The youth, along with a friend, entered the school grounds during the summer, when school was not in session. A transformer platform </w:t>
      </w:r>
      <w:r w:rsidRPr="00845BB4">
        <w:rPr>
          <w:rFonts w:ascii="Times New Roman" w:eastAsia="Times New Roman" w:hAnsi="Times New Roman" w:cs="Times New Roman"/>
          <w:sz w:val="24"/>
          <w:szCs w:val="24"/>
          <w:highlight w:val="yellow"/>
          <w:lang w:eastAsia="en-AU"/>
        </w:rPr>
        <w:lastRenderedPageBreak/>
        <w:t xml:space="preserve">was located on the grounds, positioned horizontally and supported approximately twenty feet in the áir by two “telephone poles.” Three transformers were located on the platform, with at least six bare, uninsulated copper wires five feet above the floor of the platform. </w:t>
      </w:r>
      <w:r w:rsidRPr="00845BB4">
        <w:rPr>
          <w:rFonts w:ascii="Times New Roman" w:eastAsia="Times New Roman" w:hAnsi="Times New Roman" w:cs="Times New Roman"/>
          <w:sz w:val="24"/>
          <w:szCs w:val="24"/>
          <w:lang w:eastAsia="en-AU"/>
        </w:rPr>
        <w:t>The platform, the supporting poles and the transformers, referred to at trial as “the H-frame,” are referred to collectively in this opinion as the facility.</w:t>
      </w:r>
    </w:p>
    <w:p w14:paraId="6E47D42E"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812">
        <w:rPr>
          <w:rFonts w:ascii="Times New Roman" w:eastAsia="Times New Roman" w:hAnsi="Times New Roman" w:cs="Times New Roman"/>
          <w:sz w:val="24"/>
          <w:szCs w:val="24"/>
          <w:highlight w:val="yellow"/>
          <w:lang w:eastAsia="en-AU"/>
        </w:rPr>
        <w:t>Joseph and his friend climbed onto the platform. Having noticed they were standing on loose boards, they decided to climb down. The friend descended from the platform, but before Joseph could do so, his forehead came in contact with one of the uninsulated copper wires. He received an electrical shock of 7,620 volts and fell off the platform, unconscious and not breathing. The youth was revived by CPR administered by a bystander. As a result of the accident, Joseph sustained permanent brain damage, speech impairment, spastic motor impairment and fourth degree burns to the bone marrow in his forehead. He will never walk or speak normally.</w:t>
      </w:r>
    </w:p>
    <w:p w14:paraId="54A3C8C5"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BACKGROUND OF PROCEEDINGS:</w:t>
      </w:r>
    </w:p>
    <w:p w14:paraId="2A5A0250"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Joseph and his parents brought suit against </w:t>
      </w:r>
      <w:r w:rsidRPr="009E5812">
        <w:rPr>
          <w:rFonts w:ascii="Times New Roman" w:eastAsia="Times New Roman" w:hAnsi="Times New Roman" w:cs="Times New Roman"/>
          <w:sz w:val="24"/>
          <w:szCs w:val="24"/>
          <w:highlight w:val="yellow"/>
          <w:lang w:eastAsia="en-AU"/>
        </w:rPr>
        <w:t>the Board, which owned the school property on which the facility was located</w:t>
      </w:r>
      <w:r w:rsidRPr="00F0089A">
        <w:rPr>
          <w:rFonts w:ascii="Times New Roman" w:eastAsia="Times New Roman" w:hAnsi="Times New Roman" w:cs="Times New Roman"/>
          <w:sz w:val="24"/>
          <w:szCs w:val="24"/>
          <w:lang w:eastAsia="en-AU"/>
        </w:rPr>
        <w:t>, and against the County of Los Alamos (the County), which owned and maintained the facility. Before trial, plaintiffs settled their dispute with the County.</w:t>
      </w:r>
    </w:p>
    <w:p w14:paraId="5A177B3F" w14:textId="0B5B48F5"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Plaintiffs contend the Board was liable under Section 41-4-6. That section waives immunity for negligence caused by a public entity’s employees “while acting within the scope of their duties in the operation or maintenance of any building, public park, machinery, equipment or furnishings.” We shall refer to that language in this opinion as the “building exception.” Relying on </w:t>
      </w:r>
      <w:r w:rsidRPr="00F0089A">
        <w:rPr>
          <w:rFonts w:ascii="Times New Roman" w:eastAsia="Times New Roman" w:hAnsi="Times New Roman" w:cs="Times New Roman"/>
          <w:i/>
          <w:iCs/>
          <w:sz w:val="24"/>
          <w:szCs w:val="24"/>
          <w:lang w:eastAsia="en-AU"/>
        </w:rPr>
        <w:t xml:space="preserve">Castillo v. County of Santa Fe, </w:t>
      </w:r>
      <w:hyperlink r:id="rId6" w:history="1">
        <w:r w:rsidRPr="00F0089A">
          <w:rPr>
            <w:rFonts w:ascii="Times New Roman" w:eastAsia="Times New Roman" w:hAnsi="Times New Roman" w:cs="Times New Roman"/>
            <w:color w:val="0000FF"/>
            <w:sz w:val="24"/>
            <w:szCs w:val="24"/>
            <w:u w:val="single"/>
            <w:lang w:eastAsia="en-AU"/>
          </w:rPr>
          <w:t>107 N.M. 204</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755 P.2d 48</w:t>
      </w:r>
      <w:r w:rsidRPr="00F0089A">
        <w:rPr>
          <w:rFonts w:ascii="Times New Roman" w:eastAsia="Times New Roman" w:hAnsi="Times New Roman" w:cs="Times New Roman"/>
          <w:sz w:val="24"/>
          <w:szCs w:val="24"/>
          <w:lang w:eastAsia="en-AU"/>
        </w:rPr>
        <w:t xml:space="preserve"> (1988), a case decided by our supreme court after the trial court in this appeal entered judgment in the Board’s favor, plaintiffs argue that waiver of immunity under the Act encompasses a dangerous condition on the premises. Specifically, plaintiffs claim the “building exception” language is not strictly limited to the actual words used, but includes the surrounding premises on which a public building is located. The trial court, having found that the County owned the facility, concluded on that basis that immunity of the Board was not waived under the Act. Similarly, the trial court also básed its holding that the Board owed no duty to plaintiffs on the County’s ownership.</w:t>
      </w:r>
    </w:p>
    <w:p w14:paraId="51E004F7"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Plaintiffs also argue that a 1966 deed conveying the school property from the United States to the Board also conveyed the secondary electrical system, giving rise to a duty in the Board for the operation and maintenance of that system. Plaintiffs finally contend the Board was negligent in not fencing the facility to prevent persons from climbing on the platform. The trial court held the deed was ambiguous and thus admitted parol evidence. It concluded that the deed showed ownership of the facility in the County rather than in the Board.</w:t>
      </w:r>
    </w:p>
    <w:p w14:paraId="1A2B52D9"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Ordinarily, it would be proper to determine initially whether there existed a duty of care on the part of the Board, before deciding whether there was a waiver of immunity under the “building exception” of the Act. However, because we believe that </w:t>
      </w:r>
      <w:r w:rsidRPr="00F0089A">
        <w:rPr>
          <w:rFonts w:ascii="Times New Roman" w:eastAsia="Times New Roman" w:hAnsi="Times New Roman" w:cs="Times New Roman"/>
          <w:i/>
          <w:iCs/>
          <w:sz w:val="24"/>
          <w:szCs w:val="24"/>
          <w:lang w:eastAsia="en-AU"/>
        </w:rPr>
        <w:t xml:space="preserve">Castillo </w:t>
      </w:r>
      <w:r w:rsidRPr="00F0089A">
        <w:rPr>
          <w:rFonts w:ascii="Times New Roman" w:eastAsia="Times New Roman" w:hAnsi="Times New Roman" w:cs="Times New Roman"/>
          <w:sz w:val="24"/>
          <w:szCs w:val="24"/>
          <w:lang w:eastAsia="en-AU"/>
        </w:rPr>
        <w:t>is dispositive of the waiver issue, we shall discuss that issue first. Both issues are somewhat interrelated, but we shall discuss them separately nonetheless.</w:t>
      </w:r>
    </w:p>
    <w:p w14:paraId="0B15FD84"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WAIVER OF IMMUNITY:</w:t>
      </w:r>
    </w:p>
    <w:p w14:paraId="65AB6AA5" w14:textId="5923A489"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lastRenderedPageBreak/>
        <w:t xml:space="preserve">In determining the interpretation to be given to the “building exception” language, we must bear in mind the principle stated by our supreme court in </w:t>
      </w:r>
      <w:r w:rsidRPr="00F0089A">
        <w:rPr>
          <w:rFonts w:ascii="Times New Roman" w:eastAsia="Times New Roman" w:hAnsi="Times New Roman" w:cs="Times New Roman"/>
          <w:i/>
          <w:iCs/>
          <w:sz w:val="24"/>
          <w:szCs w:val="24"/>
          <w:lang w:eastAsia="en-AU"/>
        </w:rPr>
        <w:t xml:space="preserve">Miller v. New Mexico Department of Transportation, </w:t>
      </w:r>
      <w:hyperlink r:id="rId7" w:history="1">
        <w:r w:rsidRPr="00F0089A">
          <w:rPr>
            <w:rFonts w:ascii="Times New Roman" w:eastAsia="Times New Roman" w:hAnsi="Times New Roman" w:cs="Times New Roman"/>
            <w:color w:val="0000FF"/>
            <w:sz w:val="24"/>
            <w:szCs w:val="24"/>
            <w:u w:val="single"/>
            <w:lang w:eastAsia="en-AU"/>
          </w:rPr>
          <w:t>106 N.M. 253</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741 P.2d 1374</w:t>
      </w:r>
      <w:r w:rsidRPr="00F0089A">
        <w:rPr>
          <w:rFonts w:ascii="Times New Roman" w:eastAsia="Times New Roman" w:hAnsi="Times New Roman" w:cs="Times New Roman"/>
          <w:sz w:val="24"/>
          <w:szCs w:val="24"/>
          <w:lang w:eastAsia="en-AU"/>
        </w:rPr>
        <w:t xml:space="preserve"> (1987), that the words used in a statutory waiver provision must first be interpreted in light of the intended purpose of the provision. Additionally, </w:t>
      </w:r>
      <w:r w:rsidRPr="00F0089A">
        <w:rPr>
          <w:rFonts w:ascii="Times New Roman" w:eastAsia="Times New Roman" w:hAnsi="Times New Roman" w:cs="Times New Roman"/>
          <w:i/>
          <w:iCs/>
          <w:sz w:val="24"/>
          <w:szCs w:val="24"/>
          <w:lang w:eastAsia="en-AU"/>
        </w:rPr>
        <w:t xml:space="preserve">Castillo </w:t>
      </w:r>
      <w:r w:rsidRPr="00F0089A">
        <w:rPr>
          <w:rFonts w:ascii="Times New Roman" w:eastAsia="Times New Roman" w:hAnsi="Times New Roman" w:cs="Times New Roman"/>
          <w:sz w:val="24"/>
          <w:szCs w:val="24"/>
          <w:lang w:eastAsia="en-AU"/>
        </w:rPr>
        <w:t>held that the Act contemplated waiver of immunity where, due to the alleged negligence of public employees, an injury arose from an unsafe, dangerous or defective condition on property owned and operated by the government.</w:t>
      </w:r>
    </w:p>
    <w:p w14:paraId="7C2736E5"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A plain reading of Section 41-4-6 convinces us that the legislature intended to ensure the safety of the general public by imposing upon public employees a duty to exercise reasonable care in maintaining premises owned and operated by governmental entities. By the legislature’s inclusion of both buildings and parks within the waiver provision, we discern no intent to exclude from that waiver liability for injuries arising from defective or dangerous conditions on the property surrounding a public building.</w:t>
      </w:r>
    </w:p>
    <w:p w14:paraId="0771F22B" w14:textId="149D4921"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i/>
          <w:iCs/>
          <w:sz w:val="24"/>
          <w:szCs w:val="24"/>
          <w:lang w:eastAsia="en-AU"/>
        </w:rPr>
        <w:t xml:space="preserve">Id. </w:t>
      </w:r>
      <w:hyperlink r:id="rId8" w:history="1">
        <w:r w:rsidRPr="00F0089A">
          <w:rPr>
            <w:rFonts w:ascii="Times New Roman" w:eastAsia="Times New Roman" w:hAnsi="Times New Roman" w:cs="Times New Roman"/>
            <w:color w:val="0000FF"/>
            <w:sz w:val="24"/>
            <w:szCs w:val="24"/>
            <w:u w:val="single"/>
            <w:lang w:eastAsia="en-AU"/>
          </w:rPr>
          <w:t>107 N.M. at 206</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755 P.2d at 50</w:t>
      </w:r>
      <w:r w:rsidRPr="00F0089A">
        <w:rPr>
          <w:rFonts w:ascii="Times New Roman" w:eastAsia="Times New Roman" w:hAnsi="Times New Roman" w:cs="Times New Roman"/>
          <w:sz w:val="24"/>
          <w:szCs w:val="24"/>
          <w:lang w:eastAsia="en-AU"/>
        </w:rPr>
        <w:t>.</w:t>
      </w:r>
    </w:p>
    <w:p w14:paraId="39642294"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i/>
          <w:iCs/>
          <w:sz w:val="24"/>
          <w:szCs w:val="24"/>
          <w:lang w:eastAsia="en-AU"/>
        </w:rPr>
        <w:t xml:space="preserve">Castillo </w:t>
      </w:r>
      <w:r w:rsidRPr="00F0089A">
        <w:rPr>
          <w:rFonts w:ascii="Times New Roman" w:eastAsia="Times New Roman" w:hAnsi="Times New Roman" w:cs="Times New Roman"/>
          <w:sz w:val="24"/>
          <w:szCs w:val="24"/>
          <w:lang w:eastAsia="en-AU"/>
        </w:rPr>
        <w:t xml:space="preserve">thus held that the </w:t>
      </w:r>
      <w:r w:rsidRPr="008475DE">
        <w:rPr>
          <w:rFonts w:ascii="Times New Roman" w:eastAsia="Times New Roman" w:hAnsi="Times New Roman" w:cs="Times New Roman"/>
          <w:sz w:val="24"/>
          <w:szCs w:val="24"/>
          <w:highlight w:val="green"/>
          <w:lang w:eastAsia="en-AU"/>
        </w:rPr>
        <w:t>common grounds surrounding a county housing project fell within the “building exception” language</w:t>
      </w:r>
      <w:r w:rsidRPr="00F0089A">
        <w:rPr>
          <w:rFonts w:ascii="Times New Roman" w:eastAsia="Times New Roman" w:hAnsi="Times New Roman" w:cs="Times New Roman"/>
          <w:sz w:val="24"/>
          <w:szCs w:val="24"/>
          <w:lang w:eastAsia="en-AU"/>
        </w:rPr>
        <w:t xml:space="preserve">. “[T]here is a nexus between the defendant’s obligation to maintain the common premises ... in a safe condition and the intent behind the waiver of immunity under Section 41-4-6.” </w:t>
      </w:r>
      <w:r w:rsidRPr="00F0089A">
        <w:rPr>
          <w:rFonts w:ascii="Times New Roman" w:eastAsia="Times New Roman" w:hAnsi="Times New Roman" w:cs="Times New Roman"/>
          <w:i/>
          <w:iCs/>
          <w:sz w:val="24"/>
          <w:szCs w:val="24"/>
          <w:lang w:eastAsia="en-AU"/>
        </w:rPr>
        <w:t xml:space="preserve">Id. </w:t>
      </w:r>
      <w:r w:rsidRPr="00F0089A">
        <w:rPr>
          <w:rFonts w:ascii="Times New Roman" w:eastAsia="Times New Roman" w:hAnsi="Times New Roman" w:cs="Times New Roman"/>
          <w:sz w:val="24"/>
          <w:szCs w:val="24"/>
          <w:lang w:eastAsia="en-AU"/>
        </w:rPr>
        <w:t xml:space="preserve">at 206, </w:t>
      </w:r>
      <w:hyperlink r:id="rId9" w:history="1">
        <w:r w:rsidRPr="00F0089A">
          <w:rPr>
            <w:rFonts w:ascii="Times New Roman" w:eastAsia="Times New Roman" w:hAnsi="Times New Roman" w:cs="Times New Roman"/>
            <w:color w:val="0000FF"/>
            <w:sz w:val="24"/>
            <w:szCs w:val="24"/>
            <w:u w:val="single"/>
            <w:lang w:eastAsia="en-AU"/>
          </w:rPr>
          <w:t>755 P.2d at 50</w:t>
        </w:r>
      </w:hyperlink>
      <w:r w:rsidRPr="00F0089A">
        <w:rPr>
          <w:rFonts w:ascii="Times New Roman" w:eastAsia="Times New Roman" w:hAnsi="Times New Roman" w:cs="Times New Roman"/>
          <w:sz w:val="24"/>
          <w:szCs w:val="24"/>
          <w:lang w:eastAsia="en-AU"/>
        </w:rPr>
        <w:t xml:space="preserve">, n. 1. </w:t>
      </w:r>
      <w:r w:rsidRPr="008475DE">
        <w:rPr>
          <w:rFonts w:ascii="Times New Roman" w:eastAsia="Times New Roman" w:hAnsi="Times New Roman" w:cs="Times New Roman"/>
          <w:sz w:val="24"/>
          <w:szCs w:val="24"/>
          <w:highlight w:val="green"/>
          <w:lang w:eastAsia="en-AU"/>
        </w:rPr>
        <w:t xml:space="preserve">We see no reason to distinguish between the premises area in </w:t>
      </w:r>
      <w:r w:rsidRPr="008475DE">
        <w:rPr>
          <w:rFonts w:ascii="Times New Roman" w:eastAsia="Times New Roman" w:hAnsi="Times New Roman" w:cs="Times New Roman"/>
          <w:i/>
          <w:iCs/>
          <w:sz w:val="24"/>
          <w:szCs w:val="24"/>
          <w:highlight w:val="green"/>
          <w:lang w:eastAsia="en-AU"/>
        </w:rPr>
        <w:t xml:space="preserve">Castillo </w:t>
      </w:r>
      <w:r w:rsidRPr="008475DE">
        <w:rPr>
          <w:rFonts w:ascii="Times New Roman" w:eastAsia="Times New Roman" w:hAnsi="Times New Roman" w:cs="Times New Roman"/>
          <w:sz w:val="24"/>
          <w:szCs w:val="24"/>
          <w:highlight w:val="green"/>
          <w:lang w:eastAsia="en-AU"/>
        </w:rPr>
        <w:t>and the grounds surrounding a public school. We believe it was not the legislature’s intent that waiver of immunity stop at the schoolhouse door.</w:t>
      </w:r>
      <w:r w:rsidRPr="00F0089A">
        <w:rPr>
          <w:rFonts w:ascii="Times New Roman" w:eastAsia="Times New Roman" w:hAnsi="Times New Roman" w:cs="Times New Roman"/>
          <w:sz w:val="24"/>
          <w:szCs w:val="24"/>
          <w:lang w:eastAsia="en-AU"/>
        </w:rPr>
        <w:t xml:space="preserve"> We hold, therefore, that waiver of immunity under Section 41-4-6 applies to maintenance of the school grounds as well as to the school building itself.</w:t>
      </w:r>
    </w:p>
    <w:p w14:paraId="518F6221" w14:textId="574BA7AA"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Relying on ownership and control of the facility itself, which was installed within an easement located on the school grounds, the Board attempts to distinguish </w:t>
      </w:r>
      <w:r w:rsidRPr="00F0089A">
        <w:rPr>
          <w:rFonts w:ascii="Times New Roman" w:eastAsia="Times New Roman" w:hAnsi="Times New Roman" w:cs="Times New Roman"/>
          <w:i/>
          <w:iCs/>
          <w:sz w:val="24"/>
          <w:szCs w:val="24"/>
          <w:lang w:eastAsia="en-AU"/>
        </w:rPr>
        <w:t xml:space="preserve">Castillo </w:t>
      </w:r>
      <w:r w:rsidRPr="00F0089A">
        <w:rPr>
          <w:rFonts w:ascii="Times New Roman" w:eastAsia="Times New Roman" w:hAnsi="Times New Roman" w:cs="Times New Roman"/>
          <w:sz w:val="24"/>
          <w:szCs w:val="24"/>
          <w:lang w:eastAsia="en-AU"/>
        </w:rPr>
        <w:t xml:space="preserve">and cases from other jurisdictions that determined existence of a duty on the part of a landowner or occupier of land. Similarly, the Board distinguishes </w:t>
      </w:r>
      <w:r w:rsidRPr="00F0089A">
        <w:rPr>
          <w:rFonts w:ascii="Times New Roman" w:eastAsia="Times New Roman" w:hAnsi="Times New Roman" w:cs="Times New Roman"/>
          <w:i/>
          <w:iCs/>
          <w:sz w:val="24"/>
          <w:szCs w:val="24"/>
          <w:lang w:eastAsia="en-AU"/>
        </w:rPr>
        <w:t xml:space="preserve">Weiss v. United States, </w:t>
      </w:r>
      <w:r w:rsidRPr="00F0089A">
        <w:rPr>
          <w:rFonts w:ascii="Times New Roman" w:eastAsia="Times New Roman" w:hAnsi="Times New Roman" w:cs="Times New Roman"/>
          <w:color w:val="0000FF"/>
          <w:sz w:val="24"/>
          <w:szCs w:val="24"/>
          <w:u w:val="single"/>
          <w:lang w:eastAsia="en-AU"/>
        </w:rPr>
        <w:t>787 F.2d 518</w:t>
      </w:r>
      <w:r w:rsidRPr="00F0089A">
        <w:rPr>
          <w:rFonts w:ascii="Times New Roman" w:eastAsia="Times New Roman" w:hAnsi="Times New Roman" w:cs="Times New Roman"/>
          <w:sz w:val="24"/>
          <w:szCs w:val="24"/>
          <w:lang w:eastAsia="en-AU"/>
        </w:rPr>
        <w:t xml:space="preserve"> (10th Cir.1986), on which plaintiffs rely. Specifically, the Board argues that in those cases the landowner had actual control of the land on which the injuries occurred. It contends further that under the facts of this appeal, the Board did not have any control or right to maintain the facility or easement. As a basis for this argument, the Board refers us to the trial court’s findings, which it claims provided “not merely substantial evidence, but overwhelming evidence [supporting] the trial court’s conclusion that the County * * * exercised exclusive control of the [facility].” The Board then concludes that, because plaintiffs failed to attack those specific findings on appeal, they have waived the right to challenge them. We determine, however, that the existence of such findings, and plaintiffs’ alleged failure to challenge them, are factors not relevant to the issue before us. We have arrived at this determination based on our discussion below of the issue of the Board’s duty. We note that in their brief-in-chief, plaintiffs challenged the findings as not supported by </w:t>
      </w:r>
      <w:r w:rsidRPr="00F0089A">
        <w:rPr>
          <w:rFonts w:ascii="Times New Roman" w:eastAsia="Times New Roman" w:hAnsi="Times New Roman" w:cs="Times New Roman"/>
          <w:i/>
          <w:iCs/>
          <w:sz w:val="24"/>
          <w:szCs w:val="24"/>
          <w:lang w:eastAsia="en-AU"/>
        </w:rPr>
        <w:t xml:space="preserve">admissible </w:t>
      </w:r>
      <w:r w:rsidRPr="00F0089A">
        <w:rPr>
          <w:rFonts w:ascii="Times New Roman" w:eastAsia="Times New Roman" w:hAnsi="Times New Roman" w:cs="Times New Roman"/>
          <w:sz w:val="24"/>
          <w:szCs w:val="24"/>
          <w:lang w:eastAsia="en-AU"/>
        </w:rPr>
        <w:t>evidence. We understand plaintiffs’ argument as a contention that extrinsic or parol evidence was not admissible and, therefore, the trial court’s findings must fail because they were based solely on the inadmissible parol evidence. We shall address the propriety of the parol evidence admission later in this opinion.</w:t>
      </w:r>
    </w:p>
    <w:p w14:paraId="04B46814"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EXISTENCE OF DUTY:</w:t>
      </w:r>
    </w:p>
    <w:p w14:paraId="180983CF" w14:textId="7DB92454"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A4779">
        <w:rPr>
          <w:rFonts w:ascii="Times New Roman" w:eastAsia="Times New Roman" w:hAnsi="Times New Roman" w:cs="Times New Roman"/>
          <w:sz w:val="24"/>
          <w:szCs w:val="24"/>
          <w:highlight w:val="green"/>
          <w:lang w:eastAsia="en-AU"/>
        </w:rPr>
        <w:t>The term “maintenance” involves more than simply performing repairs; it includes keeping an area in a safe condition</w:t>
      </w:r>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i/>
          <w:iCs/>
          <w:sz w:val="24"/>
          <w:szCs w:val="24"/>
          <w:lang w:eastAsia="en-AU"/>
        </w:rPr>
        <w:t xml:space="preserve">See </w:t>
      </w:r>
      <w:r w:rsidRPr="004A4779">
        <w:rPr>
          <w:rFonts w:ascii="Times New Roman" w:eastAsia="Times New Roman" w:hAnsi="Times New Roman" w:cs="Times New Roman"/>
          <w:i/>
          <w:iCs/>
          <w:sz w:val="24"/>
          <w:szCs w:val="24"/>
          <w:highlight w:val="cyan"/>
          <w:lang w:eastAsia="en-AU"/>
        </w:rPr>
        <w:t xml:space="preserve">Fireman’s Fund Ins. Co. v. Tucker, </w:t>
      </w:r>
      <w:hyperlink r:id="rId10" w:history="1">
        <w:r w:rsidRPr="004A4779">
          <w:rPr>
            <w:rFonts w:ascii="Times New Roman" w:eastAsia="Times New Roman" w:hAnsi="Times New Roman" w:cs="Times New Roman"/>
            <w:color w:val="0000FF"/>
            <w:sz w:val="24"/>
            <w:szCs w:val="24"/>
            <w:highlight w:val="cyan"/>
            <w:u w:val="single"/>
            <w:lang w:eastAsia="en-AU"/>
          </w:rPr>
          <w:t>95 N.M. 56</w:t>
        </w:r>
      </w:hyperlink>
      <w:r w:rsidRPr="004A4779">
        <w:rPr>
          <w:rFonts w:ascii="Times New Roman" w:eastAsia="Times New Roman" w:hAnsi="Times New Roman" w:cs="Times New Roman"/>
          <w:sz w:val="24"/>
          <w:szCs w:val="24"/>
          <w:highlight w:val="cyan"/>
          <w:lang w:eastAsia="en-AU"/>
        </w:rPr>
        <w:t xml:space="preserve">, </w:t>
      </w:r>
      <w:r w:rsidRPr="004A4779">
        <w:rPr>
          <w:rFonts w:ascii="Times New Roman" w:eastAsia="Times New Roman" w:hAnsi="Times New Roman" w:cs="Times New Roman"/>
          <w:color w:val="0000FF"/>
          <w:sz w:val="24"/>
          <w:szCs w:val="24"/>
          <w:highlight w:val="cyan"/>
          <w:u w:val="single"/>
          <w:lang w:eastAsia="en-AU"/>
        </w:rPr>
        <w:t>618 P.2d 894</w:t>
      </w:r>
      <w:r w:rsidRPr="004A4779">
        <w:rPr>
          <w:rFonts w:ascii="Times New Roman" w:eastAsia="Times New Roman" w:hAnsi="Times New Roman" w:cs="Times New Roman"/>
          <w:sz w:val="24"/>
          <w:szCs w:val="24"/>
          <w:highlight w:val="cyan"/>
          <w:lang w:eastAsia="en-AU"/>
        </w:rPr>
        <w:t xml:space="preserve"> (Ct.App.1980). </w:t>
      </w:r>
      <w:r w:rsidRPr="004A4779">
        <w:rPr>
          <w:rFonts w:ascii="Times New Roman" w:eastAsia="Times New Roman" w:hAnsi="Times New Roman" w:cs="Times New Roman"/>
          <w:i/>
          <w:iCs/>
          <w:sz w:val="24"/>
          <w:szCs w:val="24"/>
          <w:highlight w:val="cyan"/>
          <w:lang w:eastAsia="en-AU"/>
        </w:rPr>
        <w:t xml:space="preserve">See also Miller v. New Mexico Dep’t of Transp. </w:t>
      </w:r>
      <w:hyperlink r:id="rId11" w:history="1">
        <w:r w:rsidRPr="004A4779">
          <w:rPr>
            <w:rFonts w:ascii="Times New Roman" w:eastAsia="Times New Roman" w:hAnsi="Times New Roman" w:cs="Times New Roman"/>
            <w:color w:val="0000FF"/>
            <w:sz w:val="24"/>
            <w:szCs w:val="24"/>
            <w:highlight w:val="cyan"/>
            <w:u w:val="single"/>
            <w:lang w:eastAsia="en-AU"/>
          </w:rPr>
          <w:t>106 N.M. at 254</w:t>
        </w:r>
      </w:hyperlink>
      <w:r w:rsidRPr="004A4779">
        <w:rPr>
          <w:rFonts w:ascii="Times New Roman" w:eastAsia="Times New Roman" w:hAnsi="Times New Roman" w:cs="Times New Roman"/>
          <w:sz w:val="24"/>
          <w:szCs w:val="24"/>
          <w:highlight w:val="cyan"/>
          <w:lang w:eastAsia="en-AU"/>
        </w:rPr>
        <w:t xml:space="preserve">-55, </w:t>
      </w:r>
      <w:r w:rsidRPr="004A4779">
        <w:rPr>
          <w:rFonts w:ascii="Times New Roman" w:eastAsia="Times New Roman" w:hAnsi="Times New Roman" w:cs="Times New Roman"/>
          <w:color w:val="0000FF"/>
          <w:sz w:val="24"/>
          <w:szCs w:val="24"/>
          <w:highlight w:val="cyan"/>
          <w:u w:val="single"/>
          <w:lang w:eastAsia="en-AU"/>
        </w:rPr>
        <w:t>741 P.2d at 1375</w:t>
      </w:r>
      <w:r w:rsidRPr="004A4779">
        <w:rPr>
          <w:rFonts w:ascii="Times New Roman" w:eastAsia="Times New Roman" w:hAnsi="Times New Roman" w:cs="Times New Roman"/>
          <w:sz w:val="24"/>
          <w:szCs w:val="24"/>
          <w:highlight w:val="cyan"/>
          <w:lang w:eastAsia="en-AU"/>
        </w:rPr>
        <w:t>-76</w:t>
      </w:r>
      <w:r w:rsidRPr="00F0089A">
        <w:rPr>
          <w:rFonts w:ascii="Times New Roman" w:eastAsia="Times New Roman" w:hAnsi="Times New Roman" w:cs="Times New Roman"/>
          <w:sz w:val="24"/>
          <w:szCs w:val="24"/>
          <w:lang w:eastAsia="en-AU"/>
        </w:rPr>
        <w:t xml:space="preserve">. (“We decline to hold that ‘maintenance’ of a highway must be limited only to physical care and upkeep; the obvious purpose for imposing the duty on public employees of maintaining highways safely and in a non-negligent manner reflects the legislature’s intent that highway be so maintained as to provide for the safety of the traveling public.”) </w:t>
      </w:r>
      <w:r w:rsidRPr="004A4779">
        <w:rPr>
          <w:rFonts w:ascii="Times New Roman" w:eastAsia="Times New Roman" w:hAnsi="Times New Roman" w:cs="Times New Roman"/>
          <w:sz w:val="24"/>
          <w:szCs w:val="24"/>
          <w:highlight w:val="green"/>
          <w:lang w:eastAsia="en-AU"/>
        </w:rPr>
        <w:t>We thus conclude that maintenance of the school yard in this instance involved keeping the yard in a safe condition.</w:t>
      </w:r>
    </w:p>
    <w:p w14:paraId="40126D0C"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The Board emphasizes that </w:t>
      </w:r>
      <w:r w:rsidRPr="0098481E">
        <w:rPr>
          <w:rFonts w:ascii="Times New Roman" w:eastAsia="Times New Roman" w:hAnsi="Times New Roman" w:cs="Times New Roman"/>
          <w:sz w:val="24"/>
          <w:szCs w:val="24"/>
          <w:highlight w:val="yellow"/>
          <w:lang w:eastAsia="en-AU"/>
        </w:rPr>
        <w:t>Joseph was not a student of Mountain Elementary School and that the school term was not even in session when he sustained his injuries</w:t>
      </w:r>
      <w:r w:rsidRPr="00F0089A">
        <w:rPr>
          <w:rFonts w:ascii="Times New Roman" w:eastAsia="Times New Roman" w:hAnsi="Times New Roman" w:cs="Times New Roman"/>
          <w:sz w:val="24"/>
          <w:szCs w:val="24"/>
          <w:lang w:eastAsia="en-AU"/>
        </w:rPr>
        <w:t xml:space="preserve">. Implicit in this factual rendition of the Board is an underlying contention that those facts somehow negate any duty of care the Board might otherwise have owed to Joseph. This argument, however, ignores the existence of a duty under </w:t>
      </w:r>
      <w:r w:rsidRPr="00F0089A">
        <w:rPr>
          <w:rFonts w:ascii="Times New Roman" w:eastAsia="Times New Roman" w:hAnsi="Times New Roman" w:cs="Times New Roman"/>
          <w:i/>
          <w:iCs/>
          <w:sz w:val="24"/>
          <w:szCs w:val="24"/>
          <w:lang w:eastAsia="en-AU"/>
        </w:rPr>
        <w:t xml:space="preserve">Castillo </w:t>
      </w:r>
      <w:r w:rsidRPr="00F0089A">
        <w:rPr>
          <w:rFonts w:ascii="Times New Roman" w:eastAsia="Times New Roman" w:hAnsi="Times New Roman" w:cs="Times New Roman"/>
          <w:sz w:val="24"/>
          <w:szCs w:val="24"/>
          <w:lang w:eastAsia="en-AU"/>
        </w:rPr>
        <w:t xml:space="preserve">and also runs counter to cases from other jurisdictions noted below that recognize such a duty. We do not narrowly view the holding in </w:t>
      </w:r>
      <w:r w:rsidRPr="00F0089A">
        <w:rPr>
          <w:rFonts w:ascii="Times New Roman" w:eastAsia="Times New Roman" w:hAnsi="Times New Roman" w:cs="Times New Roman"/>
          <w:i/>
          <w:iCs/>
          <w:sz w:val="24"/>
          <w:szCs w:val="24"/>
          <w:lang w:eastAsia="en-AU"/>
        </w:rPr>
        <w:t xml:space="preserve">Castillo </w:t>
      </w:r>
      <w:r w:rsidRPr="00F0089A">
        <w:rPr>
          <w:rFonts w:ascii="Times New Roman" w:eastAsia="Times New Roman" w:hAnsi="Times New Roman" w:cs="Times New Roman"/>
          <w:sz w:val="24"/>
          <w:szCs w:val="24"/>
          <w:lang w:eastAsia="en-AU"/>
        </w:rPr>
        <w:t>as applying only to injured persons who are not trespassers. Instead, we consider these facts (that Joseph was not a student of Mountain Elementary School and that the school term was not in session) as factors for the trier of fact to weigh in determining the question of foreseeability specifically and liability generally.</w:t>
      </w:r>
    </w:p>
    <w:p w14:paraId="1DEE3ED3" w14:textId="662415EC"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In this connection, plaintiffs argue in their brief-in-chief that New Mexico recognizes a duty of care owed by a landowner to trespassing children under what is universally recognized as the Attractive Nuisance Doctrine. </w:t>
      </w:r>
      <w:r w:rsidRPr="00F0089A">
        <w:rPr>
          <w:rFonts w:ascii="Times New Roman" w:eastAsia="Times New Roman" w:hAnsi="Times New Roman" w:cs="Times New Roman"/>
          <w:i/>
          <w:iCs/>
          <w:sz w:val="24"/>
          <w:szCs w:val="24"/>
          <w:lang w:eastAsia="en-AU"/>
        </w:rPr>
        <w:t xml:space="preserve">See </w:t>
      </w:r>
      <w:r w:rsidRPr="00F0089A">
        <w:rPr>
          <w:rFonts w:ascii="Times New Roman" w:eastAsia="Times New Roman" w:hAnsi="Times New Roman" w:cs="Times New Roman"/>
          <w:sz w:val="24"/>
          <w:szCs w:val="24"/>
          <w:lang w:eastAsia="en-AU"/>
        </w:rPr>
        <w:t xml:space="preserve">SCRA 1986, 13-1312. </w:t>
      </w:r>
      <w:r w:rsidRPr="00F0089A">
        <w:rPr>
          <w:rFonts w:ascii="Times New Roman" w:eastAsia="Times New Roman" w:hAnsi="Times New Roman" w:cs="Times New Roman"/>
          <w:i/>
          <w:iCs/>
          <w:sz w:val="24"/>
          <w:szCs w:val="24"/>
          <w:lang w:eastAsia="en-AU"/>
        </w:rPr>
        <w:t xml:space="preserve">See generally Latimer v. City of Clovis, </w:t>
      </w:r>
      <w:hyperlink r:id="rId12" w:history="1">
        <w:r w:rsidRPr="00F0089A">
          <w:rPr>
            <w:rFonts w:ascii="Times New Roman" w:eastAsia="Times New Roman" w:hAnsi="Times New Roman" w:cs="Times New Roman"/>
            <w:color w:val="0000FF"/>
            <w:sz w:val="24"/>
            <w:szCs w:val="24"/>
            <w:u w:val="single"/>
            <w:lang w:eastAsia="en-AU"/>
          </w:rPr>
          <w:t>83 N.M. 610</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495 P.2d 788</w:t>
      </w:r>
      <w:r w:rsidRPr="00F0089A">
        <w:rPr>
          <w:rFonts w:ascii="Times New Roman" w:eastAsia="Times New Roman" w:hAnsi="Times New Roman" w:cs="Times New Roman"/>
          <w:sz w:val="24"/>
          <w:szCs w:val="24"/>
          <w:lang w:eastAsia="en-AU"/>
        </w:rPr>
        <w:t xml:space="preserve"> (Ct.App.1972); </w:t>
      </w:r>
      <w:r w:rsidRPr="00F0089A">
        <w:rPr>
          <w:rFonts w:ascii="Times New Roman" w:eastAsia="Times New Roman" w:hAnsi="Times New Roman" w:cs="Times New Roman"/>
          <w:i/>
          <w:iCs/>
          <w:sz w:val="24"/>
          <w:szCs w:val="24"/>
          <w:lang w:eastAsia="en-AU"/>
        </w:rPr>
        <w:t xml:space="preserve">Restatement (Second) of Torts </w:t>
      </w:r>
      <w:r w:rsidRPr="00F0089A">
        <w:rPr>
          <w:rFonts w:ascii="Times New Roman" w:eastAsia="Times New Roman" w:hAnsi="Times New Roman" w:cs="Times New Roman"/>
          <w:sz w:val="24"/>
          <w:szCs w:val="24"/>
          <w:lang w:eastAsia="en-AU"/>
        </w:rPr>
        <w:t xml:space="preserve">§ 339 (1965). Although our supreme court adopted a former version of Section 339 in earlier decisions, </w:t>
      </w:r>
      <w:r w:rsidRPr="00F0089A">
        <w:rPr>
          <w:rFonts w:ascii="Times New Roman" w:eastAsia="Times New Roman" w:hAnsi="Times New Roman" w:cs="Times New Roman"/>
          <w:i/>
          <w:iCs/>
          <w:sz w:val="24"/>
          <w:szCs w:val="24"/>
          <w:lang w:eastAsia="en-AU"/>
        </w:rPr>
        <w:t xml:space="preserve">see, e.g., Klaus v. Eden, </w:t>
      </w:r>
      <w:hyperlink r:id="rId13" w:history="1">
        <w:r w:rsidRPr="00F0089A">
          <w:rPr>
            <w:rFonts w:ascii="Times New Roman" w:eastAsia="Times New Roman" w:hAnsi="Times New Roman" w:cs="Times New Roman"/>
            <w:color w:val="0000FF"/>
            <w:sz w:val="24"/>
            <w:szCs w:val="24"/>
            <w:u w:val="single"/>
            <w:lang w:eastAsia="en-AU"/>
          </w:rPr>
          <w:t>70 N.M. 371</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374 P.2d 129</w:t>
      </w:r>
      <w:r w:rsidRPr="00F0089A">
        <w:rPr>
          <w:rFonts w:ascii="Times New Roman" w:eastAsia="Times New Roman" w:hAnsi="Times New Roman" w:cs="Times New Roman"/>
          <w:sz w:val="24"/>
          <w:szCs w:val="24"/>
          <w:lang w:eastAsia="en-AU"/>
        </w:rPr>
        <w:t xml:space="preserve"> (1962), the present section, which differs from its predecessor, has not been addressed in this state. Because of our disposition of this appeal, we need not consider plaintiffs’ contention that the Attractive Nuisance Doctrine is applicable.</w:t>
      </w:r>
    </w:p>
    <w:p w14:paraId="57ECF9D8" w14:textId="4D594ADE"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The Board argues, nonetheless, that its duty did not extend to protecting against a danger not located </w:t>
      </w:r>
      <w:r w:rsidRPr="00F0089A">
        <w:rPr>
          <w:rFonts w:ascii="Times New Roman" w:eastAsia="Times New Roman" w:hAnsi="Times New Roman" w:cs="Times New Roman"/>
          <w:i/>
          <w:iCs/>
          <w:sz w:val="24"/>
          <w:szCs w:val="24"/>
          <w:lang w:eastAsia="en-AU"/>
        </w:rPr>
        <w:t xml:space="preserve">on the land </w:t>
      </w:r>
      <w:r w:rsidRPr="00F0089A">
        <w:rPr>
          <w:rFonts w:ascii="Times New Roman" w:eastAsia="Times New Roman" w:hAnsi="Times New Roman" w:cs="Times New Roman"/>
          <w:sz w:val="24"/>
          <w:szCs w:val="24"/>
          <w:lang w:eastAsia="en-AU"/>
        </w:rPr>
        <w:t xml:space="preserve">it controlled and that, because </w:t>
      </w:r>
      <w:r w:rsidRPr="00064AAD">
        <w:rPr>
          <w:rFonts w:ascii="Times New Roman" w:eastAsia="Times New Roman" w:hAnsi="Times New Roman" w:cs="Times New Roman"/>
          <w:sz w:val="24"/>
          <w:szCs w:val="24"/>
          <w:highlight w:val="yellow"/>
          <w:lang w:eastAsia="en-AU"/>
        </w:rPr>
        <w:t>the facility was located on an easement over which it had no control</w:t>
      </w:r>
      <w:r w:rsidRPr="00F0089A">
        <w:rPr>
          <w:rFonts w:ascii="Times New Roman" w:eastAsia="Times New Roman" w:hAnsi="Times New Roman" w:cs="Times New Roman"/>
          <w:sz w:val="24"/>
          <w:szCs w:val="24"/>
          <w:lang w:eastAsia="en-AU"/>
        </w:rPr>
        <w:t xml:space="preserve">, this exempted the Board from any duty to protect against any danger caused by the facility. We are not persuaded by this argument, which we believe relies on unwarranted distinctions. </w:t>
      </w:r>
      <w:r w:rsidRPr="00810FCB">
        <w:rPr>
          <w:rFonts w:ascii="Times New Roman" w:eastAsia="Times New Roman" w:hAnsi="Times New Roman" w:cs="Times New Roman"/>
          <w:sz w:val="24"/>
          <w:szCs w:val="24"/>
          <w:highlight w:val="green"/>
          <w:lang w:eastAsia="en-AU"/>
        </w:rPr>
        <w:t>Other jurisdictions have recognized a duty of care on the part of a landowner where a plaintiff’s injuries occurred on property adjacent to or abutting the landowner’s property</w:t>
      </w:r>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i/>
          <w:iCs/>
          <w:sz w:val="24"/>
          <w:szCs w:val="24"/>
          <w:lang w:eastAsia="en-AU"/>
        </w:rPr>
        <w:t xml:space="preserve">See, e.g., </w:t>
      </w:r>
      <w:r w:rsidRPr="00810FCB">
        <w:rPr>
          <w:rFonts w:ascii="Times New Roman" w:eastAsia="Times New Roman" w:hAnsi="Times New Roman" w:cs="Times New Roman"/>
          <w:i/>
          <w:iCs/>
          <w:sz w:val="24"/>
          <w:szCs w:val="24"/>
          <w:highlight w:val="cyan"/>
          <w:lang w:eastAsia="en-AU"/>
        </w:rPr>
        <w:t xml:space="preserve">Herdt v. Koenig, </w:t>
      </w:r>
      <w:hyperlink r:id="rId14" w:history="1">
        <w:r w:rsidRPr="00810FCB">
          <w:rPr>
            <w:rFonts w:ascii="Times New Roman" w:eastAsia="Times New Roman" w:hAnsi="Times New Roman" w:cs="Times New Roman"/>
            <w:color w:val="0000FF"/>
            <w:sz w:val="24"/>
            <w:szCs w:val="24"/>
            <w:highlight w:val="cyan"/>
            <w:u w:val="single"/>
            <w:lang w:eastAsia="en-AU"/>
          </w:rPr>
          <w:t>137 Mo.App. 589</w:t>
        </w:r>
      </w:hyperlink>
      <w:r w:rsidRPr="00810FCB">
        <w:rPr>
          <w:rFonts w:ascii="Times New Roman" w:eastAsia="Times New Roman" w:hAnsi="Times New Roman" w:cs="Times New Roman"/>
          <w:sz w:val="24"/>
          <w:szCs w:val="24"/>
          <w:highlight w:val="cyan"/>
          <w:lang w:eastAsia="en-AU"/>
        </w:rPr>
        <w:t xml:space="preserve">, </w:t>
      </w:r>
      <w:r w:rsidRPr="00810FCB">
        <w:rPr>
          <w:rFonts w:ascii="Times New Roman" w:eastAsia="Times New Roman" w:hAnsi="Times New Roman" w:cs="Times New Roman"/>
          <w:color w:val="0000FF"/>
          <w:sz w:val="24"/>
          <w:szCs w:val="24"/>
          <w:highlight w:val="cyan"/>
          <w:u w:val="single"/>
          <w:lang w:eastAsia="en-AU"/>
        </w:rPr>
        <w:t>119 S.W. 56</w:t>
      </w:r>
      <w:r w:rsidRPr="00810FCB">
        <w:rPr>
          <w:rFonts w:ascii="Times New Roman" w:eastAsia="Times New Roman" w:hAnsi="Times New Roman" w:cs="Times New Roman"/>
          <w:sz w:val="24"/>
          <w:szCs w:val="24"/>
          <w:highlight w:val="cyan"/>
          <w:lang w:eastAsia="en-AU"/>
        </w:rPr>
        <w:t xml:space="preserve"> (1909); </w:t>
      </w:r>
      <w:r w:rsidRPr="00810FCB">
        <w:rPr>
          <w:rFonts w:ascii="Times New Roman" w:eastAsia="Times New Roman" w:hAnsi="Times New Roman" w:cs="Times New Roman"/>
          <w:i/>
          <w:iCs/>
          <w:sz w:val="24"/>
          <w:szCs w:val="24"/>
          <w:highlight w:val="cyan"/>
          <w:lang w:eastAsia="en-AU"/>
        </w:rPr>
        <w:t xml:space="preserve">Limberhand v. Big Ditch Co., </w:t>
      </w:r>
      <w:hyperlink r:id="rId15" w:history="1">
        <w:r w:rsidRPr="00810FCB">
          <w:rPr>
            <w:rFonts w:ascii="Times New Roman" w:eastAsia="Times New Roman" w:hAnsi="Times New Roman" w:cs="Times New Roman"/>
            <w:color w:val="0000FF"/>
            <w:sz w:val="24"/>
            <w:szCs w:val="24"/>
            <w:highlight w:val="cyan"/>
            <w:u w:val="single"/>
            <w:lang w:eastAsia="en-AU"/>
          </w:rPr>
          <w:t>218 Mont. 132</w:t>
        </w:r>
      </w:hyperlink>
      <w:r w:rsidRPr="00810FCB">
        <w:rPr>
          <w:rFonts w:ascii="Times New Roman" w:eastAsia="Times New Roman" w:hAnsi="Times New Roman" w:cs="Times New Roman"/>
          <w:sz w:val="24"/>
          <w:szCs w:val="24"/>
          <w:highlight w:val="cyan"/>
          <w:lang w:eastAsia="en-AU"/>
        </w:rPr>
        <w:t xml:space="preserve">, </w:t>
      </w:r>
      <w:r w:rsidRPr="00810FCB">
        <w:rPr>
          <w:rFonts w:ascii="Times New Roman" w:eastAsia="Times New Roman" w:hAnsi="Times New Roman" w:cs="Times New Roman"/>
          <w:color w:val="0000FF"/>
          <w:sz w:val="24"/>
          <w:szCs w:val="24"/>
          <w:highlight w:val="cyan"/>
          <w:u w:val="single"/>
          <w:lang w:eastAsia="en-AU"/>
        </w:rPr>
        <w:t>706 P.2d 491</w:t>
      </w:r>
      <w:r w:rsidRPr="00810FCB">
        <w:rPr>
          <w:rFonts w:ascii="Times New Roman" w:eastAsia="Times New Roman" w:hAnsi="Times New Roman" w:cs="Times New Roman"/>
          <w:sz w:val="24"/>
          <w:szCs w:val="24"/>
          <w:highlight w:val="cyan"/>
          <w:lang w:eastAsia="en-AU"/>
        </w:rPr>
        <w:t xml:space="preserve"> (1985); </w:t>
      </w:r>
      <w:r w:rsidRPr="00810FCB">
        <w:rPr>
          <w:rFonts w:ascii="Times New Roman" w:eastAsia="Times New Roman" w:hAnsi="Times New Roman" w:cs="Times New Roman"/>
          <w:i/>
          <w:iCs/>
          <w:sz w:val="24"/>
          <w:szCs w:val="24"/>
          <w:highlight w:val="cyan"/>
          <w:lang w:eastAsia="en-AU"/>
        </w:rPr>
        <w:t xml:space="preserve">Piedalue v. Clinton Elementary School Dist. No. 32, </w:t>
      </w:r>
      <w:hyperlink r:id="rId16" w:history="1">
        <w:r w:rsidRPr="00810FCB">
          <w:rPr>
            <w:rFonts w:ascii="Times New Roman" w:eastAsia="Times New Roman" w:hAnsi="Times New Roman" w:cs="Times New Roman"/>
            <w:color w:val="0000FF"/>
            <w:sz w:val="24"/>
            <w:szCs w:val="24"/>
            <w:highlight w:val="cyan"/>
            <w:u w:val="single"/>
            <w:lang w:eastAsia="en-AU"/>
          </w:rPr>
          <w:t>214 Mont. 99</w:t>
        </w:r>
      </w:hyperlink>
      <w:r w:rsidRPr="00810FCB">
        <w:rPr>
          <w:rFonts w:ascii="Times New Roman" w:eastAsia="Times New Roman" w:hAnsi="Times New Roman" w:cs="Times New Roman"/>
          <w:sz w:val="24"/>
          <w:szCs w:val="24"/>
          <w:highlight w:val="cyan"/>
          <w:lang w:eastAsia="en-AU"/>
        </w:rPr>
        <w:t xml:space="preserve">, </w:t>
      </w:r>
      <w:r w:rsidRPr="00810FCB">
        <w:rPr>
          <w:rFonts w:ascii="Times New Roman" w:eastAsia="Times New Roman" w:hAnsi="Times New Roman" w:cs="Times New Roman"/>
          <w:color w:val="0000FF"/>
          <w:sz w:val="24"/>
          <w:szCs w:val="24"/>
          <w:highlight w:val="cyan"/>
          <w:u w:val="single"/>
          <w:lang w:eastAsia="en-AU"/>
        </w:rPr>
        <w:t>692 P.2d 20</w:t>
      </w:r>
      <w:r w:rsidRPr="00810FCB">
        <w:rPr>
          <w:rFonts w:ascii="Times New Roman" w:eastAsia="Times New Roman" w:hAnsi="Times New Roman" w:cs="Times New Roman"/>
          <w:sz w:val="24"/>
          <w:szCs w:val="24"/>
          <w:highlight w:val="cyan"/>
          <w:lang w:eastAsia="en-AU"/>
        </w:rPr>
        <w:t xml:space="preserve"> (1984); </w:t>
      </w:r>
      <w:r w:rsidRPr="00810FCB">
        <w:rPr>
          <w:rFonts w:ascii="Times New Roman" w:eastAsia="Times New Roman" w:hAnsi="Times New Roman" w:cs="Times New Roman"/>
          <w:i/>
          <w:iCs/>
          <w:sz w:val="24"/>
          <w:szCs w:val="24"/>
          <w:highlight w:val="cyan"/>
          <w:lang w:eastAsia="en-AU"/>
        </w:rPr>
        <w:t xml:space="preserve">Lukasiewicz v. City of Buffalo, </w:t>
      </w:r>
      <w:hyperlink r:id="rId17" w:history="1">
        <w:r w:rsidRPr="00810FCB">
          <w:rPr>
            <w:rFonts w:ascii="Times New Roman" w:eastAsia="Times New Roman" w:hAnsi="Times New Roman" w:cs="Times New Roman"/>
            <w:color w:val="0000FF"/>
            <w:sz w:val="24"/>
            <w:szCs w:val="24"/>
            <w:highlight w:val="cyan"/>
            <w:u w:val="single"/>
            <w:lang w:eastAsia="en-AU"/>
          </w:rPr>
          <w:t>55 A.D.2d 848</w:t>
        </w:r>
      </w:hyperlink>
      <w:r w:rsidRPr="00810FCB">
        <w:rPr>
          <w:rFonts w:ascii="Times New Roman" w:eastAsia="Times New Roman" w:hAnsi="Times New Roman" w:cs="Times New Roman"/>
          <w:sz w:val="24"/>
          <w:szCs w:val="24"/>
          <w:highlight w:val="cyan"/>
          <w:lang w:eastAsia="en-AU"/>
        </w:rPr>
        <w:t xml:space="preserve">, </w:t>
      </w:r>
      <w:r w:rsidRPr="00810FCB">
        <w:rPr>
          <w:rFonts w:ascii="Times New Roman" w:eastAsia="Times New Roman" w:hAnsi="Times New Roman" w:cs="Times New Roman"/>
          <w:color w:val="0000FF"/>
          <w:sz w:val="24"/>
          <w:szCs w:val="24"/>
          <w:highlight w:val="cyan"/>
          <w:u w:val="single"/>
          <w:lang w:eastAsia="en-AU"/>
        </w:rPr>
        <w:t>390 N.Y.S.2d 341</w:t>
      </w:r>
      <w:r w:rsidRPr="00810FCB">
        <w:rPr>
          <w:rFonts w:ascii="Times New Roman" w:eastAsia="Times New Roman" w:hAnsi="Times New Roman" w:cs="Times New Roman"/>
          <w:sz w:val="24"/>
          <w:szCs w:val="24"/>
          <w:highlight w:val="cyan"/>
          <w:lang w:eastAsia="en-AU"/>
        </w:rPr>
        <w:t xml:space="preserve"> (1976); </w:t>
      </w:r>
      <w:r w:rsidRPr="00810FCB">
        <w:rPr>
          <w:rFonts w:ascii="Times New Roman" w:eastAsia="Times New Roman" w:hAnsi="Times New Roman" w:cs="Times New Roman"/>
          <w:i/>
          <w:iCs/>
          <w:sz w:val="24"/>
          <w:szCs w:val="24"/>
          <w:highlight w:val="cyan"/>
          <w:lang w:eastAsia="en-AU"/>
        </w:rPr>
        <w:t xml:space="preserve">Rockefeller v. Standard Oil Co., </w:t>
      </w:r>
      <w:hyperlink r:id="rId18" w:history="1">
        <w:r w:rsidRPr="00810FCB">
          <w:rPr>
            <w:rFonts w:ascii="Times New Roman" w:eastAsia="Times New Roman" w:hAnsi="Times New Roman" w:cs="Times New Roman"/>
            <w:color w:val="0000FF"/>
            <w:sz w:val="24"/>
            <w:szCs w:val="24"/>
            <w:highlight w:val="cyan"/>
            <w:u w:val="single"/>
            <w:lang w:eastAsia="en-AU"/>
          </w:rPr>
          <w:t>11 Wash.App. 520</w:t>
        </w:r>
      </w:hyperlink>
      <w:r w:rsidRPr="00810FCB">
        <w:rPr>
          <w:rFonts w:ascii="Times New Roman" w:eastAsia="Times New Roman" w:hAnsi="Times New Roman" w:cs="Times New Roman"/>
          <w:sz w:val="24"/>
          <w:szCs w:val="24"/>
          <w:highlight w:val="cyan"/>
          <w:lang w:eastAsia="en-AU"/>
        </w:rPr>
        <w:t xml:space="preserve">, </w:t>
      </w:r>
      <w:r w:rsidRPr="00810FCB">
        <w:rPr>
          <w:rFonts w:ascii="Times New Roman" w:eastAsia="Times New Roman" w:hAnsi="Times New Roman" w:cs="Times New Roman"/>
          <w:color w:val="0000FF"/>
          <w:sz w:val="24"/>
          <w:szCs w:val="24"/>
          <w:highlight w:val="cyan"/>
          <w:u w:val="single"/>
          <w:lang w:eastAsia="en-AU"/>
        </w:rPr>
        <w:t>523 P.2d 1207</w:t>
      </w:r>
      <w:r w:rsidRPr="00810FCB">
        <w:rPr>
          <w:rFonts w:ascii="Times New Roman" w:eastAsia="Times New Roman" w:hAnsi="Times New Roman" w:cs="Times New Roman"/>
          <w:sz w:val="24"/>
          <w:szCs w:val="24"/>
          <w:highlight w:val="cyan"/>
          <w:lang w:eastAsia="en-AU"/>
        </w:rPr>
        <w:t xml:space="preserve"> (1974).</w:t>
      </w:r>
    </w:p>
    <w:p w14:paraId="3939C177" w14:textId="29B24E0A"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Recently, this court declined to extend this duty in an appeal where the injury occurred at a considerable distance from the landowner’s property. </w:t>
      </w:r>
      <w:r w:rsidRPr="00F0089A">
        <w:rPr>
          <w:rFonts w:ascii="Times New Roman" w:eastAsia="Times New Roman" w:hAnsi="Times New Roman" w:cs="Times New Roman"/>
          <w:i/>
          <w:iCs/>
          <w:sz w:val="24"/>
          <w:szCs w:val="24"/>
          <w:lang w:eastAsia="en-AU"/>
        </w:rPr>
        <w:t xml:space="preserve">See Calkins v. Cox Estates, </w:t>
      </w:r>
      <w:r w:rsidRPr="00F0089A">
        <w:rPr>
          <w:rFonts w:ascii="Times New Roman" w:eastAsia="Times New Roman" w:hAnsi="Times New Roman" w:cs="Times New Roman"/>
          <w:sz w:val="24"/>
          <w:szCs w:val="24"/>
          <w:lang w:eastAsia="en-AU"/>
        </w:rPr>
        <w:t xml:space="preserve">N.M., No. 9886 (Ct.App.1988), </w:t>
      </w:r>
      <w:r w:rsidRPr="00F0089A">
        <w:rPr>
          <w:rFonts w:ascii="Times New Roman" w:eastAsia="Times New Roman" w:hAnsi="Times New Roman" w:cs="Times New Roman"/>
          <w:i/>
          <w:iCs/>
          <w:sz w:val="24"/>
          <w:szCs w:val="24"/>
          <w:lang w:eastAsia="en-AU"/>
        </w:rPr>
        <w:t xml:space="preserve">cert. granted </w:t>
      </w:r>
      <w:r w:rsidRPr="00F0089A">
        <w:rPr>
          <w:rFonts w:ascii="Times New Roman" w:eastAsia="Times New Roman" w:hAnsi="Times New Roman" w:cs="Times New Roman"/>
          <w:sz w:val="24"/>
          <w:szCs w:val="24"/>
          <w:lang w:eastAsia="en-AU"/>
        </w:rPr>
        <w:t xml:space="preserve">February 7, 1989. In </w:t>
      </w:r>
      <w:r w:rsidRPr="00F0089A">
        <w:rPr>
          <w:rFonts w:ascii="Times New Roman" w:eastAsia="Times New Roman" w:hAnsi="Times New Roman" w:cs="Times New Roman"/>
          <w:i/>
          <w:iCs/>
          <w:sz w:val="24"/>
          <w:szCs w:val="24"/>
          <w:lang w:eastAsia="en-AU"/>
        </w:rPr>
        <w:t xml:space="preserve">Calkins, </w:t>
      </w:r>
      <w:r w:rsidRPr="00F0089A">
        <w:rPr>
          <w:rFonts w:ascii="Times New Roman" w:eastAsia="Times New Roman" w:hAnsi="Times New Roman" w:cs="Times New Roman"/>
          <w:sz w:val="24"/>
          <w:szCs w:val="24"/>
          <w:lang w:eastAsia="en-AU"/>
        </w:rPr>
        <w:t xml:space="preserve">we were urged by plaintiff to hold that a landlord had a duty, as a matter of law, to maintain and repair a fence around the landlord’s property to prevent children of tenants from crossing into what plaintiff claimed was adjoining property, on which an alleged dangerous condition existed. We rejected plaintiff’s argument in </w:t>
      </w:r>
      <w:r w:rsidRPr="00F0089A">
        <w:rPr>
          <w:rFonts w:ascii="Times New Roman" w:eastAsia="Times New Roman" w:hAnsi="Times New Roman" w:cs="Times New Roman"/>
          <w:i/>
          <w:iCs/>
          <w:sz w:val="24"/>
          <w:szCs w:val="24"/>
          <w:lang w:eastAsia="en-AU"/>
        </w:rPr>
        <w:t xml:space="preserve">Calkins </w:t>
      </w:r>
      <w:r w:rsidRPr="00F0089A">
        <w:rPr>
          <w:rFonts w:ascii="Times New Roman" w:eastAsia="Times New Roman" w:hAnsi="Times New Roman" w:cs="Times New Roman"/>
          <w:sz w:val="24"/>
          <w:szCs w:val="24"/>
          <w:lang w:eastAsia="en-AU"/>
        </w:rPr>
        <w:t xml:space="preserve">and held there was not duty, as a matter of law, to protect against a dangerous condition existing some 945 feet from the fence. We held essentially that it was not a landowner’s duty to fence out all conceivable dangers existing outside the premises. In this appeal, however, we have before us an entirely different factual pattern compelling us to a different result. Here, </w:t>
      </w:r>
      <w:r w:rsidRPr="005E5C95">
        <w:rPr>
          <w:rFonts w:ascii="Times New Roman" w:eastAsia="Times New Roman" w:hAnsi="Times New Roman" w:cs="Times New Roman"/>
          <w:sz w:val="24"/>
          <w:szCs w:val="24"/>
          <w:highlight w:val="green"/>
          <w:lang w:eastAsia="en-AU"/>
        </w:rPr>
        <w:t>the easement on which the facility was installed was actually located on the Board’s premises, not across the property line or at some great distance.</w:t>
      </w:r>
    </w:p>
    <w:p w14:paraId="77BFBE94" w14:textId="3330A921"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5C95">
        <w:rPr>
          <w:rFonts w:ascii="Times New Roman" w:eastAsia="Times New Roman" w:hAnsi="Times New Roman" w:cs="Times New Roman"/>
          <w:sz w:val="24"/>
          <w:szCs w:val="24"/>
          <w:highlight w:val="green"/>
          <w:lang w:eastAsia="en-AU"/>
        </w:rPr>
        <w:t>Existence of the easement did not relieve the Board of a duty owed to Joseph. Neither did its existence affect the Board’s right of possession or control over its own land, as long as the Board did not interfere with the easement</w:t>
      </w:r>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i/>
          <w:iCs/>
          <w:sz w:val="24"/>
          <w:szCs w:val="24"/>
          <w:lang w:eastAsia="en-AU"/>
        </w:rPr>
        <w:t xml:space="preserve">See, e.g., Dyer v. Compere, </w:t>
      </w:r>
      <w:hyperlink r:id="rId19" w:history="1">
        <w:r w:rsidRPr="00F0089A">
          <w:rPr>
            <w:rFonts w:ascii="Times New Roman" w:eastAsia="Times New Roman" w:hAnsi="Times New Roman" w:cs="Times New Roman"/>
            <w:color w:val="0000FF"/>
            <w:sz w:val="24"/>
            <w:szCs w:val="24"/>
            <w:u w:val="single"/>
            <w:lang w:eastAsia="en-AU"/>
          </w:rPr>
          <w:t>41 N.M. 716</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73 P.2d 1356</w:t>
      </w:r>
      <w:r w:rsidRPr="00F0089A">
        <w:rPr>
          <w:rFonts w:ascii="Times New Roman" w:eastAsia="Times New Roman" w:hAnsi="Times New Roman" w:cs="Times New Roman"/>
          <w:sz w:val="24"/>
          <w:szCs w:val="24"/>
          <w:lang w:eastAsia="en-AU"/>
        </w:rPr>
        <w:t xml:space="preserve"> (1937) (rights of one holding an easement). The landowner may make any reasonable use desired of the land on which the easement exists. </w:t>
      </w:r>
      <w:r w:rsidRPr="00F0089A">
        <w:rPr>
          <w:rFonts w:ascii="Times New Roman" w:eastAsia="Times New Roman" w:hAnsi="Times New Roman" w:cs="Times New Roman"/>
          <w:i/>
          <w:iCs/>
          <w:sz w:val="24"/>
          <w:szCs w:val="24"/>
          <w:lang w:eastAsia="en-AU"/>
        </w:rPr>
        <w:t xml:space="preserve">Id. </w:t>
      </w:r>
      <w:r w:rsidRPr="00F0089A">
        <w:rPr>
          <w:rFonts w:ascii="Times New Roman" w:eastAsia="Times New Roman" w:hAnsi="Times New Roman" w:cs="Times New Roman"/>
          <w:sz w:val="24"/>
          <w:szCs w:val="24"/>
          <w:lang w:eastAsia="en-AU"/>
        </w:rPr>
        <w:t xml:space="preserve">This could include installation of a fence or other barrier, as well as warning against the danger. </w:t>
      </w:r>
      <w:r w:rsidRPr="00061349">
        <w:rPr>
          <w:rFonts w:ascii="Times New Roman" w:eastAsia="Times New Roman" w:hAnsi="Times New Roman" w:cs="Times New Roman"/>
          <w:sz w:val="24"/>
          <w:szCs w:val="24"/>
          <w:highlight w:val="green"/>
          <w:lang w:eastAsia="en-AU"/>
        </w:rPr>
        <w:t xml:space="preserve">We will not hesitate to recognize liability or fault when injuries are caused by a dangerous condition installed on an easement that in turn is located </w:t>
      </w:r>
      <w:r w:rsidRPr="00061349">
        <w:rPr>
          <w:rFonts w:ascii="Times New Roman" w:eastAsia="Times New Roman" w:hAnsi="Times New Roman" w:cs="Times New Roman"/>
          <w:i/>
          <w:iCs/>
          <w:sz w:val="24"/>
          <w:szCs w:val="24"/>
          <w:highlight w:val="green"/>
          <w:lang w:eastAsia="en-AU"/>
        </w:rPr>
        <w:t xml:space="preserve">on </w:t>
      </w:r>
      <w:r w:rsidRPr="00061349">
        <w:rPr>
          <w:rFonts w:ascii="Times New Roman" w:eastAsia="Times New Roman" w:hAnsi="Times New Roman" w:cs="Times New Roman"/>
          <w:sz w:val="24"/>
          <w:szCs w:val="24"/>
          <w:highlight w:val="green"/>
          <w:lang w:eastAsia="en-AU"/>
        </w:rPr>
        <w:t xml:space="preserve">the landowner’s property, not </w:t>
      </w:r>
      <w:r w:rsidRPr="00061349">
        <w:rPr>
          <w:rFonts w:ascii="Times New Roman" w:eastAsia="Times New Roman" w:hAnsi="Times New Roman" w:cs="Times New Roman"/>
          <w:i/>
          <w:iCs/>
          <w:sz w:val="24"/>
          <w:szCs w:val="24"/>
          <w:highlight w:val="green"/>
          <w:lang w:eastAsia="en-AU"/>
        </w:rPr>
        <w:t xml:space="preserve">outside </w:t>
      </w:r>
      <w:r w:rsidRPr="00061349">
        <w:rPr>
          <w:rFonts w:ascii="Times New Roman" w:eastAsia="Times New Roman" w:hAnsi="Times New Roman" w:cs="Times New Roman"/>
          <w:sz w:val="24"/>
          <w:szCs w:val="24"/>
          <w:highlight w:val="green"/>
          <w:lang w:eastAsia="en-AU"/>
        </w:rPr>
        <w:t>of it</w:t>
      </w:r>
      <w:r w:rsidRPr="00F0089A">
        <w:rPr>
          <w:rFonts w:ascii="Times New Roman" w:eastAsia="Times New Roman" w:hAnsi="Times New Roman" w:cs="Times New Roman"/>
          <w:sz w:val="24"/>
          <w:szCs w:val="24"/>
          <w:lang w:eastAsia="en-AU"/>
        </w:rPr>
        <w:t>.</w:t>
      </w:r>
    </w:p>
    <w:p w14:paraId="11FF377E" w14:textId="4A76FE69"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Our holding is supported by decisions in other jurisdictions. In </w:t>
      </w:r>
      <w:r w:rsidRPr="00F0089A">
        <w:rPr>
          <w:rFonts w:ascii="Times New Roman" w:eastAsia="Times New Roman" w:hAnsi="Times New Roman" w:cs="Times New Roman"/>
          <w:i/>
          <w:iCs/>
          <w:sz w:val="24"/>
          <w:szCs w:val="24"/>
          <w:lang w:eastAsia="en-AU"/>
        </w:rPr>
        <w:t xml:space="preserve">Weiss, </w:t>
      </w:r>
      <w:r w:rsidRPr="00F0089A">
        <w:rPr>
          <w:rFonts w:ascii="Times New Roman" w:eastAsia="Times New Roman" w:hAnsi="Times New Roman" w:cs="Times New Roman"/>
          <w:sz w:val="24"/>
          <w:szCs w:val="24"/>
          <w:lang w:eastAsia="en-AU"/>
        </w:rPr>
        <w:t xml:space="preserve">plaintiff was injured in a helicopter accident when his helicopter struck an aerial tramway cable located approximately 150 feet above the ground. The cable was part of an abandoned mining operation. One end of the cable was connected to a tower located on federal land. The United States government did not erect the cable or the support towers, nor did it own, maintain or use the cable before the accident. Plaintiff sued the government, alleging negligence in its failure to remove the cable or to warn of its existence. The trial court granted summary judgment to the government on the basis that it did not own or control the dangerous instrumentality and thus had no duty to plaintiff. The Tenth Circuit, applying Colorado law, reversed the trial court, quoting from </w:t>
      </w:r>
      <w:r w:rsidRPr="00F0089A">
        <w:rPr>
          <w:rFonts w:ascii="Times New Roman" w:eastAsia="Times New Roman" w:hAnsi="Times New Roman" w:cs="Times New Roman"/>
          <w:i/>
          <w:iCs/>
          <w:sz w:val="24"/>
          <w:szCs w:val="24"/>
          <w:lang w:eastAsia="en-AU"/>
        </w:rPr>
        <w:t xml:space="preserve">Mile High Fence Co. v. Radovich, </w:t>
      </w:r>
      <w:hyperlink r:id="rId20" w:history="1">
        <w:r w:rsidRPr="00F0089A">
          <w:rPr>
            <w:rFonts w:ascii="Times New Roman" w:eastAsia="Times New Roman" w:hAnsi="Times New Roman" w:cs="Times New Roman"/>
            <w:color w:val="0000FF"/>
            <w:sz w:val="24"/>
            <w:szCs w:val="24"/>
            <w:u w:val="single"/>
            <w:lang w:eastAsia="en-AU"/>
          </w:rPr>
          <w:t>175 Colo. 537</w:t>
        </w:r>
      </w:hyperlink>
      <w:r w:rsidRPr="00F0089A">
        <w:rPr>
          <w:rFonts w:ascii="Times New Roman" w:eastAsia="Times New Roman" w:hAnsi="Times New Roman" w:cs="Times New Roman"/>
          <w:sz w:val="24"/>
          <w:szCs w:val="24"/>
          <w:lang w:eastAsia="en-AU"/>
        </w:rPr>
        <w:t xml:space="preserve">, 547, </w:t>
      </w:r>
      <w:r w:rsidRPr="00F0089A">
        <w:rPr>
          <w:rFonts w:ascii="Times New Roman" w:eastAsia="Times New Roman" w:hAnsi="Times New Roman" w:cs="Times New Roman"/>
          <w:color w:val="0000FF"/>
          <w:sz w:val="24"/>
          <w:szCs w:val="24"/>
          <w:u w:val="single"/>
          <w:lang w:eastAsia="en-AU"/>
        </w:rPr>
        <w:t>489 P.2d 308</w:t>
      </w:r>
      <w:r w:rsidRPr="00F0089A">
        <w:rPr>
          <w:rFonts w:ascii="Times New Roman" w:eastAsia="Times New Roman" w:hAnsi="Times New Roman" w:cs="Times New Roman"/>
          <w:sz w:val="24"/>
          <w:szCs w:val="24"/>
          <w:lang w:eastAsia="en-AU"/>
        </w:rPr>
        <w:t>, 314 (1971):</w:t>
      </w:r>
    </w:p>
    <w:p w14:paraId="07009CD7"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[T]he basic theme running through the </w:t>
      </w:r>
      <w:r w:rsidRPr="00F0089A">
        <w:rPr>
          <w:rFonts w:ascii="Times New Roman" w:eastAsia="Times New Roman" w:hAnsi="Times New Roman" w:cs="Times New Roman"/>
          <w:i/>
          <w:iCs/>
          <w:sz w:val="24"/>
          <w:szCs w:val="24"/>
          <w:lang w:eastAsia="en-AU"/>
        </w:rPr>
        <w:t xml:space="preserve">Restatement </w:t>
      </w:r>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i/>
          <w:iCs/>
          <w:sz w:val="24"/>
          <w:szCs w:val="24"/>
          <w:lang w:eastAsia="en-AU"/>
        </w:rPr>
        <w:t xml:space="preserve">(Second) of Torts </w:t>
      </w:r>
      <w:r w:rsidRPr="00F0089A">
        <w:rPr>
          <w:rFonts w:ascii="Times New Roman" w:eastAsia="Times New Roman" w:hAnsi="Times New Roman" w:cs="Times New Roman"/>
          <w:sz w:val="24"/>
          <w:szCs w:val="24"/>
          <w:lang w:eastAsia="en-AU"/>
        </w:rPr>
        <w:t xml:space="preserve">] is that the possessor of land is liable to a person whether </w:t>
      </w:r>
      <w:r w:rsidRPr="00F0089A">
        <w:rPr>
          <w:rFonts w:ascii="Times New Roman" w:eastAsia="Times New Roman" w:hAnsi="Times New Roman" w:cs="Times New Roman"/>
          <w:i/>
          <w:iCs/>
          <w:sz w:val="24"/>
          <w:szCs w:val="24"/>
          <w:lang w:eastAsia="en-AU"/>
        </w:rPr>
        <w:t xml:space="preserve">licensee </w:t>
      </w:r>
      <w:r w:rsidRPr="00F0089A">
        <w:rPr>
          <w:rFonts w:ascii="Times New Roman" w:eastAsia="Times New Roman" w:hAnsi="Times New Roman" w:cs="Times New Roman"/>
          <w:sz w:val="24"/>
          <w:szCs w:val="24"/>
          <w:lang w:eastAsia="en-AU"/>
        </w:rPr>
        <w:t xml:space="preserve">or </w:t>
      </w:r>
      <w:r w:rsidRPr="00F0089A">
        <w:rPr>
          <w:rFonts w:ascii="Times New Roman" w:eastAsia="Times New Roman" w:hAnsi="Times New Roman" w:cs="Times New Roman"/>
          <w:i/>
          <w:iCs/>
          <w:sz w:val="24"/>
          <w:szCs w:val="24"/>
          <w:lang w:eastAsia="en-AU"/>
        </w:rPr>
        <w:t xml:space="preserve">invitee </w:t>
      </w:r>
      <w:r w:rsidRPr="00F0089A">
        <w:rPr>
          <w:rFonts w:ascii="Times New Roman" w:eastAsia="Times New Roman" w:hAnsi="Times New Roman" w:cs="Times New Roman"/>
          <w:sz w:val="24"/>
          <w:szCs w:val="24"/>
          <w:lang w:eastAsia="en-AU"/>
        </w:rPr>
        <w:t xml:space="preserve">or even </w:t>
      </w:r>
      <w:r w:rsidRPr="00F0089A">
        <w:rPr>
          <w:rFonts w:ascii="Times New Roman" w:eastAsia="Times New Roman" w:hAnsi="Times New Roman" w:cs="Times New Roman"/>
          <w:i/>
          <w:iCs/>
          <w:sz w:val="24"/>
          <w:szCs w:val="24"/>
          <w:lang w:eastAsia="en-AU"/>
        </w:rPr>
        <w:t xml:space="preserve">trespasser </w:t>
      </w:r>
      <w:r w:rsidRPr="00F0089A">
        <w:rPr>
          <w:rFonts w:ascii="Times New Roman" w:eastAsia="Times New Roman" w:hAnsi="Times New Roman" w:cs="Times New Roman"/>
          <w:sz w:val="24"/>
          <w:szCs w:val="24"/>
          <w:lang w:eastAsia="en-AU"/>
        </w:rPr>
        <w:t xml:space="preserve">for his negligence if (1) he knows of the condition, (2) knows that it involves an unreasonable risk of harm to a person, and (3) fails to take reasonable precaution to correct it. Whatever qualifications or modifications there are to the several rules in the </w:t>
      </w:r>
      <w:r w:rsidRPr="00F0089A">
        <w:rPr>
          <w:rFonts w:ascii="Times New Roman" w:eastAsia="Times New Roman" w:hAnsi="Times New Roman" w:cs="Times New Roman"/>
          <w:i/>
          <w:iCs/>
          <w:sz w:val="24"/>
          <w:szCs w:val="24"/>
          <w:lang w:eastAsia="en-AU"/>
        </w:rPr>
        <w:t xml:space="preserve">Restatement, </w:t>
      </w:r>
      <w:r w:rsidRPr="00F0089A">
        <w:rPr>
          <w:rFonts w:ascii="Times New Roman" w:eastAsia="Times New Roman" w:hAnsi="Times New Roman" w:cs="Times New Roman"/>
          <w:sz w:val="24"/>
          <w:szCs w:val="24"/>
          <w:lang w:eastAsia="en-AU"/>
        </w:rPr>
        <w:t>they bear on the reasonable man standard[.] [Emphasis in original.]</w:t>
      </w:r>
    </w:p>
    <w:p w14:paraId="3D8DA332" w14:textId="06529C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Similarly, in </w:t>
      </w:r>
      <w:r w:rsidRPr="00F0089A">
        <w:rPr>
          <w:rFonts w:ascii="Times New Roman" w:eastAsia="Times New Roman" w:hAnsi="Times New Roman" w:cs="Times New Roman"/>
          <w:i/>
          <w:iCs/>
          <w:sz w:val="24"/>
          <w:szCs w:val="24"/>
          <w:lang w:eastAsia="en-AU"/>
        </w:rPr>
        <w:t xml:space="preserve">Sutton v. Monongahela Power Co., </w:t>
      </w:r>
      <w:hyperlink r:id="rId21" w:history="1">
        <w:r w:rsidRPr="00F0089A">
          <w:rPr>
            <w:rFonts w:ascii="Times New Roman" w:eastAsia="Times New Roman" w:hAnsi="Times New Roman" w:cs="Times New Roman"/>
            <w:color w:val="0000FF"/>
            <w:sz w:val="24"/>
            <w:szCs w:val="24"/>
            <w:u w:val="single"/>
            <w:lang w:eastAsia="en-AU"/>
          </w:rPr>
          <w:t>151 W.Va. 961</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158 S.E.2d 98</w:t>
      </w:r>
      <w:r w:rsidRPr="00F0089A">
        <w:rPr>
          <w:rFonts w:ascii="Times New Roman" w:eastAsia="Times New Roman" w:hAnsi="Times New Roman" w:cs="Times New Roman"/>
          <w:sz w:val="24"/>
          <w:szCs w:val="24"/>
          <w:lang w:eastAsia="en-AU"/>
        </w:rPr>
        <w:t xml:space="preserve"> (1967), a ten-year-old boy was electrocuted when he was playing on a pile of sawdust near a sawmill. He came in contact with a 2,400-volt electrical transmission line owned by a local power company. The sawdust pile, thirty feet high, was on land owned by the owner of the sawmill. The power company owned an easement for its transmission line.</w:t>
      </w:r>
    </w:p>
    <w:p w14:paraId="7DBA8CC0"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Holding that both the power company and the landowner had duties of care in connection with the dangerous instrumentality, the court in </w:t>
      </w:r>
      <w:r w:rsidRPr="00F0089A">
        <w:rPr>
          <w:rFonts w:ascii="Times New Roman" w:eastAsia="Times New Roman" w:hAnsi="Times New Roman" w:cs="Times New Roman"/>
          <w:i/>
          <w:iCs/>
          <w:sz w:val="24"/>
          <w:szCs w:val="24"/>
          <w:lang w:eastAsia="en-AU"/>
        </w:rPr>
        <w:t xml:space="preserve">Sutton </w:t>
      </w:r>
      <w:r w:rsidRPr="00F0089A">
        <w:rPr>
          <w:rFonts w:ascii="Times New Roman" w:eastAsia="Times New Roman" w:hAnsi="Times New Roman" w:cs="Times New Roman"/>
          <w:sz w:val="24"/>
          <w:szCs w:val="24"/>
          <w:lang w:eastAsia="en-AU"/>
        </w:rPr>
        <w:t>stated:</w:t>
      </w:r>
    </w:p>
    <w:p w14:paraId="78B6AEE9"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The mere presence of a thirty foot sawdust pile by itself is not a dangerous instrumentality. There is no question but that a power line carrying 2400 volts of electricity is a dangerous instrumentality. The presence of both the sawdust pile and the leaning power line in close proximity to each other constitutes a dangerous instrumentality. [Citations omitted.]</w:t>
      </w:r>
    </w:p>
    <w:p w14:paraId="136128F1"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i/>
          <w:iCs/>
          <w:sz w:val="24"/>
          <w:szCs w:val="24"/>
          <w:lang w:eastAsia="en-AU"/>
        </w:rPr>
        <w:t xml:space="preserve">Id. </w:t>
      </w:r>
      <w:r w:rsidRPr="00F0089A">
        <w:rPr>
          <w:rFonts w:ascii="Times New Roman" w:eastAsia="Times New Roman" w:hAnsi="Times New Roman" w:cs="Times New Roman"/>
          <w:sz w:val="24"/>
          <w:szCs w:val="24"/>
          <w:lang w:eastAsia="en-AU"/>
        </w:rPr>
        <w:t xml:space="preserve">at 971, </w:t>
      </w:r>
      <w:hyperlink r:id="rId22" w:history="1">
        <w:r w:rsidRPr="00F0089A">
          <w:rPr>
            <w:rFonts w:ascii="Times New Roman" w:eastAsia="Times New Roman" w:hAnsi="Times New Roman" w:cs="Times New Roman"/>
            <w:color w:val="0000FF"/>
            <w:sz w:val="24"/>
            <w:szCs w:val="24"/>
            <w:u w:val="single"/>
            <w:lang w:eastAsia="en-AU"/>
          </w:rPr>
          <w:t>158 S.E.2d at 104</w:t>
        </w:r>
      </w:hyperlink>
      <w:r w:rsidRPr="00F0089A">
        <w:rPr>
          <w:rFonts w:ascii="Times New Roman" w:eastAsia="Times New Roman" w:hAnsi="Times New Roman" w:cs="Times New Roman"/>
          <w:sz w:val="24"/>
          <w:szCs w:val="24"/>
          <w:lang w:eastAsia="en-AU"/>
        </w:rPr>
        <w:t>.</w:t>
      </w:r>
    </w:p>
    <w:p w14:paraId="116C689D"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ADMISSION OF PAROL EVIDENCE:</w:t>
      </w:r>
    </w:p>
    <w:p w14:paraId="06F61852" w14:textId="52D733B0"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Both parties have included considerable argument in their respective briefs addressing the question of ownership of the facility generally and, particularly, owner</w:t>
      </w:r>
      <w:r w:rsidRPr="00F0089A">
        <w:rPr>
          <w:rFonts w:ascii="Times New Roman" w:eastAsia="Times New Roman" w:hAnsi="Times New Roman" w:cs="Times New Roman"/>
          <w:color w:val="0000FF"/>
          <w:sz w:val="24"/>
          <w:szCs w:val="24"/>
          <w:u w:val="single"/>
          <w:lang w:eastAsia="en-AU"/>
        </w:rPr>
        <w:t>*276</w:t>
      </w:r>
      <w:r w:rsidRPr="00F0089A">
        <w:rPr>
          <w:rFonts w:ascii="Times New Roman" w:eastAsia="Times New Roman" w:hAnsi="Times New Roman" w:cs="Times New Roman"/>
          <w:sz w:val="24"/>
          <w:szCs w:val="24"/>
          <w:lang w:eastAsia="en-AU"/>
        </w:rPr>
        <w:t xml:space="preserve">ship of what the parties have termed the </w:t>
      </w:r>
      <w:r w:rsidRPr="00F0089A">
        <w:rPr>
          <w:rFonts w:ascii="Times New Roman" w:eastAsia="Times New Roman" w:hAnsi="Times New Roman" w:cs="Times New Roman"/>
          <w:i/>
          <w:iCs/>
          <w:sz w:val="24"/>
          <w:szCs w:val="24"/>
          <w:lang w:eastAsia="en-AU"/>
        </w:rPr>
        <w:t xml:space="preserve">primary </w:t>
      </w:r>
      <w:r w:rsidRPr="00F0089A">
        <w:rPr>
          <w:rFonts w:ascii="Times New Roman" w:eastAsia="Times New Roman" w:hAnsi="Times New Roman" w:cs="Times New Roman"/>
          <w:sz w:val="24"/>
          <w:szCs w:val="24"/>
          <w:lang w:eastAsia="en-AU"/>
        </w:rPr>
        <w:t xml:space="preserve">and </w:t>
      </w:r>
      <w:r w:rsidRPr="00F0089A">
        <w:rPr>
          <w:rFonts w:ascii="Times New Roman" w:eastAsia="Times New Roman" w:hAnsi="Times New Roman" w:cs="Times New Roman"/>
          <w:i/>
          <w:iCs/>
          <w:sz w:val="24"/>
          <w:szCs w:val="24"/>
          <w:lang w:eastAsia="en-AU"/>
        </w:rPr>
        <w:t xml:space="preserve">secondary </w:t>
      </w:r>
      <w:r w:rsidRPr="00F0089A">
        <w:rPr>
          <w:rFonts w:ascii="Times New Roman" w:eastAsia="Times New Roman" w:hAnsi="Times New Roman" w:cs="Times New Roman"/>
          <w:sz w:val="24"/>
          <w:szCs w:val="24"/>
          <w:lang w:eastAsia="en-AU"/>
        </w:rPr>
        <w:t>electrical systems. We view these respective arguments as intended by the parties to bear on the existence of the Board’s duty of care. This court, however, believes that determination of such ownership is not necessary to our decision on the existence of such a duty.</w:t>
      </w:r>
    </w:p>
    <w:p w14:paraId="2A0FA7A1"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We nevertheless recognize that ownership of various parts of the facility may be important on remand of this appeal, in connection with the question of comparative negligence, assuming there is a finding by the trier of fact that the duty was breached. For example, ownership or non-ownership of the “secondary electrical system” by the Board may assist the trier of fact in setting the boundaries of the respective faults, if any, when comparing negligence. For this reason, we feel compelled to address the question of whether there was ambiguity in the 1966 deed conveying the school property from the United States to the Board and the trial court’s holding that parol evidence was admissible in determining: (1) the meaning of various terms used in the deed; and (2) the intent of the parties.</w:t>
      </w:r>
    </w:p>
    <w:p w14:paraId="359E9AEA"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Plaintiffs argue on appeal that, “because the * * * deed clearly and unambiguously conveyed to the * * * Board everything at the school but the primary electrical system, the easement to the primary and the meter, extrinsic evidence should not have been admitted to vary and contradict the terms of the deed[.]” In determining whether the trial court erred in holding the deed was ambiguous, we must examine some of the important language in the deed to ascertain what, if anything, was clearly and unambiguously conveyed. First, at page four, the property for the Mountain Elementary School is described as follows:</w:t>
      </w:r>
    </w:p>
    <w:p w14:paraId="20A9CB2A"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i/>
          <w:iCs/>
          <w:sz w:val="24"/>
          <w:szCs w:val="24"/>
          <w:lang w:eastAsia="en-AU"/>
        </w:rPr>
        <w:t xml:space="preserve">Parcel No. 10 </w:t>
      </w:r>
      <w:r w:rsidRPr="00F0089A">
        <w:rPr>
          <w:rFonts w:ascii="Times New Roman" w:eastAsia="Times New Roman" w:hAnsi="Times New Roman" w:cs="Times New Roman"/>
          <w:sz w:val="24"/>
          <w:szCs w:val="24"/>
          <w:lang w:eastAsia="en-AU"/>
        </w:rPr>
        <w:t>(Mountain Elementary School)</w:t>
      </w:r>
    </w:p>
    <w:p w14:paraId="2CE3E107"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TRACT: D</w:t>
      </w:r>
    </w:p>
    <w:p w14:paraId="3D3C8A0F"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SUBDIVISION PLAT: North Community No. 1</w:t>
      </w:r>
    </w:p>
    <w:p w14:paraId="568923FC"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FILED FOR RECORD: Plat Book 1, Page 64, Document No. 4743</w:t>
      </w:r>
    </w:p>
    <w:p w14:paraId="66365FC6"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DATE OF FILING: September 10, 1965</w:t>
      </w:r>
    </w:p>
    <w:p w14:paraId="4F0517FB"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SUBJECT TO THE FOLLOWING EASEMENT:</w:t>
      </w:r>
    </w:p>
    <w:p w14:paraId="1175C4FD"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i/>
          <w:iCs/>
          <w:sz w:val="24"/>
          <w:szCs w:val="24"/>
          <w:lang w:eastAsia="en-AU"/>
        </w:rPr>
        <w:t xml:space="preserve">For primary electrical system: </w:t>
      </w:r>
      <w:r w:rsidRPr="00F0089A">
        <w:rPr>
          <w:rFonts w:ascii="Times New Roman" w:eastAsia="Times New Roman" w:hAnsi="Times New Roman" w:cs="Times New Roman"/>
          <w:sz w:val="24"/>
          <w:szCs w:val="24"/>
          <w:lang w:eastAsia="en-AU"/>
        </w:rPr>
        <w:t>A strip of land located within that portion of Tract D lying easterly of a line lying parallel to and 20.0 feet westerly from the easterly line of Tract D (the westerly line of Diamond Drive).</w:t>
      </w:r>
    </w:p>
    <w:p w14:paraId="6E12D85A"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We shall refer to this description as the easement provision. At the bottom of page four and in the middle of page five, the following pertinent language is found:</w:t>
      </w:r>
    </w:p>
    <w:p w14:paraId="6402E89C"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EXCEPTING AND RESERVING UNTO THE GRANTOR, ITS SUCCESSORS AND ASSIGNS WITHIN EACH PARCEL OF THE AFORESAID REAL ESTATE:</w:t>
      </w:r>
    </w:p>
    <w:p w14:paraId="5EA28282"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w:t>
      </w:r>
    </w:p>
    <w:p w14:paraId="1B75AD44"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2. All water, gas, sewer, </w:t>
      </w:r>
      <w:r w:rsidRPr="00F0089A">
        <w:rPr>
          <w:rFonts w:ascii="Times New Roman" w:eastAsia="Times New Roman" w:hAnsi="Times New Roman" w:cs="Times New Roman"/>
          <w:i/>
          <w:iCs/>
          <w:sz w:val="24"/>
          <w:szCs w:val="24"/>
          <w:lang w:eastAsia="en-AU"/>
        </w:rPr>
        <w:t xml:space="preserve">electrical, </w:t>
      </w:r>
      <w:r w:rsidRPr="00F0089A">
        <w:rPr>
          <w:rFonts w:ascii="Times New Roman" w:eastAsia="Times New Roman" w:hAnsi="Times New Roman" w:cs="Times New Roman"/>
          <w:sz w:val="24"/>
          <w:szCs w:val="24"/>
          <w:lang w:eastAsia="en-AU"/>
        </w:rPr>
        <w:t xml:space="preserve">and telephone, </w:t>
      </w:r>
      <w:r w:rsidRPr="00F0089A">
        <w:rPr>
          <w:rFonts w:ascii="Times New Roman" w:eastAsia="Times New Roman" w:hAnsi="Times New Roman" w:cs="Times New Roman"/>
          <w:i/>
          <w:iCs/>
          <w:sz w:val="24"/>
          <w:szCs w:val="24"/>
          <w:lang w:eastAsia="en-AU"/>
        </w:rPr>
        <w:t xml:space="preserve">main </w:t>
      </w:r>
      <w:r w:rsidRPr="00F0089A">
        <w:rPr>
          <w:rFonts w:ascii="Times New Roman" w:eastAsia="Times New Roman" w:hAnsi="Times New Roman" w:cs="Times New Roman"/>
          <w:sz w:val="24"/>
          <w:szCs w:val="24"/>
          <w:lang w:eastAsia="en-AU"/>
        </w:rPr>
        <w:t xml:space="preserve">or </w:t>
      </w:r>
      <w:r w:rsidRPr="00F0089A">
        <w:rPr>
          <w:rFonts w:ascii="Times New Roman" w:eastAsia="Times New Roman" w:hAnsi="Times New Roman" w:cs="Times New Roman"/>
          <w:i/>
          <w:iCs/>
          <w:sz w:val="24"/>
          <w:szCs w:val="24"/>
          <w:lang w:eastAsia="en-AU"/>
        </w:rPr>
        <w:t xml:space="preserve">primary systems, </w:t>
      </w:r>
      <w:r w:rsidRPr="00F0089A">
        <w:rPr>
          <w:rFonts w:ascii="Times New Roman" w:eastAsia="Times New Roman" w:hAnsi="Times New Roman" w:cs="Times New Roman"/>
          <w:sz w:val="24"/>
          <w:szCs w:val="24"/>
          <w:lang w:eastAsia="en-AU"/>
        </w:rPr>
        <w:t xml:space="preserve">and all </w:t>
      </w:r>
      <w:r w:rsidRPr="00F0089A">
        <w:rPr>
          <w:rFonts w:ascii="Times New Roman" w:eastAsia="Times New Roman" w:hAnsi="Times New Roman" w:cs="Times New Roman"/>
          <w:i/>
          <w:iCs/>
          <w:sz w:val="24"/>
          <w:szCs w:val="24"/>
          <w:lang w:eastAsia="en-AU"/>
        </w:rPr>
        <w:t xml:space="preserve">meters </w:t>
      </w:r>
      <w:r w:rsidRPr="00F0089A">
        <w:rPr>
          <w:rFonts w:ascii="Times New Roman" w:eastAsia="Times New Roman" w:hAnsi="Times New Roman" w:cs="Times New Roman"/>
          <w:sz w:val="24"/>
          <w:szCs w:val="24"/>
          <w:lang w:eastAsia="en-AU"/>
        </w:rPr>
        <w:t>installed in connection with the furnishing of such utilities services.</w:t>
      </w:r>
    </w:p>
    <w:p w14:paraId="0C84BCBC"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w:t>
      </w:r>
    </w:p>
    <w:p w14:paraId="5B492028" w14:textId="77777777" w:rsidR="00F0089A" w:rsidRPr="00F0089A" w:rsidRDefault="00F0089A" w:rsidP="00F0089A">
      <w:pPr>
        <w:spacing w:after="100"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4. All easements shown on or referred to in the description of each parcel of the aforesaid real estate, </w:t>
      </w:r>
      <w:r w:rsidRPr="00F0089A">
        <w:rPr>
          <w:rFonts w:ascii="Times New Roman" w:eastAsia="Times New Roman" w:hAnsi="Times New Roman" w:cs="Times New Roman"/>
          <w:i/>
          <w:iCs/>
          <w:sz w:val="24"/>
          <w:szCs w:val="24"/>
          <w:lang w:eastAsia="en-AU"/>
        </w:rPr>
        <w:t xml:space="preserve">including necessary access and egress, </w:t>
      </w:r>
      <w:r w:rsidRPr="00F0089A">
        <w:rPr>
          <w:rFonts w:ascii="Times New Roman" w:eastAsia="Times New Roman" w:hAnsi="Times New Roman" w:cs="Times New Roman"/>
          <w:sz w:val="24"/>
          <w:szCs w:val="24"/>
          <w:lang w:eastAsia="en-AU"/>
        </w:rPr>
        <w:t xml:space="preserve">for the purpose of constructing, reconstructing, operating, maintaining, relocating and removing, within and subject to existing easements or rights of use, any of the </w:t>
      </w:r>
      <w:r w:rsidRPr="00F0089A">
        <w:rPr>
          <w:rFonts w:ascii="Times New Roman" w:eastAsia="Times New Roman" w:hAnsi="Times New Roman" w:cs="Times New Roman"/>
          <w:i/>
          <w:iCs/>
          <w:sz w:val="24"/>
          <w:szCs w:val="24"/>
          <w:lang w:eastAsia="en-AU"/>
        </w:rPr>
        <w:t xml:space="preserve">fixtures, utilities systems, lines </w:t>
      </w:r>
      <w:r w:rsidRPr="00F0089A">
        <w:rPr>
          <w:rFonts w:ascii="Times New Roman" w:eastAsia="Times New Roman" w:hAnsi="Times New Roman" w:cs="Times New Roman"/>
          <w:sz w:val="24"/>
          <w:szCs w:val="24"/>
          <w:lang w:eastAsia="en-AU"/>
        </w:rPr>
        <w:t xml:space="preserve">and </w:t>
      </w:r>
      <w:r w:rsidRPr="00F0089A">
        <w:rPr>
          <w:rFonts w:ascii="Times New Roman" w:eastAsia="Times New Roman" w:hAnsi="Times New Roman" w:cs="Times New Roman"/>
          <w:i/>
          <w:iCs/>
          <w:sz w:val="24"/>
          <w:szCs w:val="24"/>
          <w:lang w:eastAsia="en-AU"/>
        </w:rPr>
        <w:t xml:space="preserve">appurtenances </w:t>
      </w:r>
      <w:r w:rsidRPr="00F0089A">
        <w:rPr>
          <w:rFonts w:ascii="Times New Roman" w:eastAsia="Times New Roman" w:hAnsi="Times New Roman" w:cs="Times New Roman"/>
          <w:sz w:val="24"/>
          <w:szCs w:val="24"/>
          <w:lang w:eastAsia="en-AU"/>
        </w:rPr>
        <w:t>referred to above. [Emphasis added.]</w:t>
      </w:r>
    </w:p>
    <w:p w14:paraId="1F6390A6" w14:textId="60638476"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When a deed or other written instrument is clear and unambiguous, extrinsic evidence will not be admitted or considered to alter or vary the terms used in the instrument. </w:t>
      </w:r>
      <w:r w:rsidRPr="00F0089A">
        <w:rPr>
          <w:rFonts w:ascii="Times New Roman" w:eastAsia="Times New Roman" w:hAnsi="Times New Roman" w:cs="Times New Roman"/>
          <w:i/>
          <w:iCs/>
          <w:sz w:val="24"/>
          <w:szCs w:val="24"/>
          <w:lang w:eastAsia="en-AU"/>
        </w:rPr>
        <w:t xml:space="preserve">Northrip v. Conner, </w:t>
      </w:r>
      <w:hyperlink r:id="rId23" w:history="1">
        <w:r w:rsidRPr="00F0089A">
          <w:rPr>
            <w:rFonts w:ascii="Times New Roman" w:eastAsia="Times New Roman" w:hAnsi="Times New Roman" w:cs="Times New Roman"/>
            <w:color w:val="0000FF"/>
            <w:sz w:val="24"/>
            <w:szCs w:val="24"/>
            <w:u w:val="single"/>
            <w:lang w:eastAsia="en-AU"/>
          </w:rPr>
          <w:t>107 N.M. 139</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754 P.2d 516</w:t>
      </w:r>
      <w:r w:rsidRPr="00F0089A">
        <w:rPr>
          <w:rFonts w:ascii="Times New Roman" w:eastAsia="Times New Roman" w:hAnsi="Times New Roman" w:cs="Times New Roman"/>
          <w:sz w:val="24"/>
          <w:szCs w:val="24"/>
          <w:lang w:eastAsia="en-AU"/>
        </w:rPr>
        <w:t xml:space="preserve"> (1988). Whether ambiguity exists is a question of law. </w:t>
      </w:r>
      <w:r w:rsidRPr="00F0089A">
        <w:rPr>
          <w:rFonts w:ascii="Times New Roman" w:eastAsia="Times New Roman" w:hAnsi="Times New Roman" w:cs="Times New Roman"/>
          <w:i/>
          <w:iCs/>
          <w:sz w:val="24"/>
          <w:szCs w:val="24"/>
          <w:lang w:eastAsia="en-AU"/>
        </w:rPr>
        <w:t xml:space="preserve">Levenson v. Mobley, </w:t>
      </w:r>
      <w:hyperlink r:id="rId24" w:history="1">
        <w:r w:rsidRPr="00F0089A">
          <w:rPr>
            <w:rFonts w:ascii="Times New Roman" w:eastAsia="Times New Roman" w:hAnsi="Times New Roman" w:cs="Times New Roman"/>
            <w:color w:val="0000FF"/>
            <w:sz w:val="24"/>
            <w:szCs w:val="24"/>
            <w:u w:val="single"/>
            <w:lang w:eastAsia="en-AU"/>
          </w:rPr>
          <w:t>106 N.M. 399</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744 P.2d 174</w:t>
      </w:r>
      <w:r w:rsidRPr="00F0089A">
        <w:rPr>
          <w:rFonts w:ascii="Times New Roman" w:eastAsia="Times New Roman" w:hAnsi="Times New Roman" w:cs="Times New Roman"/>
          <w:sz w:val="24"/>
          <w:szCs w:val="24"/>
          <w:lang w:eastAsia="en-AU"/>
        </w:rPr>
        <w:t xml:space="preserve"> (1987). In determining whether parol evidence will be admitted, the standard applied is that such evidence is permitted “if [the instrument] is reasonably and fairly susceptible of different constructions.” </w:t>
      </w:r>
      <w:r w:rsidRPr="00F0089A">
        <w:rPr>
          <w:rFonts w:ascii="Times New Roman" w:eastAsia="Times New Roman" w:hAnsi="Times New Roman" w:cs="Times New Roman"/>
          <w:i/>
          <w:iCs/>
          <w:sz w:val="24"/>
          <w:szCs w:val="24"/>
          <w:lang w:eastAsia="en-AU"/>
        </w:rPr>
        <w:t xml:space="preserve">Id. </w:t>
      </w:r>
      <w:r w:rsidRPr="00F0089A">
        <w:rPr>
          <w:rFonts w:ascii="Times New Roman" w:eastAsia="Times New Roman" w:hAnsi="Times New Roman" w:cs="Times New Roman"/>
          <w:sz w:val="24"/>
          <w:szCs w:val="24"/>
          <w:lang w:eastAsia="en-AU"/>
        </w:rPr>
        <w:t xml:space="preserve">at 401, </w:t>
      </w:r>
      <w:hyperlink r:id="rId25" w:history="1">
        <w:r w:rsidRPr="00F0089A">
          <w:rPr>
            <w:rFonts w:ascii="Times New Roman" w:eastAsia="Times New Roman" w:hAnsi="Times New Roman" w:cs="Times New Roman"/>
            <w:color w:val="0000FF"/>
            <w:sz w:val="24"/>
            <w:szCs w:val="24"/>
            <w:u w:val="single"/>
            <w:lang w:eastAsia="en-AU"/>
          </w:rPr>
          <w:t>744 P.2d at 176</w:t>
        </w:r>
      </w:hyperlink>
      <w:r w:rsidRPr="00F0089A">
        <w:rPr>
          <w:rFonts w:ascii="Times New Roman" w:eastAsia="Times New Roman" w:hAnsi="Times New Roman" w:cs="Times New Roman"/>
          <w:sz w:val="24"/>
          <w:szCs w:val="24"/>
          <w:lang w:eastAsia="en-AU"/>
        </w:rPr>
        <w:t>.</w:t>
      </w:r>
    </w:p>
    <w:p w14:paraId="49B0FC48" w14:textId="1CC6A1D0"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Those provisions of the deed noted above contain various technical terms, for exam-</w:t>
      </w:r>
      <w:r w:rsidRPr="00F0089A">
        <w:rPr>
          <w:rFonts w:ascii="Times New Roman" w:eastAsia="Times New Roman" w:hAnsi="Times New Roman" w:cs="Times New Roman"/>
          <w:color w:val="0000FF"/>
          <w:sz w:val="24"/>
          <w:szCs w:val="24"/>
          <w:u w:val="single"/>
          <w:lang w:eastAsia="en-AU"/>
        </w:rPr>
        <w:t>*277</w:t>
      </w:r>
      <w:r w:rsidRPr="00F0089A">
        <w:rPr>
          <w:rFonts w:ascii="Times New Roman" w:eastAsia="Times New Roman" w:hAnsi="Times New Roman" w:cs="Times New Roman"/>
          <w:sz w:val="24"/>
          <w:szCs w:val="24"/>
          <w:lang w:eastAsia="en-AU"/>
        </w:rPr>
        <w:t xml:space="preserve">pie, “primary electrical system,” “main or primary systems,” and “meters.” It is generally recognized that parol evidence is permitted to explain technical terms; such evidence is admissible to define or explain the meaning of technical words or phrases applicable to a particular industry or trade. </w:t>
      </w:r>
      <w:r w:rsidRPr="00F0089A">
        <w:rPr>
          <w:rFonts w:ascii="Times New Roman" w:eastAsia="Times New Roman" w:hAnsi="Times New Roman" w:cs="Times New Roman"/>
          <w:i/>
          <w:iCs/>
          <w:sz w:val="24"/>
          <w:szCs w:val="24"/>
          <w:lang w:eastAsia="en-AU"/>
        </w:rPr>
        <w:t xml:space="preserve">Sierra Life Ins. Co. v. First Nat’l Life Ins. Co., </w:t>
      </w:r>
      <w:hyperlink r:id="rId26" w:history="1">
        <w:r w:rsidRPr="00F0089A">
          <w:rPr>
            <w:rFonts w:ascii="Times New Roman" w:eastAsia="Times New Roman" w:hAnsi="Times New Roman" w:cs="Times New Roman"/>
            <w:color w:val="0000FF"/>
            <w:sz w:val="24"/>
            <w:szCs w:val="24"/>
            <w:u w:val="single"/>
            <w:lang w:eastAsia="en-AU"/>
          </w:rPr>
          <w:t>85 N.M. 409</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512 P.2d 1245</w:t>
      </w:r>
      <w:r w:rsidRPr="00F0089A">
        <w:rPr>
          <w:rFonts w:ascii="Times New Roman" w:eastAsia="Times New Roman" w:hAnsi="Times New Roman" w:cs="Times New Roman"/>
          <w:sz w:val="24"/>
          <w:szCs w:val="24"/>
          <w:lang w:eastAsia="en-AU"/>
        </w:rPr>
        <w:t xml:space="preserve"> (1973). Plaintiffs so concede.</w:t>
      </w:r>
    </w:p>
    <w:p w14:paraId="25CB370A"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At oral argument, plaintiffs relied on the fact that the easement language, which referred to a specific plat introduced in evidence, clearly described a rectangular tract whose boundaries were delineated in the plat. The facility was located on this tract. Plaintiffs also emphasized the tract shown on the plat did not extend to include the underground “secondary electrical” line that originated at the top of the facility and continued downward through a conduit alongside one of the poles and then underground to the meters located in the school building. We understand plaintiffs’ argument to be that, if the deed was intended to convey the secondary electrical system to the Board, the easement language would have necessarily included an extended tract to encompass the underground line terminating at the meters. Failure of the parties to have extended this tract, plaintiffs’ argument continued, clearly indicated that the United States reserved only the primary electrical system, thus conveying the secondary system to the Board.</w:t>
      </w:r>
    </w:p>
    <w:p w14:paraId="000B4F28"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If the pertinent language used in the deed had been confined to the easement language, and nothing further had been stated, we might agree that plaintiffs’ argument had some validity. Such was not the case, however, since the reservation provisions followed at page five of the deed. The various provisions are to be read together and we should not isolate any particular term or provision in determining its meaning, without reading all the provisions as a whole. It is especially revealing, for example, that although the deed clearly reserved ownership of the meters in the United States, an easement permitting access to such meters was neither shown on the plat nor described in the deed. The plain fact is, we believe, that even a cursory review of the deed’s relevant language reveals that the instrument was poorly drafted, at best. It is precisely this poor draftmanship, in our view, that created the ambiguous document the trial court found to exist. Viewed in this light, we hold that, as a matter of law, the deed’s provisions were ambiguous. It follows that the trial court did not err in admitting parol evidence not only to define the terms used by the parties but to determine the parties’ intent.</w:t>
      </w:r>
    </w:p>
    <w:p w14:paraId="4CE860CF" w14:textId="5900BC45"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Irrespective of our holding, however, even if we were to assume for the sake of discussion that, upon first reading, the deed appeared unambiguous, it is readily apparent to us, after having reviewed the properly admissible expert testimony allowed by the trial court to explain the meaning of the deed’s technical terms, that existence of an ambiguity became clear. This testimony showed that the various terms were “reasonably and fairly susceptible of different constructions.” </w:t>
      </w:r>
      <w:r w:rsidRPr="00F0089A">
        <w:rPr>
          <w:rFonts w:ascii="Times New Roman" w:eastAsia="Times New Roman" w:hAnsi="Times New Roman" w:cs="Times New Roman"/>
          <w:i/>
          <w:iCs/>
          <w:sz w:val="24"/>
          <w:szCs w:val="24"/>
          <w:lang w:eastAsia="en-AU"/>
        </w:rPr>
        <w:t xml:space="preserve">See Levenson v. Mobley, </w:t>
      </w:r>
      <w:hyperlink r:id="rId27" w:history="1">
        <w:r w:rsidRPr="00F0089A">
          <w:rPr>
            <w:rFonts w:ascii="Times New Roman" w:eastAsia="Times New Roman" w:hAnsi="Times New Roman" w:cs="Times New Roman"/>
            <w:color w:val="0000FF"/>
            <w:sz w:val="24"/>
            <w:szCs w:val="24"/>
            <w:u w:val="single"/>
            <w:lang w:eastAsia="en-AU"/>
          </w:rPr>
          <w:t>106 N.M. at 401</w:t>
        </w:r>
      </w:hyperlink>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color w:val="0000FF"/>
          <w:sz w:val="24"/>
          <w:szCs w:val="24"/>
          <w:u w:val="single"/>
          <w:lang w:eastAsia="en-AU"/>
        </w:rPr>
        <w:t>744 P.2d at 176</w:t>
      </w:r>
      <w:r w:rsidRPr="00F0089A">
        <w:rPr>
          <w:rFonts w:ascii="Times New Roman" w:eastAsia="Times New Roman" w:hAnsi="Times New Roman" w:cs="Times New Roman"/>
          <w:sz w:val="24"/>
          <w:szCs w:val="24"/>
          <w:lang w:eastAsia="en-AU"/>
        </w:rPr>
        <w:t xml:space="preserve">. For example, defendant’s expert witness, an electrical engineer, testified that the “meter” was the </w:t>
      </w:r>
      <w:r w:rsidRPr="00F0089A">
        <w:rPr>
          <w:rFonts w:ascii="Times New Roman" w:eastAsia="Times New Roman" w:hAnsi="Times New Roman" w:cs="Times New Roman"/>
          <w:i/>
          <w:iCs/>
          <w:sz w:val="24"/>
          <w:szCs w:val="24"/>
          <w:lang w:eastAsia="en-AU"/>
        </w:rPr>
        <w:t xml:space="preserve">point of delivery, </w:t>
      </w:r>
      <w:r w:rsidRPr="00F0089A">
        <w:rPr>
          <w:rFonts w:ascii="Times New Roman" w:eastAsia="Times New Roman" w:hAnsi="Times New Roman" w:cs="Times New Roman"/>
          <w:sz w:val="24"/>
          <w:szCs w:val="24"/>
          <w:lang w:eastAsia="en-AU"/>
        </w:rPr>
        <w:t>and that this juncture was generally recognized as the line of demarcation between utility control and consumer control. He also stated that generally, a public utility had ownership of the electrical system all the way to the point of delivery. Additionally, another expert witness testified that the terms “primary” and “secondary” acquired their meaning from the speaker’s perspective. The same conduit or line, he stated, could be “secondary” to the County, yet “primary” to the school. In the context of this testimony explaining or defining the various terms used in the deed, we can reasonably conclude that the grantor, in conveying the subject property to the Board, was not using the phrase “primary electrical system” in its true, technical sense, as plaintiffs have interpreted it.</w:t>
      </w:r>
    </w:p>
    <w:p w14:paraId="09D6D6A5"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We thus conclude that the trial court properly admitted the challenged parol evidence and that its findings were therefore supported by </w:t>
      </w:r>
      <w:r w:rsidRPr="00F0089A">
        <w:rPr>
          <w:rFonts w:ascii="Times New Roman" w:eastAsia="Times New Roman" w:hAnsi="Times New Roman" w:cs="Times New Roman"/>
          <w:i/>
          <w:iCs/>
          <w:sz w:val="24"/>
          <w:szCs w:val="24"/>
          <w:lang w:eastAsia="en-AU"/>
        </w:rPr>
        <w:t xml:space="preserve">properly admissible </w:t>
      </w:r>
      <w:r w:rsidRPr="00F0089A">
        <w:rPr>
          <w:rFonts w:ascii="Times New Roman" w:eastAsia="Times New Roman" w:hAnsi="Times New Roman" w:cs="Times New Roman"/>
          <w:sz w:val="24"/>
          <w:szCs w:val="24"/>
          <w:lang w:eastAsia="en-AU"/>
        </w:rPr>
        <w:t xml:space="preserve">evidence. We need not determine whether </w:t>
      </w:r>
      <w:hyperlink r:id="rId28" w:anchor="p278" w:history="1">
        <w:r w:rsidRPr="00F0089A">
          <w:rPr>
            <w:rFonts w:ascii="Times New Roman" w:eastAsia="Times New Roman" w:hAnsi="Times New Roman" w:cs="Times New Roman"/>
            <w:color w:val="0000FF"/>
            <w:sz w:val="24"/>
            <w:szCs w:val="24"/>
            <w:u w:val="single"/>
            <w:lang w:eastAsia="en-AU"/>
          </w:rPr>
          <w:t>*278</w:t>
        </w:r>
      </w:hyperlink>
      <w:r w:rsidRPr="00F0089A">
        <w:rPr>
          <w:rFonts w:ascii="Times New Roman" w:eastAsia="Times New Roman" w:hAnsi="Times New Roman" w:cs="Times New Roman"/>
          <w:sz w:val="24"/>
          <w:szCs w:val="24"/>
          <w:lang w:eastAsia="en-AU"/>
        </w:rPr>
        <w:t>such findings were supported by substantial evidence, since we do not understand plaintiffs’ argument to challenge the sufficiency of the evidence admitted on the ambiguity issue, but only that it was error to permit it in the first place.</w:t>
      </w:r>
    </w:p>
    <w:p w14:paraId="11F53935"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CONCLUSION:</w:t>
      </w:r>
    </w:p>
    <w:p w14:paraId="07A061C0" w14:textId="19EEA3A9"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In summary, we hold that, as a matter of law, </w:t>
      </w:r>
      <w:r w:rsidRPr="00071C2D">
        <w:rPr>
          <w:rFonts w:ascii="Times New Roman" w:eastAsia="Times New Roman" w:hAnsi="Times New Roman" w:cs="Times New Roman"/>
          <w:sz w:val="24"/>
          <w:szCs w:val="24"/>
          <w:highlight w:val="green"/>
          <w:lang w:eastAsia="en-AU"/>
        </w:rPr>
        <w:t>the Board owed a duty of ordinary care to Joseph to protect against the danger of the facility</w:t>
      </w:r>
      <w:r w:rsidRPr="00F0089A">
        <w:rPr>
          <w:rFonts w:ascii="Times New Roman" w:eastAsia="Times New Roman" w:hAnsi="Times New Roman" w:cs="Times New Roman"/>
          <w:sz w:val="24"/>
          <w:szCs w:val="24"/>
          <w:lang w:eastAsia="en-AU"/>
        </w:rPr>
        <w:t xml:space="preserve">. </w:t>
      </w:r>
      <w:r w:rsidRPr="00F0089A">
        <w:rPr>
          <w:rFonts w:ascii="Times New Roman" w:eastAsia="Times New Roman" w:hAnsi="Times New Roman" w:cs="Times New Roman"/>
          <w:i/>
          <w:iCs/>
          <w:sz w:val="24"/>
          <w:szCs w:val="24"/>
          <w:lang w:eastAsia="en-AU"/>
        </w:rPr>
        <w:t xml:space="preserve">See Schear v. Board of County Comm’rs, </w:t>
      </w:r>
      <w:r w:rsidRPr="00F0089A">
        <w:rPr>
          <w:rFonts w:ascii="Times New Roman" w:eastAsia="Times New Roman" w:hAnsi="Times New Roman" w:cs="Times New Roman"/>
          <w:color w:val="0000FF"/>
          <w:sz w:val="24"/>
          <w:szCs w:val="24"/>
          <w:u w:val="single"/>
          <w:lang w:eastAsia="en-AU"/>
        </w:rPr>
        <w:t>101 N.M. 671</w:t>
      </w:r>
      <w:r w:rsidRPr="00F0089A">
        <w:rPr>
          <w:rFonts w:ascii="Times New Roman" w:eastAsia="Times New Roman" w:hAnsi="Times New Roman" w:cs="Times New Roman"/>
          <w:sz w:val="24"/>
          <w:szCs w:val="24"/>
          <w:lang w:eastAsia="en-AU"/>
        </w:rPr>
        <w:t xml:space="preserve">, </w:t>
      </w:r>
      <w:hyperlink r:id="rId29" w:history="1">
        <w:r w:rsidRPr="00F0089A">
          <w:rPr>
            <w:rFonts w:ascii="Times New Roman" w:eastAsia="Times New Roman" w:hAnsi="Times New Roman" w:cs="Times New Roman"/>
            <w:color w:val="0000FF"/>
            <w:sz w:val="24"/>
            <w:szCs w:val="24"/>
            <w:u w:val="single"/>
            <w:lang w:eastAsia="en-AU"/>
          </w:rPr>
          <w:t>687 P.2d 728</w:t>
        </w:r>
      </w:hyperlink>
      <w:r w:rsidRPr="00F0089A">
        <w:rPr>
          <w:rFonts w:ascii="Times New Roman" w:eastAsia="Times New Roman" w:hAnsi="Times New Roman" w:cs="Times New Roman"/>
          <w:sz w:val="24"/>
          <w:szCs w:val="24"/>
          <w:lang w:eastAsia="en-AU"/>
        </w:rPr>
        <w:t xml:space="preserve"> (1984) (whether duty exists is question of law for courts to decide). However, whether that duty was breached so as to constitute negligence on the part of the Board, and whether any such breach was the proximate cause of Joseph’s injuries, are questions of fact. </w:t>
      </w:r>
      <w:r w:rsidRPr="00F0089A">
        <w:rPr>
          <w:rFonts w:ascii="Times New Roman" w:eastAsia="Times New Roman" w:hAnsi="Times New Roman" w:cs="Times New Roman"/>
          <w:i/>
          <w:iCs/>
          <w:sz w:val="24"/>
          <w:szCs w:val="24"/>
          <w:lang w:eastAsia="en-AU"/>
        </w:rPr>
        <w:t xml:space="preserve">See id. See also </w:t>
      </w:r>
      <w:r w:rsidRPr="00F0089A">
        <w:rPr>
          <w:rFonts w:ascii="Times New Roman" w:eastAsia="Times New Roman" w:hAnsi="Times New Roman" w:cs="Times New Roman"/>
          <w:sz w:val="24"/>
          <w:szCs w:val="24"/>
          <w:lang w:eastAsia="en-AU"/>
        </w:rPr>
        <w:t xml:space="preserve">SCRA 1986, 13-1603; </w:t>
      </w:r>
      <w:r w:rsidRPr="00F0089A">
        <w:rPr>
          <w:rFonts w:ascii="Times New Roman" w:eastAsia="Times New Roman" w:hAnsi="Times New Roman" w:cs="Times New Roman"/>
          <w:i/>
          <w:iCs/>
          <w:sz w:val="24"/>
          <w:szCs w:val="24"/>
          <w:lang w:eastAsia="en-AU"/>
        </w:rPr>
        <w:t xml:space="preserve">Knapp v. Fraternal Order of Eagles, </w:t>
      </w:r>
      <w:r w:rsidRPr="00F0089A">
        <w:rPr>
          <w:rFonts w:ascii="Times New Roman" w:eastAsia="Times New Roman" w:hAnsi="Times New Roman" w:cs="Times New Roman"/>
          <w:color w:val="0000FF"/>
          <w:sz w:val="24"/>
          <w:szCs w:val="24"/>
          <w:u w:val="single"/>
          <w:lang w:eastAsia="en-AU"/>
        </w:rPr>
        <w:t>106 N.M. 11</w:t>
      </w:r>
      <w:r w:rsidRPr="00F0089A">
        <w:rPr>
          <w:rFonts w:ascii="Times New Roman" w:eastAsia="Times New Roman" w:hAnsi="Times New Roman" w:cs="Times New Roman"/>
          <w:sz w:val="24"/>
          <w:szCs w:val="24"/>
          <w:lang w:eastAsia="en-AU"/>
        </w:rPr>
        <w:t xml:space="preserve">, </w:t>
      </w:r>
      <w:hyperlink r:id="rId30" w:history="1">
        <w:r w:rsidRPr="00F0089A">
          <w:rPr>
            <w:rFonts w:ascii="Times New Roman" w:eastAsia="Times New Roman" w:hAnsi="Times New Roman" w:cs="Times New Roman"/>
            <w:color w:val="0000FF"/>
            <w:sz w:val="24"/>
            <w:szCs w:val="24"/>
            <w:u w:val="single"/>
            <w:lang w:eastAsia="en-AU"/>
          </w:rPr>
          <w:t>738 P.2d 129</w:t>
        </w:r>
      </w:hyperlink>
      <w:r w:rsidRPr="00F0089A">
        <w:rPr>
          <w:rFonts w:ascii="Times New Roman" w:eastAsia="Times New Roman" w:hAnsi="Times New Roman" w:cs="Times New Roman"/>
          <w:sz w:val="24"/>
          <w:szCs w:val="24"/>
          <w:lang w:eastAsia="en-AU"/>
        </w:rPr>
        <w:t xml:space="preserve"> (Ct.App.1987) (whether or not defendant breached duty is a question of the reasonableness of conduct, and thus a fact question); </w:t>
      </w:r>
      <w:r w:rsidRPr="00F0089A">
        <w:rPr>
          <w:rFonts w:ascii="Times New Roman" w:eastAsia="Times New Roman" w:hAnsi="Times New Roman" w:cs="Times New Roman"/>
          <w:i/>
          <w:iCs/>
          <w:sz w:val="24"/>
          <w:szCs w:val="24"/>
          <w:lang w:eastAsia="en-AU"/>
        </w:rPr>
        <w:t xml:space="preserve">Reynolds v. Swigert, </w:t>
      </w:r>
      <w:r w:rsidRPr="00F0089A">
        <w:rPr>
          <w:rFonts w:ascii="Times New Roman" w:eastAsia="Times New Roman" w:hAnsi="Times New Roman" w:cs="Times New Roman"/>
          <w:color w:val="0000FF"/>
          <w:sz w:val="24"/>
          <w:szCs w:val="24"/>
          <w:u w:val="single"/>
          <w:lang w:eastAsia="en-AU"/>
        </w:rPr>
        <w:t>102 N.M. 504</w:t>
      </w:r>
      <w:r w:rsidRPr="00F0089A">
        <w:rPr>
          <w:rFonts w:ascii="Times New Roman" w:eastAsia="Times New Roman" w:hAnsi="Times New Roman" w:cs="Times New Roman"/>
          <w:sz w:val="24"/>
          <w:szCs w:val="24"/>
          <w:lang w:eastAsia="en-AU"/>
        </w:rPr>
        <w:t xml:space="preserve">, </w:t>
      </w:r>
      <w:hyperlink r:id="rId31" w:history="1">
        <w:r w:rsidRPr="00F0089A">
          <w:rPr>
            <w:rFonts w:ascii="Times New Roman" w:eastAsia="Times New Roman" w:hAnsi="Times New Roman" w:cs="Times New Roman"/>
            <w:color w:val="0000FF"/>
            <w:sz w:val="24"/>
            <w:szCs w:val="24"/>
            <w:u w:val="single"/>
            <w:lang w:eastAsia="en-AU"/>
          </w:rPr>
          <w:t>697 P.2d 504</w:t>
        </w:r>
      </w:hyperlink>
      <w:r w:rsidRPr="00F0089A">
        <w:rPr>
          <w:rFonts w:ascii="Times New Roman" w:eastAsia="Times New Roman" w:hAnsi="Times New Roman" w:cs="Times New Roman"/>
          <w:sz w:val="24"/>
          <w:szCs w:val="24"/>
          <w:lang w:eastAsia="en-AU"/>
        </w:rPr>
        <w:t xml:space="preserve"> (Ct.App.1984) (proximate cause is generally deemed a factual issue). Likewise, the question of any comparative negligence is a matter for the fact finder. </w:t>
      </w:r>
      <w:r w:rsidRPr="00F0089A">
        <w:rPr>
          <w:rFonts w:ascii="Times New Roman" w:eastAsia="Times New Roman" w:hAnsi="Times New Roman" w:cs="Times New Roman"/>
          <w:i/>
          <w:iCs/>
          <w:sz w:val="24"/>
          <w:szCs w:val="24"/>
          <w:lang w:eastAsia="en-AU"/>
        </w:rPr>
        <w:t xml:space="preserve">Sheraden v. Black, </w:t>
      </w:r>
      <w:r w:rsidRPr="00F0089A">
        <w:rPr>
          <w:rFonts w:ascii="Times New Roman" w:eastAsia="Times New Roman" w:hAnsi="Times New Roman" w:cs="Times New Roman"/>
          <w:color w:val="0000FF"/>
          <w:sz w:val="24"/>
          <w:szCs w:val="24"/>
          <w:u w:val="single"/>
          <w:lang w:eastAsia="en-AU"/>
        </w:rPr>
        <w:t>107 N.M. 76</w:t>
      </w:r>
      <w:r w:rsidRPr="00F0089A">
        <w:rPr>
          <w:rFonts w:ascii="Times New Roman" w:eastAsia="Times New Roman" w:hAnsi="Times New Roman" w:cs="Times New Roman"/>
          <w:sz w:val="24"/>
          <w:szCs w:val="24"/>
          <w:lang w:eastAsia="en-AU"/>
        </w:rPr>
        <w:t xml:space="preserve">, </w:t>
      </w:r>
      <w:hyperlink r:id="rId32" w:history="1">
        <w:r w:rsidRPr="00F0089A">
          <w:rPr>
            <w:rFonts w:ascii="Times New Roman" w:eastAsia="Times New Roman" w:hAnsi="Times New Roman" w:cs="Times New Roman"/>
            <w:color w:val="0000FF"/>
            <w:sz w:val="24"/>
            <w:szCs w:val="24"/>
            <w:u w:val="single"/>
            <w:lang w:eastAsia="en-AU"/>
          </w:rPr>
          <w:t>752 P.2d 791</w:t>
        </w:r>
      </w:hyperlink>
      <w:r w:rsidRPr="00F0089A">
        <w:rPr>
          <w:rFonts w:ascii="Times New Roman" w:eastAsia="Times New Roman" w:hAnsi="Times New Roman" w:cs="Times New Roman"/>
          <w:sz w:val="24"/>
          <w:szCs w:val="24"/>
          <w:lang w:eastAsia="en-AU"/>
        </w:rPr>
        <w:t xml:space="preserve"> (Ct.App.1988).</w:t>
      </w:r>
    </w:p>
    <w:p w14:paraId="2ED2BEC5"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 xml:space="preserve">Because the trial court did not make a determination on these issues, </w:t>
      </w:r>
      <w:r w:rsidRPr="00071C2D">
        <w:rPr>
          <w:rFonts w:ascii="Times New Roman" w:eastAsia="Times New Roman" w:hAnsi="Times New Roman" w:cs="Times New Roman"/>
          <w:sz w:val="24"/>
          <w:szCs w:val="24"/>
          <w:highlight w:val="red"/>
          <w:lang w:eastAsia="en-AU"/>
        </w:rPr>
        <w:t>we remand for the entry of findings of fact, conclusions of law and a judgment based on those findings and conclusions.</w:t>
      </w:r>
      <w:r w:rsidRPr="00F0089A">
        <w:rPr>
          <w:rFonts w:ascii="Times New Roman" w:eastAsia="Times New Roman" w:hAnsi="Times New Roman" w:cs="Times New Roman"/>
          <w:sz w:val="24"/>
          <w:szCs w:val="24"/>
          <w:lang w:eastAsia="en-AU"/>
        </w:rPr>
        <w:t xml:space="preserve"> Plaintiffs are awarded their costs on appeal.</w:t>
      </w:r>
    </w:p>
    <w:p w14:paraId="65ED51FF" w14:textId="77777777" w:rsidR="00F0089A" w:rsidRP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IT IS SO ORDERED.</w:t>
      </w:r>
    </w:p>
    <w:p w14:paraId="5C6F99F2" w14:textId="726FEE1E" w:rsidR="00F0089A" w:rsidRDefault="00F0089A"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089A">
        <w:rPr>
          <w:rFonts w:ascii="Times New Roman" w:eastAsia="Times New Roman" w:hAnsi="Times New Roman" w:cs="Times New Roman"/>
          <w:sz w:val="24"/>
          <w:szCs w:val="24"/>
          <w:lang w:eastAsia="en-AU"/>
        </w:rPr>
        <w:t>ALARID and MINZNER, JJ., concur.</w:t>
      </w:r>
    </w:p>
    <w:p w14:paraId="4B0EE4EA" w14:textId="5EFAC4CD" w:rsidR="00071C2D" w:rsidRDefault="00071C2D" w:rsidP="00F0089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55CE82E" w14:textId="08F0A11D" w:rsidR="00071C2D" w:rsidRDefault="00071C2D" w:rsidP="00F0089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duty owed</w:t>
      </w:r>
      <w:r w:rsidR="00802504">
        <w:rPr>
          <w:rFonts w:ascii="Times New Roman" w:eastAsia="Times New Roman" w:hAnsi="Times New Roman" w:cs="Times New Roman"/>
          <w:sz w:val="24"/>
          <w:szCs w:val="24"/>
          <w:lang w:eastAsia="en-AU"/>
        </w:rPr>
        <w:t xml:space="preserve"> by school board to protect</w:t>
      </w:r>
      <w:r w:rsidR="00B63AD9">
        <w:rPr>
          <w:rFonts w:ascii="Times New Roman" w:eastAsia="Times New Roman" w:hAnsi="Times New Roman" w:cs="Times New Roman"/>
          <w:sz w:val="24"/>
          <w:szCs w:val="24"/>
          <w:lang w:eastAsia="en-AU"/>
        </w:rPr>
        <w:t xml:space="preserve"> those entering</w:t>
      </w:r>
      <w:r w:rsidR="00920ECC">
        <w:rPr>
          <w:rFonts w:ascii="Times New Roman" w:eastAsia="Times New Roman" w:hAnsi="Times New Roman" w:cs="Times New Roman"/>
          <w:sz w:val="24"/>
          <w:szCs w:val="24"/>
          <w:lang w:eastAsia="en-AU"/>
        </w:rPr>
        <w:t xml:space="preserve"> property </w:t>
      </w:r>
      <w:r w:rsidR="00AC76D7">
        <w:rPr>
          <w:rFonts w:ascii="Times New Roman" w:eastAsia="Times New Roman" w:hAnsi="Times New Roman" w:cs="Times New Roman"/>
          <w:sz w:val="24"/>
          <w:szCs w:val="24"/>
          <w:lang w:eastAsia="en-AU"/>
        </w:rPr>
        <w:t>it owns</w:t>
      </w:r>
    </w:p>
    <w:p w14:paraId="12619A19" w14:textId="513B1F89" w:rsidR="00AC76D7" w:rsidRDefault="00AC76D7" w:rsidP="00F0089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64359B9E" w14:textId="53F4E2B7" w:rsidR="00AC76D7" w:rsidRDefault="00AC76D7" w:rsidP="00AC76D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injured when electrocuted </w:t>
      </w:r>
      <w:r w:rsidR="00305179">
        <w:rPr>
          <w:rFonts w:ascii="Times New Roman" w:eastAsia="Times New Roman" w:hAnsi="Times New Roman" w:cs="Times New Roman"/>
          <w:sz w:val="24"/>
          <w:szCs w:val="24"/>
          <w:lang w:eastAsia="en-AU"/>
        </w:rPr>
        <w:t>on school grounds</w:t>
      </w:r>
    </w:p>
    <w:p w14:paraId="74AA71DA" w14:textId="6B98C031" w:rsidR="00305179" w:rsidRDefault="00305179" w:rsidP="00AC76D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 </w:t>
      </w:r>
      <w:r w:rsidR="007F3C98">
        <w:rPr>
          <w:rFonts w:ascii="Times New Roman" w:eastAsia="Times New Roman" w:hAnsi="Times New Roman" w:cs="Times New Roman"/>
          <w:sz w:val="24"/>
          <w:szCs w:val="24"/>
          <w:lang w:eastAsia="en-AU"/>
        </w:rPr>
        <w:t>B</w:t>
      </w:r>
      <w:r>
        <w:rPr>
          <w:rFonts w:ascii="Times New Roman" w:eastAsia="Times New Roman" w:hAnsi="Times New Roman" w:cs="Times New Roman"/>
          <w:sz w:val="24"/>
          <w:szCs w:val="24"/>
          <w:lang w:eastAsia="en-AU"/>
        </w:rPr>
        <w:t xml:space="preserve">oard of </w:t>
      </w:r>
      <w:r w:rsidR="007F3C98">
        <w:rPr>
          <w:rFonts w:ascii="Times New Roman" w:eastAsia="Times New Roman" w:hAnsi="Times New Roman" w:cs="Times New Roman"/>
          <w:sz w:val="24"/>
          <w:szCs w:val="24"/>
          <w:lang w:eastAsia="en-AU"/>
        </w:rPr>
        <w:t>E</w:t>
      </w:r>
      <w:r>
        <w:rPr>
          <w:rFonts w:ascii="Times New Roman" w:eastAsia="Times New Roman" w:hAnsi="Times New Roman" w:cs="Times New Roman"/>
          <w:sz w:val="24"/>
          <w:szCs w:val="24"/>
          <w:lang w:eastAsia="en-AU"/>
        </w:rPr>
        <w:t>ducation claimed that it was immune on the grounds that exceptions to immunity apply only when injuries occur within a building owned by a public authority; in other words, public authorities are immune when injuries occur on their land</w:t>
      </w:r>
      <w:r w:rsidR="000F5BD8">
        <w:rPr>
          <w:rFonts w:ascii="Times New Roman" w:eastAsia="Times New Roman" w:hAnsi="Times New Roman" w:cs="Times New Roman"/>
          <w:sz w:val="24"/>
          <w:szCs w:val="24"/>
          <w:lang w:eastAsia="en-AU"/>
        </w:rPr>
        <w:t xml:space="preserve">, but not immune when injuries occur within their buildings </w:t>
      </w:r>
      <w:r w:rsidR="000F5BD8">
        <w:rPr>
          <w:rFonts w:ascii="Times New Roman" w:eastAsia="Times New Roman" w:hAnsi="Times New Roman" w:cs="Times New Roman"/>
          <w:i/>
          <w:iCs/>
          <w:sz w:val="24"/>
          <w:szCs w:val="24"/>
          <w:lang w:eastAsia="en-AU"/>
        </w:rPr>
        <w:t>on that land</w:t>
      </w:r>
      <w:r w:rsidR="000F5BD8">
        <w:rPr>
          <w:rFonts w:ascii="Times New Roman" w:eastAsia="Times New Roman" w:hAnsi="Times New Roman" w:cs="Times New Roman"/>
          <w:sz w:val="24"/>
          <w:szCs w:val="24"/>
          <w:lang w:eastAsia="en-AU"/>
        </w:rPr>
        <w:t>.</w:t>
      </w:r>
    </w:p>
    <w:p w14:paraId="398B23D7" w14:textId="452AD42A" w:rsidR="000F5BD8" w:rsidRDefault="000F5BD8" w:rsidP="00AC76D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held that the exception to immunity also renders public authorities liable for injuries that occur on land </w:t>
      </w:r>
      <w:r>
        <w:rPr>
          <w:rFonts w:ascii="Times New Roman" w:eastAsia="Times New Roman" w:hAnsi="Times New Roman" w:cs="Times New Roman"/>
          <w:i/>
          <w:iCs/>
          <w:sz w:val="24"/>
          <w:szCs w:val="24"/>
          <w:lang w:eastAsia="en-AU"/>
        </w:rPr>
        <w:t>surrounding</w:t>
      </w:r>
      <w:r>
        <w:rPr>
          <w:rFonts w:ascii="Times New Roman" w:eastAsia="Times New Roman" w:hAnsi="Times New Roman" w:cs="Times New Roman"/>
          <w:sz w:val="24"/>
          <w:szCs w:val="24"/>
          <w:lang w:eastAsia="en-AU"/>
        </w:rPr>
        <w:t xml:space="preserve"> building</w:t>
      </w:r>
      <w:r w:rsidR="005D533E">
        <w:rPr>
          <w:rFonts w:ascii="Times New Roman" w:eastAsia="Times New Roman" w:hAnsi="Times New Roman" w:cs="Times New Roman"/>
          <w:sz w:val="24"/>
          <w:szCs w:val="24"/>
          <w:lang w:eastAsia="en-AU"/>
        </w:rPr>
        <w:t>s.</w:t>
      </w:r>
    </w:p>
    <w:p w14:paraId="171A3084" w14:textId="2452984E" w:rsidR="005D533E" w:rsidRDefault="005D533E" w:rsidP="00AC76D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Board, as owner of the</w:t>
      </w:r>
      <w:r w:rsidR="007F3C98">
        <w:rPr>
          <w:rFonts w:ascii="Times New Roman" w:eastAsia="Times New Roman" w:hAnsi="Times New Roman" w:cs="Times New Roman"/>
          <w:sz w:val="24"/>
          <w:szCs w:val="24"/>
          <w:lang w:eastAsia="en-AU"/>
        </w:rPr>
        <w:t xml:space="preserve"> land on which the plaintiff was electrocuted, has a duty to maintain the land, which means that the Board was obliged to keep the land in a safe condition.</w:t>
      </w:r>
    </w:p>
    <w:p w14:paraId="0FA9AB66" w14:textId="17278B51" w:rsidR="007F3C98" w:rsidRPr="006D33C3" w:rsidRDefault="007F3C98" w:rsidP="00AC76D7">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D33C3">
        <w:rPr>
          <w:rFonts w:ascii="Times New Roman" w:eastAsia="Times New Roman" w:hAnsi="Times New Roman" w:cs="Times New Roman"/>
          <w:b/>
          <w:bCs/>
          <w:sz w:val="24"/>
          <w:szCs w:val="24"/>
          <w:lang w:eastAsia="en-AU"/>
        </w:rPr>
        <w:t xml:space="preserve">Even though the electricity </w:t>
      </w:r>
      <w:r w:rsidR="0048405B" w:rsidRPr="006D33C3">
        <w:rPr>
          <w:rFonts w:ascii="Times New Roman" w:eastAsia="Times New Roman" w:hAnsi="Times New Roman" w:cs="Times New Roman"/>
          <w:b/>
          <w:bCs/>
          <w:sz w:val="24"/>
          <w:szCs w:val="24"/>
          <w:lang w:eastAsia="en-AU"/>
        </w:rPr>
        <w:t>ran along an easement over which the Board had no authority</w:t>
      </w:r>
      <w:r w:rsidR="009817D4" w:rsidRPr="006D33C3">
        <w:rPr>
          <w:rFonts w:ascii="Times New Roman" w:eastAsia="Times New Roman" w:hAnsi="Times New Roman" w:cs="Times New Roman"/>
          <w:b/>
          <w:bCs/>
          <w:sz w:val="24"/>
          <w:szCs w:val="24"/>
          <w:lang w:eastAsia="en-AU"/>
        </w:rPr>
        <w:t xml:space="preserve">, a duty of care of landowners may extend to </w:t>
      </w:r>
      <w:r w:rsidR="006D33C3" w:rsidRPr="006D33C3">
        <w:rPr>
          <w:rFonts w:ascii="Times New Roman" w:eastAsia="Times New Roman" w:hAnsi="Times New Roman" w:cs="Times New Roman"/>
          <w:b/>
          <w:bCs/>
          <w:sz w:val="24"/>
          <w:szCs w:val="24"/>
          <w:lang w:eastAsia="en-AU"/>
        </w:rPr>
        <w:t xml:space="preserve">dangers on </w:t>
      </w:r>
      <w:r w:rsidR="009817D4" w:rsidRPr="006D33C3">
        <w:rPr>
          <w:rFonts w:ascii="Times New Roman" w:eastAsia="Times New Roman" w:hAnsi="Times New Roman" w:cs="Times New Roman"/>
          <w:b/>
          <w:bCs/>
          <w:sz w:val="24"/>
          <w:szCs w:val="24"/>
          <w:lang w:eastAsia="en-AU"/>
        </w:rPr>
        <w:t>land they do not control, where reasonable care requires them to protect their licensees from</w:t>
      </w:r>
      <w:r w:rsidR="006D33C3" w:rsidRPr="006D33C3">
        <w:rPr>
          <w:rFonts w:ascii="Times New Roman" w:eastAsia="Times New Roman" w:hAnsi="Times New Roman" w:cs="Times New Roman"/>
          <w:b/>
          <w:bCs/>
          <w:sz w:val="24"/>
          <w:szCs w:val="24"/>
          <w:lang w:eastAsia="en-AU"/>
        </w:rPr>
        <w:t xml:space="preserve"> that danger.</w:t>
      </w:r>
      <w:r w:rsidR="009817D4" w:rsidRPr="006D33C3">
        <w:rPr>
          <w:rFonts w:ascii="Times New Roman" w:eastAsia="Times New Roman" w:hAnsi="Times New Roman" w:cs="Times New Roman"/>
          <w:b/>
          <w:bCs/>
          <w:sz w:val="24"/>
          <w:szCs w:val="24"/>
          <w:lang w:eastAsia="en-AU"/>
        </w:rPr>
        <w:t xml:space="preserve"> </w:t>
      </w:r>
    </w:p>
    <w:p w14:paraId="311940D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9E49DB"/>
    <w:multiLevelType w:val="hybridMultilevel"/>
    <w:tmpl w:val="49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791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9A"/>
    <w:rsid w:val="00061349"/>
    <w:rsid w:val="00064AAD"/>
    <w:rsid w:val="00071C2D"/>
    <w:rsid w:val="000F365C"/>
    <w:rsid w:val="000F5BD8"/>
    <w:rsid w:val="00137446"/>
    <w:rsid w:val="001606B4"/>
    <w:rsid w:val="00305179"/>
    <w:rsid w:val="0048405B"/>
    <w:rsid w:val="004A4779"/>
    <w:rsid w:val="005D533E"/>
    <w:rsid w:val="005E5C95"/>
    <w:rsid w:val="006D33C3"/>
    <w:rsid w:val="007F3C98"/>
    <w:rsid w:val="00802504"/>
    <w:rsid w:val="00810FCB"/>
    <w:rsid w:val="00845BB4"/>
    <w:rsid w:val="008475DE"/>
    <w:rsid w:val="00920ECC"/>
    <w:rsid w:val="009817D4"/>
    <w:rsid w:val="0098481E"/>
    <w:rsid w:val="009E5812"/>
    <w:rsid w:val="00A62E8D"/>
    <w:rsid w:val="00AC76D7"/>
    <w:rsid w:val="00AF308D"/>
    <w:rsid w:val="00B01D9A"/>
    <w:rsid w:val="00B63AD9"/>
    <w:rsid w:val="00F0089A"/>
    <w:rsid w:val="00FC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EA07"/>
  <w15:chartTrackingRefBased/>
  <w15:docId w15:val="{3B84AC48-DAC8-40CE-82D8-CAC57BAA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661074">
      <w:bodyDiv w:val="1"/>
      <w:marLeft w:val="0"/>
      <w:marRight w:val="0"/>
      <w:marTop w:val="0"/>
      <w:marBottom w:val="0"/>
      <w:divBdr>
        <w:top w:val="none" w:sz="0" w:space="0" w:color="auto"/>
        <w:left w:val="none" w:sz="0" w:space="0" w:color="auto"/>
        <w:bottom w:val="none" w:sz="0" w:space="0" w:color="auto"/>
        <w:right w:val="none" w:sz="0" w:space="0" w:color="auto"/>
      </w:divBdr>
      <w:divsChild>
        <w:div w:id="349374920">
          <w:marLeft w:val="0"/>
          <w:marRight w:val="0"/>
          <w:marTop w:val="0"/>
          <w:marBottom w:val="0"/>
          <w:divBdr>
            <w:top w:val="none" w:sz="0" w:space="0" w:color="auto"/>
            <w:left w:val="none" w:sz="0" w:space="0" w:color="auto"/>
            <w:bottom w:val="none" w:sz="0" w:space="0" w:color="auto"/>
            <w:right w:val="none" w:sz="0" w:space="0" w:color="auto"/>
          </w:divBdr>
          <w:divsChild>
            <w:div w:id="276910574">
              <w:marLeft w:val="0"/>
              <w:marRight w:val="0"/>
              <w:marTop w:val="0"/>
              <w:marBottom w:val="0"/>
              <w:divBdr>
                <w:top w:val="none" w:sz="0" w:space="0" w:color="auto"/>
                <w:left w:val="none" w:sz="0" w:space="0" w:color="auto"/>
                <w:bottom w:val="none" w:sz="0" w:space="0" w:color="auto"/>
                <w:right w:val="none" w:sz="0" w:space="0" w:color="auto"/>
              </w:divBdr>
              <w:divsChild>
                <w:div w:id="1286817153">
                  <w:marLeft w:val="0"/>
                  <w:marRight w:val="0"/>
                  <w:marTop w:val="0"/>
                  <w:marBottom w:val="0"/>
                  <w:divBdr>
                    <w:top w:val="none" w:sz="0" w:space="0" w:color="auto"/>
                    <w:left w:val="none" w:sz="0" w:space="0" w:color="auto"/>
                    <w:bottom w:val="none" w:sz="0" w:space="0" w:color="auto"/>
                    <w:right w:val="none" w:sz="0" w:space="0" w:color="auto"/>
                  </w:divBdr>
                  <w:divsChild>
                    <w:div w:id="230505428">
                      <w:marLeft w:val="0"/>
                      <w:marRight w:val="0"/>
                      <w:marTop w:val="0"/>
                      <w:marBottom w:val="0"/>
                      <w:divBdr>
                        <w:top w:val="none" w:sz="0" w:space="0" w:color="auto"/>
                        <w:left w:val="none" w:sz="0" w:space="0" w:color="auto"/>
                        <w:bottom w:val="none" w:sz="0" w:space="0" w:color="auto"/>
                        <w:right w:val="none" w:sz="0" w:space="0" w:color="auto"/>
                      </w:divBdr>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3773">
              <w:marLeft w:val="0"/>
              <w:marRight w:val="0"/>
              <w:marTop w:val="0"/>
              <w:marBottom w:val="0"/>
              <w:divBdr>
                <w:top w:val="none" w:sz="0" w:space="0" w:color="auto"/>
                <w:left w:val="none" w:sz="0" w:space="0" w:color="auto"/>
                <w:bottom w:val="none" w:sz="0" w:space="0" w:color="auto"/>
                <w:right w:val="none" w:sz="0" w:space="0" w:color="auto"/>
              </w:divBdr>
              <w:divsChild>
                <w:div w:id="1236744391">
                  <w:marLeft w:val="0"/>
                  <w:marRight w:val="0"/>
                  <w:marTop w:val="0"/>
                  <w:marBottom w:val="0"/>
                  <w:divBdr>
                    <w:top w:val="none" w:sz="0" w:space="0" w:color="auto"/>
                    <w:left w:val="none" w:sz="0" w:space="0" w:color="auto"/>
                    <w:bottom w:val="none" w:sz="0" w:space="0" w:color="auto"/>
                    <w:right w:val="none" w:sz="0" w:space="0" w:color="auto"/>
                  </w:divBdr>
                </w:div>
              </w:divsChild>
            </w:div>
            <w:div w:id="113005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9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903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60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3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31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524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276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61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02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7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2073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67374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6361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4490480">
      <w:bodyDiv w:val="1"/>
      <w:marLeft w:val="0"/>
      <w:marRight w:val="0"/>
      <w:marTop w:val="0"/>
      <w:marBottom w:val="0"/>
      <w:divBdr>
        <w:top w:val="none" w:sz="0" w:space="0" w:color="auto"/>
        <w:left w:val="none" w:sz="0" w:space="0" w:color="auto"/>
        <w:bottom w:val="none" w:sz="0" w:space="0" w:color="auto"/>
        <w:right w:val="none" w:sz="0" w:space="0" w:color="auto"/>
      </w:divBdr>
      <w:divsChild>
        <w:div w:id="1920167192">
          <w:marLeft w:val="0"/>
          <w:marRight w:val="0"/>
          <w:marTop w:val="0"/>
          <w:marBottom w:val="0"/>
          <w:divBdr>
            <w:top w:val="none" w:sz="0" w:space="0" w:color="auto"/>
            <w:left w:val="none" w:sz="0" w:space="0" w:color="auto"/>
            <w:bottom w:val="none" w:sz="0" w:space="0" w:color="auto"/>
            <w:right w:val="none" w:sz="0" w:space="0" w:color="auto"/>
          </w:divBdr>
          <w:divsChild>
            <w:div w:id="1204319434">
              <w:marLeft w:val="0"/>
              <w:marRight w:val="0"/>
              <w:marTop w:val="0"/>
              <w:marBottom w:val="0"/>
              <w:divBdr>
                <w:top w:val="none" w:sz="0" w:space="0" w:color="auto"/>
                <w:left w:val="none" w:sz="0" w:space="0" w:color="auto"/>
                <w:bottom w:val="none" w:sz="0" w:space="0" w:color="auto"/>
                <w:right w:val="none" w:sz="0" w:space="0" w:color="auto"/>
              </w:divBdr>
              <w:divsChild>
                <w:div w:id="2119793704">
                  <w:marLeft w:val="0"/>
                  <w:marRight w:val="0"/>
                  <w:marTop w:val="0"/>
                  <w:marBottom w:val="0"/>
                  <w:divBdr>
                    <w:top w:val="none" w:sz="0" w:space="0" w:color="auto"/>
                    <w:left w:val="none" w:sz="0" w:space="0" w:color="auto"/>
                    <w:bottom w:val="none" w:sz="0" w:space="0" w:color="auto"/>
                    <w:right w:val="none" w:sz="0" w:space="0" w:color="auto"/>
                  </w:divBdr>
                  <w:divsChild>
                    <w:div w:id="1958295254">
                      <w:marLeft w:val="0"/>
                      <w:marRight w:val="0"/>
                      <w:marTop w:val="0"/>
                      <w:marBottom w:val="0"/>
                      <w:divBdr>
                        <w:top w:val="none" w:sz="0" w:space="0" w:color="auto"/>
                        <w:left w:val="none" w:sz="0" w:space="0" w:color="auto"/>
                        <w:bottom w:val="none" w:sz="0" w:space="0" w:color="auto"/>
                        <w:right w:val="none" w:sz="0" w:space="0" w:color="auto"/>
                      </w:divBdr>
                    </w:div>
                    <w:div w:id="9774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4953">
              <w:marLeft w:val="0"/>
              <w:marRight w:val="0"/>
              <w:marTop w:val="0"/>
              <w:marBottom w:val="0"/>
              <w:divBdr>
                <w:top w:val="none" w:sz="0" w:space="0" w:color="auto"/>
                <w:left w:val="none" w:sz="0" w:space="0" w:color="auto"/>
                <w:bottom w:val="none" w:sz="0" w:space="0" w:color="auto"/>
                <w:right w:val="none" w:sz="0" w:space="0" w:color="auto"/>
              </w:divBdr>
              <w:divsChild>
                <w:div w:id="94134330">
                  <w:marLeft w:val="0"/>
                  <w:marRight w:val="0"/>
                  <w:marTop w:val="0"/>
                  <w:marBottom w:val="0"/>
                  <w:divBdr>
                    <w:top w:val="none" w:sz="0" w:space="0" w:color="auto"/>
                    <w:left w:val="none" w:sz="0" w:space="0" w:color="auto"/>
                    <w:bottom w:val="none" w:sz="0" w:space="0" w:color="auto"/>
                    <w:right w:val="none" w:sz="0" w:space="0" w:color="auto"/>
                  </w:divBdr>
                </w:div>
              </w:divsChild>
            </w:div>
            <w:div w:id="13805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34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21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790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960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88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450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768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2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879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7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432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5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8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70/371/" TargetMode="External"/><Relationship Id="rId18" Type="http://schemas.openxmlformats.org/officeDocument/2006/relationships/hyperlink" Target="https://cite.case.law/wash-app/11/520/" TargetMode="External"/><Relationship Id="rId26" Type="http://schemas.openxmlformats.org/officeDocument/2006/relationships/hyperlink" Target="https://cite.case.law/nm/85/409/" TargetMode="External"/><Relationship Id="rId3" Type="http://schemas.openxmlformats.org/officeDocument/2006/relationships/settings" Target="settings.xml"/><Relationship Id="rId21" Type="http://schemas.openxmlformats.org/officeDocument/2006/relationships/hyperlink" Target="https://cite.case.law/w-va/151/961/" TargetMode="External"/><Relationship Id="rId34" Type="http://schemas.openxmlformats.org/officeDocument/2006/relationships/theme" Target="theme/theme1.xml"/><Relationship Id="rId7" Type="http://schemas.openxmlformats.org/officeDocument/2006/relationships/hyperlink" Target="https://cite.case.law/nm/106/253/" TargetMode="External"/><Relationship Id="rId12" Type="http://schemas.openxmlformats.org/officeDocument/2006/relationships/hyperlink" Target="https://cite.case.law/nm/83/610/" TargetMode="External"/><Relationship Id="rId17" Type="http://schemas.openxmlformats.org/officeDocument/2006/relationships/hyperlink" Target="https://cite.case.law/ad2d/55/848/" TargetMode="External"/><Relationship Id="rId25" Type="http://schemas.openxmlformats.org/officeDocument/2006/relationships/hyperlink" Target="https://cite.case.law/p2d/744/17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mont/214/99/" TargetMode="External"/><Relationship Id="rId20" Type="http://schemas.openxmlformats.org/officeDocument/2006/relationships/hyperlink" Target="https://cite.case.law/colo/175/537/" TargetMode="External"/><Relationship Id="rId29" Type="http://schemas.openxmlformats.org/officeDocument/2006/relationships/hyperlink" Target="https://cite.case.law/nm/101/671/" TargetMode="External"/><Relationship Id="rId1" Type="http://schemas.openxmlformats.org/officeDocument/2006/relationships/numbering" Target="numbering.xml"/><Relationship Id="rId6" Type="http://schemas.openxmlformats.org/officeDocument/2006/relationships/hyperlink" Target="https://cite.case.law/nm/107/204/" TargetMode="External"/><Relationship Id="rId11" Type="http://schemas.openxmlformats.org/officeDocument/2006/relationships/hyperlink" Target="https://cite.case.law/nm/106/254/" TargetMode="External"/><Relationship Id="rId24" Type="http://schemas.openxmlformats.org/officeDocument/2006/relationships/hyperlink" Target="https://cite.case.law/nm/106/399/" TargetMode="External"/><Relationship Id="rId32" Type="http://schemas.openxmlformats.org/officeDocument/2006/relationships/hyperlink" Target="https://cite.case.law/nm/107/76/" TargetMode="External"/><Relationship Id="rId5" Type="http://schemas.openxmlformats.org/officeDocument/2006/relationships/hyperlink" Target="https://cite.case.law/nm/107/56/" TargetMode="External"/><Relationship Id="rId15" Type="http://schemas.openxmlformats.org/officeDocument/2006/relationships/hyperlink" Target="https://cite.case.law/mont/218/132/" TargetMode="External"/><Relationship Id="rId23" Type="http://schemas.openxmlformats.org/officeDocument/2006/relationships/hyperlink" Target="https://cite.case.law/nm/107/139/" TargetMode="External"/><Relationship Id="rId28" Type="http://schemas.openxmlformats.org/officeDocument/2006/relationships/hyperlink" Target="https://cite.case.law/nm/109/271/" TargetMode="External"/><Relationship Id="rId10" Type="http://schemas.openxmlformats.org/officeDocument/2006/relationships/hyperlink" Target="https://cite.case.law/nm/95/56/" TargetMode="External"/><Relationship Id="rId19" Type="http://schemas.openxmlformats.org/officeDocument/2006/relationships/hyperlink" Target="https://cite.case.law/nm/41/716/" TargetMode="External"/><Relationship Id="rId31" Type="http://schemas.openxmlformats.org/officeDocument/2006/relationships/hyperlink" Target="https://cite.case.law/nm/102/504/" TargetMode="External"/><Relationship Id="rId4" Type="http://schemas.openxmlformats.org/officeDocument/2006/relationships/webSettings" Target="webSettings.xml"/><Relationship Id="rId9" Type="http://schemas.openxmlformats.org/officeDocument/2006/relationships/hyperlink" Target="https://cite.case.law/p2d/755/50/" TargetMode="External"/><Relationship Id="rId14" Type="http://schemas.openxmlformats.org/officeDocument/2006/relationships/hyperlink" Target="https://cite.case.law/mo-app/137/589/" TargetMode="External"/><Relationship Id="rId22" Type="http://schemas.openxmlformats.org/officeDocument/2006/relationships/hyperlink" Target="https://cite.case.law/se2d/158/104/" TargetMode="External"/><Relationship Id="rId27" Type="http://schemas.openxmlformats.org/officeDocument/2006/relationships/hyperlink" Target="https://cite.case.law/nm/106/401/" TargetMode="External"/><Relationship Id="rId30" Type="http://schemas.openxmlformats.org/officeDocument/2006/relationships/hyperlink" Target="https://cite.case.law/nm/106/11/" TargetMode="External"/><Relationship Id="rId8" Type="http://schemas.openxmlformats.org/officeDocument/2006/relationships/hyperlink" Target="https://cite.case.law/nm/107/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4342</Words>
  <Characters>24754</Characters>
  <Application>Microsoft Office Word</Application>
  <DocSecurity>0</DocSecurity>
  <Lines>206</Lines>
  <Paragraphs>58</Paragraphs>
  <ScaleCrop>false</ScaleCrop>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2024-09-17T13:24:00Z</dcterms:created>
  <dcterms:modified xsi:type="dcterms:W3CDTF">2024-09-17T13:24:00Z</dcterms:modified>
</cp:coreProperties>
</file>