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7F42A" w14:textId="77777777" w:rsidR="00560EC4" w:rsidRPr="00560EC4" w:rsidRDefault="00560EC4" w:rsidP="00560EC4">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560EC4">
        <w:rPr>
          <w:rFonts w:ascii="Times New Roman" w:eastAsia="Times New Roman" w:hAnsi="Times New Roman" w:cs="Times New Roman"/>
          <w:b/>
          <w:bCs/>
          <w:color w:val="2F2F2F"/>
          <w:spacing w:val="3"/>
          <w:kern w:val="36"/>
          <w:sz w:val="35"/>
          <w:szCs w:val="35"/>
          <w:lang w:eastAsia="en-GB"/>
        </w:rPr>
        <w:t>Jackson v. McCuiston, 247 Ark. 862, 448 S.W.2d 33 (1969)</w:t>
      </w:r>
    </w:p>
    <w:p w14:paraId="1BA7F42B" w14:textId="77777777" w:rsidR="00560EC4" w:rsidRPr="00560EC4" w:rsidRDefault="00560EC4" w:rsidP="00560EC4">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560EC4">
        <w:rPr>
          <w:rFonts w:ascii="Times New Roman" w:eastAsia="Times New Roman" w:hAnsi="Times New Roman" w:cs="Times New Roman"/>
          <w:color w:val="2F2F2F"/>
          <w:spacing w:val="3"/>
          <w:sz w:val="27"/>
          <w:szCs w:val="27"/>
          <w:lang w:eastAsia="en-GB"/>
        </w:rPr>
        <w:t>Dec. 22, 1969 · Arkansas Supreme Court · 5-5105</w:t>
      </w:r>
    </w:p>
    <w:p w14:paraId="1BA7F42C" w14:textId="77777777" w:rsidR="00560EC4" w:rsidRPr="00560EC4" w:rsidRDefault="00560EC4" w:rsidP="00560EC4">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560EC4">
        <w:rPr>
          <w:rFonts w:ascii="Times New Roman" w:eastAsia="Times New Roman" w:hAnsi="Times New Roman" w:cs="Times New Roman"/>
          <w:color w:val="2F2F2F"/>
          <w:spacing w:val="3"/>
          <w:sz w:val="27"/>
          <w:szCs w:val="27"/>
          <w:lang w:eastAsia="en-GB"/>
        </w:rPr>
        <w:t>247 Ark. 862, 448 S.W.2d 33</w:t>
      </w:r>
    </w:p>
    <w:p w14:paraId="1BA7F42D" w14:textId="77777777" w:rsidR="00560EC4" w:rsidRPr="00560EC4" w:rsidRDefault="00560EC4" w:rsidP="00560EC4">
      <w:pPr>
        <w:shd w:val="clear" w:color="auto" w:fill="FFFFFF"/>
        <w:spacing w:after="0" w:line="240" w:lineRule="auto"/>
        <w:rPr>
          <w:rFonts w:ascii="Georgia" w:eastAsia="Times New Roman" w:hAnsi="Georgia" w:cs="Arial"/>
          <w:color w:val="2F2F2F"/>
          <w:spacing w:val="3"/>
          <w:sz w:val="30"/>
          <w:szCs w:val="30"/>
          <w:lang w:eastAsia="en-GB"/>
        </w:rPr>
      </w:pPr>
      <w:r w:rsidRPr="00560EC4">
        <w:rPr>
          <w:rFonts w:ascii="Georgia" w:eastAsia="Times New Roman" w:hAnsi="Georgia" w:cs="Arial"/>
          <w:color w:val="2F2F2F"/>
          <w:spacing w:val="3"/>
          <w:sz w:val="30"/>
          <w:szCs w:val="30"/>
          <w:lang w:eastAsia="en-GB"/>
        </w:rPr>
        <w:t>Charles Eugene JACKSON, a minor, et al</w:t>
      </w:r>
      <w:r w:rsidRPr="00560EC4">
        <w:rPr>
          <w:rFonts w:ascii="Georgia" w:eastAsia="Times New Roman" w:hAnsi="Georgia" w:cs="Arial"/>
          <w:i/>
          <w:iCs/>
          <w:color w:val="2F2F2F"/>
          <w:spacing w:val="3"/>
          <w:sz w:val="30"/>
          <w:szCs w:val="30"/>
          <w:lang w:eastAsia="en-GB"/>
        </w:rPr>
        <w:t>v.</w:t>
      </w:r>
      <w:r w:rsidRPr="00560EC4">
        <w:rPr>
          <w:rFonts w:ascii="Georgia" w:eastAsia="Times New Roman" w:hAnsi="Georgia" w:cs="Arial"/>
          <w:color w:val="2F2F2F"/>
          <w:spacing w:val="3"/>
          <w:sz w:val="30"/>
          <w:szCs w:val="30"/>
          <w:lang w:eastAsia="en-GB"/>
        </w:rPr>
        <w:t>Lloyd C. McCUISTON III, a minor, et al</w:t>
      </w:r>
    </w:p>
    <w:p w14:paraId="1BA7F42E" w14:textId="77777777" w:rsidR="00560EC4" w:rsidRPr="00560EC4" w:rsidRDefault="00560EC4" w:rsidP="00560EC4">
      <w:pPr>
        <w:spacing w:before="100" w:beforeAutospacing="1" w:after="100" w:afterAutospacing="1" w:line="240" w:lineRule="auto"/>
        <w:rPr>
          <w:rFonts w:ascii="Georgia" w:eastAsia="Times New Roman" w:hAnsi="Georgia" w:cs="Times New Roman"/>
          <w:sz w:val="24"/>
          <w:szCs w:val="24"/>
          <w:lang w:eastAsia="en-GB"/>
        </w:rPr>
      </w:pPr>
      <w:r w:rsidRPr="00560EC4">
        <w:rPr>
          <w:rFonts w:ascii="Georgia" w:eastAsia="Times New Roman" w:hAnsi="Georgia" w:cs="Times New Roman"/>
          <w:sz w:val="24"/>
          <w:szCs w:val="24"/>
          <w:lang w:eastAsia="en-GB"/>
        </w:rPr>
        <w:t>448 S. W. 2d. 33</w:t>
      </w:r>
    </w:p>
    <w:p w14:paraId="1BA7F42F" w14:textId="77777777" w:rsidR="00560EC4" w:rsidRPr="00560EC4" w:rsidRDefault="00560EC4" w:rsidP="00560EC4">
      <w:pPr>
        <w:shd w:val="clear" w:color="auto" w:fill="F7F7F9"/>
        <w:spacing w:before="100" w:beforeAutospacing="1" w:after="0" w:line="240" w:lineRule="auto"/>
        <w:rPr>
          <w:rFonts w:ascii="Georgia" w:eastAsia="Times New Roman" w:hAnsi="Georgia" w:cs="Times New Roman"/>
          <w:sz w:val="24"/>
          <w:szCs w:val="24"/>
          <w:lang w:eastAsia="en-GB"/>
        </w:rPr>
      </w:pPr>
      <w:r w:rsidRPr="00560EC4">
        <w:rPr>
          <w:rFonts w:ascii="Georgia" w:eastAsia="Times New Roman" w:hAnsi="Georgia" w:cs="Times New Roman"/>
          <w:i/>
          <w:iCs/>
          <w:sz w:val="24"/>
          <w:szCs w:val="24"/>
          <w:lang w:eastAsia="en-GB"/>
        </w:rPr>
        <w:t>nieves </w:t>
      </w:r>
      <w:r w:rsidRPr="00560EC4">
        <w:rPr>
          <w:rFonts w:ascii="Georgia" w:eastAsia="Times New Roman" w:hAnsi="Georgia" w:cs="Times New Roman"/>
          <w:sz w:val="24"/>
          <w:szCs w:val="24"/>
          <w:lang w:eastAsia="en-GB"/>
        </w:rPr>
        <w:t>&amp; nieves, for appellants.</w:t>
      </w:r>
    </w:p>
    <w:p w14:paraId="1BA7F430" w14:textId="77777777" w:rsidR="00560EC4" w:rsidRPr="00560EC4" w:rsidRDefault="00560EC4" w:rsidP="00560EC4">
      <w:pPr>
        <w:shd w:val="clear" w:color="auto" w:fill="F7F7F9"/>
        <w:spacing w:after="0" w:line="240" w:lineRule="auto"/>
        <w:rPr>
          <w:rFonts w:ascii="Georgia" w:eastAsia="Times New Roman" w:hAnsi="Georgia" w:cs="Times New Roman"/>
          <w:sz w:val="24"/>
          <w:szCs w:val="24"/>
          <w:lang w:eastAsia="en-GB"/>
        </w:rPr>
      </w:pPr>
      <w:r w:rsidRPr="00560EC4">
        <w:rPr>
          <w:rFonts w:ascii="Georgia" w:eastAsia="Times New Roman" w:hAnsi="Georgia" w:cs="Times New Roman"/>
          <w:i/>
          <w:iCs/>
          <w:sz w:val="24"/>
          <w:szCs w:val="24"/>
          <w:lang w:eastAsia="en-GB"/>
        </w:rPr>
        <w:t>Hale </w:t>
      </w:r>
      <w:r w:rsidRPr="00560EC4">
        <w:rPr>
          <w:rFonts w:ascii="Georgia" w:eastAsia="Times New Roman" w:hAnsi="Georgia" w:cs="Times New Roman"/>
          <w:sz w:val="24"/>
          <w:szCs w:val="24"/>
          <w:lang w:eastAsia="en-GB"/>
        </w:rPr>
        <w:t>&amp; </w:t>
      </w:r>
      <w:r w:rsidRPr="00560EC4">
        <w:rPr>
          <w:rFonts w:ascii="Georgia" w:eastAsia="Times New Roman" w:hAnsi="Georgia" w:cs="Times New Roman"/>
          <w:i/>
          <w:iCs/>
          <w:sz w:val="24"/>
          <w:szCs w:val="24"/>
          <w:lang w:eastAsia="en-GB"/>
        </w:rPr>
        <w:t>Fogleman, </w:t>
      </w:r>
      <w:r w:rsidRPr="00560EC4">
        <w:rPr>
          <w:rFonts w:ascii="Georgia" w:eastAsia="Times New Roman" w:hAnsi="Georgia" w:cs="Times New Roman"/>
          <w:sz w:val="24"/>
          <w:szCs w:val="24"/>
          <w:lang w:eastAsia="en-GB"/>
        </w:rPr>
        <w:t>for appellees.</w:t>
      </w:r>
    </w:p>
    <w:p w14:paraId="1BA7F431" w14:textId="77777777" w:rsidR="00560EC4" w:rsidRPr="00560EC4" w:rsidRDefault="00560EC4" w:rsidP="00560EC4">
      <w:pPr>
        <w:spacing w:before="100" w:beforeAutospacing="1" w:after="225" w:line="240" w:lineRule="auto"/>
        <w:rPr>
          <w:rFonts w:ascii="Georgia" w:eastAsia="Times New Roman" w:hAnsi="Georgia" w:cs="Times New Roman"/>
          <w:color w:val="E878FF"/>
          <w:sz w:val="24"/>
          <w:szCs w:val="24"/>
          <w:lang w:eastAsia="en-GB"/>
        </w:rPr>
      </w:pPr>
      <w:r w:rsidRPr="00560EC4">
        <w:rPr>
          <w:rFonts w:ascii="Georgia" w:eastAsia="Times New Roman" w:hAnsi="Georgia" w:cs="Times New Roman"/>
          <w:color w:val="E878FF"/>
          <w:sz w:val="24"/>
          <w:szCs w:val="24"/>
          <w:lang w:eastAsia="en-GB"/>
        </w:rPr>
        <w:t>Lyle Brown, Justice.</w:t>
      </w:r>
    </w:p>
    <w:p w14:paraId="1BA7F432" w14:textId="20F93195" w:rsidR="00560EC4" w:rsidRPr="00560EC4" w:rsidRDefault="00560EC4" w:rsidP="00560EC4">
      <w:pPr>
        <w:spacing w:before="100" w:beforeAutospacing="1" w:after="225" w:line="240" w:lineRule="auto"/>
        <w:rPr>
          <w:rFonts w:ascii="Georgia" w:eastAsia="Times New Roman" w:hAnsi="Georgia" w:cs="Times New Roman"/>
          <w:sz w:val="24"/>
          <w:szCs w:val="24"/>
          <w:lang w:eastAsia="en-GB"/>
        </w:rPr>
      </w:pPr>
      <w:r w:rsidRPr="00560EC4">
        <w:rPr>
          <w:rFonts w:ascii="Georgia" w:eastAsia="Times New Roman" w:hAnsi="Georgia" w:cs="Times New Roman"/>
          <w:sz w:val="24"/>
          <w:szCs w:val="24"/>
          <w:highlight w:val="magenta"/>
          <w:lang w:eastAsia="en-GB"/>
        </w:rPr>
        <w:t>This appeal resulted from the </w:t>
      </w:r>
      <w:r w:rsidRPr="009534C6">
        <w:rPr>
          <w:rFonts w:ascii="Georgia" w:eastAsia="Times New Roman" w:hAnsi="Georgia" w:cs="Times New Roman"/>
          <w:i/>
          <w:iCs/>
          <w:color w:val="979797"/>
          <w:sz w:val="19"/>
          <w:szCs w:val="19"/>
          <w:highlight w:val="magenta"/>
          <w:lang w:eastAsia="en-GB"/>
        </w:rPr>
        <w:t>*863</w:t>
      </w:r>
      <w:r w:rsidRPr="00560EC4">
        <w:rPr>
          <w:rFonts w:ascii="Georgia" w:eastAsia="Times New Roman" w:hAnsi="Georgia" w:cs="Times New Roman"/>
          <w:sz w:val="24"/>
          <w:szCs w:val="24"/>
          <w:highlight w:val="magenta"/>
          <w:lang w:eastAsia="en-GB"/>
        </w:rPr>
        <w:t>granting of a directed verdict in favor of defendants</w:t>
      </w:r>
      <w:r w:rsidRPr="00560EC4">
        <w:rPr>
          <w:rFonts w:ascii="Georgia" w:eastAsia="Times New Roman" w:hAnsi="Georgia" w:cs="Times New Roman"/>
          <w:sz w:val="24"/>
          <w:szCs w:val="24"/>
          <w:lang w:eastAsia="en-GB"/>
        </w:rPr>
        <w:t xml:space="preserve"> at the close of plaintiffs’ testimony in a tort case. </w:t>
      </w:r>
      <w:r w:rsidRPr="00560EC4">
        <w:rPr>
          <w:rFonts w:ascii="Georgia" w:eastAsia="Times New Roman" w:hAnsi="Georgia" w:cs="Times New Roman"/>
          <w:sz w:val="24"/>
          <w:szCs w:val="24"/>
          <w:highlight w:val="magenta"/>
          <w:lang w:eastAsia="en-GB"/>
        </w:rPr>
        <w:t>Charles Eugene Jackson, a minor, and his father, Charles E. Jackson, Sr., sued the McCuistons for injuries caused young Jackson (called Gene throughout the trial) when his leg got caught in a tractor-propelled stalk cutter (“bush hog”) operated by the defendant minor, Lloyd C. McCuiston III.</w:t>
      </w:r>
      <w:r w:rsidRPr="00560EC4">
        <w:rPr>
          <w:rFonts w:ascii="Georgia" w:eastAsia="Times New Roman" w:hAnsi="Georgia" w:cs="Times New Roman"/>
          <w:sz w:val="24"/>
          <w:szCs w:val="24"/>
          <w:lang w:eastAsia="en-GB"/>
        </w:rPr>
        <w:t xml:space="preserve"> </w:t>
      </w:r>
      <w:r w:rsidRPr="00560EC4">
        <w:rPr>
          <w:rFonts w:ascii="Georgia" w:eastAsia="Times New Roman" w:hAnsi="Georgia" w:cs="Times New Roman"/>
          <w:sz w:val="24"/>
          <w:szCs w:val="24"/>
          <w:highlight w:val="yellow"/>
          <w:lang w:eastAsia="en-GB"/>
        </w:rPr>
        <w:t>Young Lloyd was employed on the farm of his father and grandfather, who operated as a partnership under the name of L. C. McCuiston &amp; Son.</w:t>
      </w:r>
      <w:r w:rsidRPr="00560EC4">
        <w:rPr>
          <w:rFonts w:ascii="Georgia" w:eastAsia="Times New Roman" w:hAnsi="Georgia" w:cs="Times New Roman"/>
          <w:sz w:val="24"/>
          <w:szCs w:val="24"/>
          <w:lang w:eastAsia="en-GB"/>
        </w:rPr>
        <w:t xml:space="preserve"> The single point advanced for reversal is that the trial court erred in directing a verdict for the defendants.</w:t>
      </w:r>
    </w:p>
    <w:p w14:paraId="1BA7F433" w14:textId="77777777" w:rsidR="00560EC4" w:rsidRPr="00560EC4" w:rsidRDefault="00560EC4" w:rsidP="00560EC4">
      <w:pPr>
        <w:spacing w:before="100" w:beforeAutospacing="1" w:after="225" w:line="240" w:lineRule="auto"/>
        <w:rPr>
          <w:rFonts w:ascii="Georgia" w:eastAsia="Times New Roman" w:hAnsi="Georgia" w:cs="Times New Roman"/>
          <w:sz w:val="24"/>
          <w:szCs w:val="24"/>
          <w:lang w:eastAsia="en-GB"/>
        </w:rPr>
      </w:pPr>
      <w:r w:rsidRPr="00560EC4">
        <w:rPr>
          <w:rFonts w:ascii="Georgia" w:eastAsia="Times New Roman" w:hAnsi="Georgia" w:cs="Times New Roman"/>
          <w:sz w:val="24"/>
          <w:szCs w:val="24"/>
          <w:highlight w:val="yellow"/>
          <w:lang w:eastAsia="en-GB"/>
        </w:rPr>
        <w:t>Young Gene Jackson had just turned nine years of age at the time of the accident. His father was a month-to-month renter on the McCuiston farm and had lived there with his family during Gene’s entire life. Lloyd McCuiston III was almost fourteen years old. The two boys were close companion's. The McCuiston farm was mechanized and young Lloyd had been trained to operate several types of tractors. On the occasion of the accident, young McCuiston was engaged in cutting cotton stalks. The cutter itself roughly resembled a single-blade rotary lawnmower excepting it was much larger. The cutter was attached to an Allis-Chalmers D17 farm tractor which pulled and powered the mower. Lloyd III w,as not cutting each row of stalks as he came to it; rather he was on each turn leaving an area of aboiit ten rows of uncut stalks between the cleared areas. Gene Jackson had followed Lloyd III to the field and was playfully running behind the tractor and cutter. When the driver would reach the end of a row and make his turn, Gene would cut across the uncut “turn row” and again resume the frolic of following the machinery. Lloyd III was aware of Gene’s presence; he did not tell him to leave the field; he did not tell Gene to quit running behind the machinery; on one occasion Lloyd III thought Gene was dangerously close and motioned him to move back, and Gene complied. After that warning, according to Lloyd, four rows were cut before the ac</w:t>
      </w:r>
      <w:hyperlink r:id="rId4" w:anchor="p864" w:history="1">
        <w:r w:rsidRPr="009534C6">
          <w:rPr>
            <w:rFonts w:ascii="Georgia" w:eastAsia="Times New Roman" w:hAnsi="Georgia" w:cs="Times New Roman"/>
            <w:i/>
            <w:iCs/>
            <w:color w:val="979797"/>
            <w:sz w:val="19"/>
            <w:szCs w:val="19"/>
            <w:highlight w:val="yellow"/>
            <w:lang w:eastAsia="en-GB"/>
          </w:rPr>
          <w:t>*864</w:t>
        </w:r>
      </w:hyperlink>
      <w:r w:rsidRPr="00560EC4">
        <w:rPr>
          <w:rFonts w:ascii="Georgia" w:eastAsia="Times New Roman" w:hAnsi="Georgia" w:cs="Times New Roman"/>
          <w:sz w:val="24"/>
          <w:szCs w:val="24"/>
          <w:highlight w:val="yellow"/>
          <w:lang w:eastAsia="en-GB"/>
        </w:rPr>
        <w:t>cident occurred which necessitated amputation of the left foot. Gene got too close to the cutter and his foot was thrust under the shield of the cutter and into the blade. Gene’s activity at the precise moment of the tragedy is not known.</w:t>
      </w:r>
      <w:r w:rsidRPr="00560EC4">
        <w:rPr>
          <w:rFonts w:ascii="Georgia" w:eastAsia="Times New Roman" w:hAnsi="Georgia" w:cs="Times New Roman"/>
          <w:sz w:val="24"/>
          <w:szCs w:val="24"/>
          <w:lang w:eastAsia="en-GB"/>
        </w:rPr>
        <w:t xml:space="preserve"> That is because he was not permitted to testify since he was adjudged too immature; also, </w:t>
      </w:r>
      <w:r w:rsidRPr="00560EC4">
        <w:rPr>
          <w:rFonts w:ascii="Georgia" w:eastAsia="Times New Roman" w:hAnsi="Georgia" w:cs="Times New Roman"/>
          <w:sz w:val="24"/>
          <w:szCs w:val="24"/>
          <w:highlight w:val="yellow"/>
          <w:lang w:eastAsia="en-GB"/>
        </w:rPr>
        <w:t>the driver did not observe Gene’s approach at t</w:t>
      </w:r>
      <w:r w:rsidR="009534C6">
        <w:rPr>
          <w:rFonts w:ascii="Georgia" w:eastAsia="Times New Roman" w:hAnsi="Georgia" w:cs="Times New Roman"/>
          <w:sz w:val="24"/>
          <w:szCs w:val="24"/>
          <w:highlight w:val="yellow"/>
          <w:lang w:eastAsia="en-GB"/>
        </w:rPr>
        <w:t>he time of the accident. Lloyd w</w:t>
      </w:r>
      <w:r w:rsidRPr="00560EC4">
        <w:rPr>
          <w:rFonts w:ascii="Georgia" w:eastAsia="Times New Roman" w:hAnsi="Georgia" w:cs="Times New Roman"/>
          <w:sz w:val="24"/>
          <w:szCs w:val="24"/>
          <w:highlight w:val="yellow"/>
          <w:lang w:eastAsia="en-GB"/>
        </w:rPr>
        <w:t>as bound to have observed Gene almost imme</w:t>
      </w:r>
      <w:r w:rsidR="009534C6">
        <w:rPr>
          <w:rFonts w:ascii="Georgia" w:eastAsia="Times New Roman" w:hAnsi="Georgia" w:cs="Times New Roman"/>
          <w:sz w:val="24"/>
          <w:szCs w:val="24"/>
          <w:highlight w:val="yellow"/>
          <w:lang w:eastAsia="en-GB"/>
        </w:rPr>
        <w:t>diately thereafter because he w</w:t>
      </w:r>
      <w:r w:rsidRPr="00560EC4">
        <w:rPr>
          <w:rFonts w:ascii="Georgia" w:eastAsia="Times New Roman" w:hAnsi="Georgia" w:cs="Times New Roman"/>
          <w:sz w:val="24"/>
          <w:szCs w:val="24"/>
          <w:highlight w:val="yellow"/>
          <w:lang w:eastAsia="en-GB"/>
        </w:rPr>
        <w:t xml:space="preserve">as able to stop the tractor so quickly after Gene’s fall that the wheel of the cutter did not run over Gene’s foot. Regardless of the precise movement which Gene made that caused, his foot to become entangled, the underlying cause of the </w:t>
      </w:r>
      <w:r w:rsidRPr="00560EC4">
        <w:rPr>
          <w:rFonts w:ascii="Georgia" w:eastAsia="Times New Roman" w:hAnsi="Georgia" w:cs="Times New Roman"/>
          <w:sz w:val="24"/>
          <w:szCs w:val="24"/>
          <w:highlight w:val="yellow"/>
          <w:lang w:eastAsia="en-GB"/>
        </w:rPr>
        <w:lastRenderedPageBreak/>
        <w:t xml:space="preserve">mishap </w:t>
      </w:r>
      <w:r w:rsidR="009534C6">
        <w:rPr>
          <w:rFonts w:ascii="Georgia" w:eastAsia="Times New Roman" w:hAnsi="Georgia" w:cs="Times New Roman"/>
          <w:sz w:val="24"/>
          <w:szCs w:val="24"/>
          <w:highlight w:val="yellow"/>
          <w:lang w:eastAsia="en-GB"/>
        </w:rPr>
        <w:t>w</w:t>
      </w:r>
      <w:r w:rsidRPr="00560EC4">
        <w:rPr>
          <w:rFonts w:ascii="Georgia" w:eastAsia="Times New Roman" w:hAnsi="Georgia" w:cs="Times New Roman"/>
          <w:sz w:val="24"/>
          <w:szCs w:val="24"/>
          <w:highlight w:val="yellow"/>
          <w:lang w:eastAsia="en-GB"/>
        </w:rPr>
        <w:t xml:space="preserve">as his dangerous proximity to the instrumentality. He likely stumbled or tripped, or conceivably he might have attempted to mount the cutter. Irrespective of those possibilities, he </w:t>
      </w:r>
      <w:r w:rsidR="009534C6" w:rsidRPr="009534C6">
        <w:rPr>
          <w:rFonts w:ascii="Georgia" w:eastAsia="Times New Roman" w:hAnsi="Georgia" w:cs="Times New Roman"/>
          <w:sz w:val="24"/>
          <w:szCs w:val="24"/>
          <w:highlight w:val="yellow"/>
          <w:lang w:eastAsia="en-GB"/>
        </w:rPr>
        <w:t>w</w:t>
      </w:r>
      <w:r w:rsidRPr="00560EC4">
        <w:rPr>
          <w:rFonts w:ascii="Georgia" w:eastAsia="Times New Roman" w:hAnsi="Georgia" w:cs="Times New Roman"/>
          <w:sz w:val="24"/>
          <w:szCs w:val="24"/>
          <w:highlight w:val="yellow"/>
          <w:lang w:eastAsia="en-GB"/>
        </w:rPr>
        <w:t>as so close as to endanger his own life and limb and being in that position was the cause of his injuries.</w:t>
      </w:r>
      <w:r w:rsidRPr="00560EC4">
        <w:rPr>
          <w:rFonts w:ascii="Georgia" w:eastAsia="Times New Roman" w:hAnsi="Georgia" w:cs="Times New Roman"/>
          <w:sz w:val="24"/>
          <w:szCs w:val="24"/>
          <w:lang w:eastAsia="en-GB"/>
        </w:rPr>
        <w:t xml:space="preserve"> Whatever incident may have triggered the fall was secondary.</w:t>
      </w:r>
    </w:p>
    <w:p w14:paraId="1BA7F434" w14:textId="77777777" w:rsidR="00560EC4" w:rsidRPr="00560EC4" w:rsidRDefault="00560EC4" w:rsidP="00560EC4">
      <w:pPr>
        <w:spacing w:before="100" w:beforeAutospacing="1" w:after="225" w:line="240" w:lineRule="auto"/>
        <w:rPr>
          <w:rFonts w:ascii="Georgia" w:eastAsia="Times New Roman" w:hAnsi="Georgia" w:cs="Times New Roman"/>
          <w:sz w:val="24"/>
          <w:szCs w:val="24"/>
          <w:lang w:eastAsia="en-GB"/>
        </w:rPr>
      </w:pPr>
      <w:r w:rsidRPr="00560EC4">
        <w:rPr>
          <w:rFonts w:ascii="Georgia" w:eastAsia="Times New Roman" w:hAnsi="Georgia" w:cs="Times New Roman"/>
          <w:sz w:val="24"/>
          <w:szCs w:val="24"/>
          <w:highlight w:val="yellow"/>
          <w:lang w:eastAsia="en-GB"/>
        </w:rPr>
        <w:t>There were no witnesses to the accident other than the two boys.</w:t>
      </w:r>
      <w:r w:rsidRPr="00560EC4">
        <w:rPr>
          <w:rFonts w:ascii="Georgia" w:eastAsia="Times New Roman" w:hAnsi="Georgia" w:cs="Times New Roman"/>
          <w:sz w:val="24"/>
          <w:szCs w:val="24"/>
          <w:lang w:eastAsia="en-GB"/>
        </w:rPr>
        <w:t xml:space="preserve"> Plaintiffs rested their claim of liability upon the testimony of the defendants (being called by plaintiffs), Lloyd III and his father. We have substantially recounted young Lloyd’s testimony. Lloyd’s father conceded that </w:t>
      </w:r>
      <w:r w:rsidRPr="00560EC4">
        <w:rPr>
          <w:rFonts w:ascii="Georgia" w:eastAsia="Times New Roman" w:hAnsi="Georgia" w:cs="Times New Roman"/>
          <w:sz w:val="24"/>
          <w:szCs w:val="24"/>
          <w:highlight w:val="yellow"/>
          <w:lang w:eastAsia="en-GB"/>
        </w:rPr>
        <w:t>the stalk cutter was dangerous when being operated, more dangerous than some equipment, less dangerous than other machinery on the farm.</w:t>
      </w:r>
      <w:r w:rsidRPr="00560EC4">
        <w:rPr>
          <w:rFonts w:ascii="Georgia" w:eastAsia="Times New Roman" w:hAnsi="Georgia" w:cs="Times New Roman"/>
          <w:sz w:val="24"/>
          <w:szCs w:val="24"/>
          <w:lang w:eastAsia="en-GB"/>
        </w:rPr>
        <w:t xml:space="preserve"> Of the propensity of the cutter with respect to danger, he said this:</w:t>
      </w:r>
    </w:p>
    <w:p w14:paraId="1BA7F435" w14:textId="77777777" w:rsidR="00560EC4" w:rsidRPr="00560EC4" w:rsidRDefault="00560EC4" w:rsidP="00560EC4">
      <w:pPr>
        <w:spacing w:after="100" w:line="240" w:lineRule="auto"/>
        <w:rPr>
          <w:rFonts w:ascii="Georgia" w:eastAsia="Times New Roman" w:hAnsi="Georgia" w:cs="Times New Roman"/>
          <w:color w:val="004FB3"/>
          <w:sz w:val="24"/>
          <w:szCs w:val="24"/>
          <w:lang w:eastAsia="en-GB"/>
        </w:rPr>
      </w:pPr>
      <w:r w:rsidRPr="00560EC4">
        <w:rPr>
          <w:rFonts w:ascii="Georgia" w:eastAsia="Times New Roman" w:hAnsi="Georgia" w:cs="Times New Roman"/>
          <w:color w:val="004FB3"/>
          <w:sz w:val="24"/>
          <w:szCs w:val="24"/>
          <w:lang w:eastAsia="en-GB"/>
        </w:rPr>
        <w:t>Q. But to answer my question: Is it poor judgment to permit one to remain near a stalk cutter while it is being operated; is that correct!</w:t>
      </w:r>
    </w:p>
    <w:p w14:paraId="1BA7F436" w14:textId="77777777" w:rsidR="00560EC4" w:rsidRPr="00560EC4" w:rsidRDefault="00560EC4" w:rsidP="00560EC4">
      <w:pPr>
        <w:spacing w:after="100" w:line="240" w:lineRule="auto"/>
        <w:rPr>
          <w:rFonts w:ascii="Georgia" w:eastAsia="Times New Roman" w:hAnsi="Georgia" w:cs="Times New Roman"/>
          <w:color w:val="004FB3"/>
          <w:sz w:val="24"/>
          <w:szCs w:val="24"/>
          <w:lang w:eastAsia="en-GB"/>
        </w:rPr>
      </w:pPr>
      <w:r w:rsidRPr="00560EC4">
        <w:rPr>
          <w:rFonts w:ascii="Georgia" w:eastAsia="Times New Roman" w:hAnsi="Georgia" w:cs="Times New Roman"/>
          <w:color w:val="004FB3"/>
          <w:sz w:val="24"/>
          <w:szCs w:val="24"/>
          <w:lang w:eastAsia="en-GB"/>
        </w:rPr>
        <w:t>A. Yes; I would say probably so.</w:t>
      </w:r>
    </w:p>
    <w:p w14:paraId="1BA7F437" w14:textId="1A455BBC" w:rsidR="00560EC4" w:rsidRPr="00560EC4" w:rsidRDefault="00560EC4" w:rsidP="00560EC4">
      <w:pPr>
        <w:spacing w:before="100" w:beforeAutospacing="1" w:after="225" w:line="240" w:lineRule="auto"/>
        <w:rPr>
          <w:rFonts w:ascii="Georgia" w:eastAsia="Times New Roman" w:hAnsi="Georgia" w:cs="Times New Roman"/>
          <w:sz w:val="24"/>
          <w:szCs w:val="24"/>
          <w:lang w:eastAsia="en-GB"/>
        </w:rPr>
      </w:pPr>
      <w:r w:rsidRPr="00560EC4">
        <w:rPr>
          <w:rFonts w:ascii="Georgia" w:eastAsia="Times New Roman" w:hAnsi="Georgia" w:cs="Times New Roman"/>
          <w:sz w:val="24"/>
          <w:szCs w:val="24"/>
          <w:lang w:eastAsia="en-GB"/>
        </w:rPr>
        <w:t>The case was tried on the theory that Lloyd III was negligent in failing to keep a proper lookout for Gene </w:t>
      </w:r>
      <w:r w:rsidRPr="00560EC4">
        <w:rPr>
          <w:rFonts w:ascii="Georgia" w:eastAsia="Times New Roman" w:hAnsi="Georgia" w:cs="Times New Roman"/>
          <w:i/>
          <w:iCs/>
          <w:color w:val="979797"/>
          <w:sz w:val="19"/>
          <w:szCs w:val="19"/>
          <w:lang w:eastAsia="en-GB"/>
        </w:rPr>
        <w:t>*865</w:t>
      </w:r>
      <w:r w:rsidRPr="00560EC4">
        <w:rPr>
          <w:rFonts w:ascii="Georgia" w:eastAsia="Times New Roman" w:hAnsi="Georgia" w:cs="Times New Roman"/>
          <w:sz w:val="24"/>
          <w:szCs w:val="24"/>
          <w:lang w:eastAsia="en-GB"/>
        </w:rPr>
        <w:t xml:space="preserve">and in failing to warn him of the inherent danger of getting too close to the machinery. At the conclusion of plaintiffs’ testimony and after extended review in chambers </w:t>
      </w:r>
      <w:r w:rsidRPr="00560EC4">
        <w:rPr>
          <w:rFonts w:ascii="Georgia" w:eastAsia="Times New Roman" w:hAnsi="Georgia" w:cs="Times New Roman"/>
          <w:sz w:val="24"/>
          <w:szCs w:val="24"/>
          <w:highlight w:val="magenta"/>
          <w:lang w:eastAsia="en-GB"/>
        </w:rPr>
        <w:t>the trial court concluded there was no. proof of any act or omission on the part of Lloyd III which contributed to cause the mishap.</w:t>
      </w:r>
    </w:p>
    <w:p w14:paraId="1BA7F438" w14:textId="0AD57CE9" w:rsidR="00560EC4" w:rsidRPr="00560EC4" w:rsidRDefault="00560EC4" w:rsidP="00560EC4">
      <w:pPr>
        <w:spacing w:before="100" w:beforeAutospacing="1" w:after="225" w:line="240" w:lineRule="auto"/>
        <w:rPr>
          <w:rFonts w:ascii="Georgia" w:eastAsia="Times New Roman" w:hAnsi="Georgia" w:cs="Times New Roman"/>
          <w:sz w:val="24"/>
          <w:szCs w:val="24"/>
          <w:lang w:eastAsia="en-GB"/>
        </w:rPr>
      </w:pPr>
      <w:r w:rsidRPr="00560EC4">
        <w:rPr>
          <w:rFonts w:ascii="Georgia" w:eastAsia="Times New Roman" w:hAnsi="Georgia" w:cs="Times New Roman"/>
          <w:sz w:val="24"/>
          <w:szCs w:val="24"/>
          <w:lang w:eastAsia="en-GB"/>
        </w:rPr>
        <w:t xml:space="preserve">In resolving the propriety of the directed verdict </w:t>
      </w:r>
      <w:r w:rsidRPr="00560EC4">
        <w:rPr>
          <w:rFonts w:ascii="Georgia" w:eastAsia="Times New Roman" w:hAnsi="Georgia" w:cs="Times New Roman"/>
          <w:sz w:val="24"/>
          <w:szCs w:val="24"/>
          <w:highlight w:val="magenta"/>
          <w:lang w:eastAsia="en-GB"/>
        </w:rPr>
        <w:t>we must</w:t>
      </w:r>
      <w:r w:rsidRPr="00560EC4">
        <w:rPr>
          <w:rFonts w:ascii="Georgia" w:eastAsia="Times New Roman" w:hAnsi="Georgia" w:cs="Times New Roman"/>
          <w:sz w:val="24"/>
          <w:szCs w:val="24"/>
          <w:lang w:eastAsia="en-GB"/>
        </w:rPr>
        <w:t xml:space="preserve"> of course </w:t>
      </w:r>
      <w:r w:rsidRPr="00560EC4">
        <w:rPr>
          <w:rFonts w:ascii="Georgia" w:eastAsia="Times New Roman" w:hAnsi="Georgia" w:cs="Times New Roman"/>
          <w:sz w:val="24"/>
          <w:szCs w:val="24"/>
          <w:highlight w:val="magenta"/>
          <w:lang w:eastAsia="en-GB"/>
        </w:rPr>
        <w:t>take that view of the evidence most favorable to plaintiffs and see if there is any substantial evidence on which the jury could have based a finding of negligence.</w:t>
      </w:r>
      <w:r w:rsidRPr="00560EC4">
        <w:rPr>
          <w:rFonts w:ascii="Georgia" w:eastAsia="Times New Roman" w:hAnsi="Georgia" w:cs="Times New Roman"/>
          <w:sz w:val="24"/>
          <w:szCs w:val="24"/>
          <w:lang w:eastAsia="en-GB"/>
        </w:rPr>
        <w:t xml:space="preserve"> If the answer is in the affirmative then the case should have gone to the jury. </w:t>
      </w:r>
      <w:r w:rsidRPr="00560EC4">
        <w:rPr>
          <w:rFonts w:ascii="Georgia" w:eastAsia="Times New Roman" w:hAnsi="Georgia" w:cs="Times New Roman"/>
          <w:i/>
          <w:iCs/>
          <w:sz w:val="24"/>
          <w:szCs w:val="24"/>
          <w:lang w:eastAsia="en-GB"/>
        </w:rPr>
        <w:t>Har deman </w:t>
      </w:r>
      <w:r w:rsidRPr="00560EC4">
        <w:rPr>
          <w:rFonts w:ascii="Georgia" w:eastAsia="Times New Roman" w:hAnsi="Georgia" w:cs="Times New Roman"/>
          <w:sz w:val="24"/>
          <w:szCs w:val="24"/>
          <w:lang w:eastAsia="en-GB"/>
        </w:rPr>
        <w:t>v. </w:t>
      </w:r>
      <w:r w:rsidRPr="00560EC4">
        <w:rPr>
          <w:rFonts w:ascii="Georgia" w:eastAsia="Times New Roman" w:hAnsi="Georgia" w:cs="Times New Roman"/>
          <w:i/>
          <w:iCs/>
          <w:sz w:val="24"/>
          <w:szCs w:val="24"/>
          <w:lang w:eastAsia="en-GB"/>
        </w:rPr>
        <w:t>Hass Co., </w:t>
      </w:r>
      <w:hyperlink r:id="rId5" w:history="1">
        <w:r w:rsidRPr="00560EC4">
          <w:rPr>
            <w:rFonts w:ascii="Georgia" w:eastAsia="Times New Roman" w:hAnsi="Georgia" w:cs="Times New Roman"/>
            <w:i/>
            <w:iCs/>
            <w:color w:val="007BFF"/>
            <w:sz w:val="24"/>
            <w:szCs w:val="24"/>
            <w:lang w:eastAsia="en-GB"/>
          </w:rPr>
          <w:t>246 </w:t>
        </w:r>
      </w:hyperlink>
      <w:r w:rsidRPr="00560EC4">
        <w:rPr>
          <w:rFonts w:ascii="Georgia" w:eastAsia="Times New Roman" w:hAnsi="Georgia" w:cs="Times New Roman"/>
          <w:color w:val="007BFF"/>
          <w:sz w:val="24"/>
          <w:szCs w:val="24"/>
          <w:lang w:eastAsia="en-GB"/>
        </w:rPr>
        <w:t>Ark. 559</w:t>
      </w:r>
      <w:r w:rsidRPr="00560EC4">
        <w:rPr>
          <w:rFonts w:ascii="Georgia" w:eastAsia="Times New Roman" w:hAnsi="Georgia" w:cs="Times New Roman"/>
          <w:sz w:val="24"/>
          <w:szCs w:val="24"/>
          <w:lang w:eastAsia="en-GB"/>
        </w:rPr>
        <w:t>, </w:t>
      </w:r>
      <w:hyperlink r:id="rId6" w:history="1">
        <w:r w:rsidRPr="00560EC4">
          <w:rPr>
            <w:rFonts w:ascii="Georgia" w:eastAsia="Times New Roman" w:hAnsi="Georgia" w:cs="Times New Roman"/>
            <w:color w:val="007BFF"/>
            <w:sz w:val="24"/>
            <w:szCs w:val="24"/>
            <w:lang w:eastAsia="en-GB"/>
          </w:rPr>
          <w:t>439 S. W. 2d 281</w:t>
        </w:r>
      </w:hyperlink>
      <w:r w:rsidRPr="00560EC4">
        <w:rPr>
          <w:rFonts w:ascii="Georgia" w:eastAsia="Times New Roman" w:hAnsi="Georgia" w:cs="Times New Roman"/>
          <w:sz w:val="24"/>
          <w:szCs w:val="24"/>
          <w:lang w:eastAsia="en-GB"/>
        </w:rPr>
        <w:t> (1969). If the evidence permits of more than one reasonable conclusion, that conclusion is for the jury and not the court. </w:t>
      </w:r>
      <w:r w:rsidRPr="00560EC4">
        <w:rPr>
          <w:rFonts w:ascii="Georgia" w:eastAsia="Times New Roman" w:hAnsi="Georgia" w:cs="Times New Roman"/>
          <w:i/>
          <w:iCs/>
          <w:sz w:val="24"/>
          <w:szCs w:val="24"/>
          <w:lang w:eastAsia="en-GB"/>
        </w:rPr>
        <w:t>St. Louis Southwestern Ry. Co. </w:t>
      </w:r>
      <w:r w:rsidRPr="00560EC4">
        <w:rPr>
          <w:rFonts w:ascii="Georgia" w:eastAsia="Times New Roman" w:hAnsi="Georgia" w:cs="Times New Roman"/>
          <w:sz w:val="24"/>
          <w:szCs w:val="24"/>
          <w:lang w:eastAsia="en-GB"/>
        </w:rPr>
        <w:t>v. </w:t>
      </w:r>
      <w:r w:rsidRPr="00560EC4">
        <w:rPr>
          <w:rFonts w:ascii="Georgia" w:eastAsia="Times New Roman" w:hAnsi="Georgia" w:cs="Times New Roman"/>
          <w:i/>
          <w:iCs/>
          <w:sz w:val="24"/>
          <w:szCs w:val="24"/>
          <w:lang w:eastAsia="en-GB"/>
        </w:rPr>
        <w:t>Cone, </w:t>
      </w:r>
      <w:r w:rsidRPr="00560EC4">
        <w:rPr>
          <w:rFonts w:ascii="Georgia" w:eastAsia="Times New Roman" w:hAnsi="Georgia" w:cs="Times New Roman"/>
          <w:color w:val="007BFF"/>
          <w:sz w:val="24"/>
          <w:szCs w:val="24"/>
          <w:lang w:eastAsia="en-GB"/>
        </w:rPr>
        <w:t>111 Ark. 309</w:t>
      </w:r>
      <w:r w:rsidRPr="00560EC4">
        <w:rPr>
          <w:rFonts w:ascii="Georgia" w:eastAsia="Times New Roman" w:hAnsi="Georgia" w:cs="Times New Roman"/>
          <w:sz w:val="24"/>
          <w:szCs w:val="24"/>
          <w:lang w:eastAsia="en-GB"/>
        </w:rPr>
        <w:t>, </w:t>
      </w:r>
      <w:hyperlink r:id="rId7" w:history="1">
        <w:r w:rsidRPr="00560EC4">
          <w:rPr>
            <w:rFonts w:ascii="Georgia" w:eastAsia="Times New Roman" w:hAnsi="Georgia" w:cs="Times New Roman"/>
            <w:color w:val="007BFF"/>
            <w:sz w:val="24"/>
            <w:szCs w:val="24"/>
            <w:lang w:eastAsia="en-GB"/>
          </w:rPr>
          <w:t>163 S. W. 1170</w:t>
        </w:r>
      </w:hyperlink>
      <w:r w:rsidRPr="00560EC4">
        <w:rPr>
          <w:rFonts w:ascii="Georgia" w:eastAsia="Times New Roman" w:hAnsi="Georgia" w:cs="Times New Roman"/>
          <w:sz w:val="24"/>
          <w:szCs w:val="24"/>
          <w:lang w:eastAsia="en-GB"/>
        </w:rPr>
        <w:t xml:space="preserve"> (1914). </w:t>
      </w:r>
      <w:r w:rsidRPr="00560EC4">
        <w:rPr>
          <w:rFonts w:ascii="Georgia" w:eastAsia="Times New Roman" w:hAnsi="Georgia" w:cs="Times New Roman"/>
          <w:sz w:val="24"/>
          <w:szCs w:val="24"/>
          <w:highlight w:val="green"/>
          <w:lang w:eastAsia="en-GB"/>
        </w:rPr>
        <w:t>We think the evidence, and circumstances in this case</w:t>
      </w:r>
      <w:r w:rsidRPr="00560EC4">
        <w:rPr>
          <w:rFonts w:ascii="Georgia" w:eastAsia="Times New Roman" w:hAnsi="Georgia" w:cs="Times New Roman"/>
          <w:sz w:val="24"/>
          <w:szCs w:val="24"/>
          <w:lang w:eastAsia="en-GB"/>
        </w:rPr>
        <w:t xml:space="preserve"> (the substance of which we have recited) </w:t>
      </w:r>
      <w:r w:rsidRPr="00560EC4">
        <w:rPr>
          <w:rFonts w:ascii="Georgia" w:eastAsia="Times New Roman" w:hAnsi="Georgia" w:cs="Times New Roman"/>
          <w:sz w:val="24"/>
          <w:szCs w:val="24"/>
          <w:highlight w:val="green"/>
          <w:lang w:eastAsia="en-GB"/>
        </w:rPr>
        <w:t>presented a jury question as to whether defendants’ driver was negligent.</w:t>
      </w:r>
      <w:r w:rsidRPr="00560EC4">
        <w:rPr>
          <w:rFonts w:ascii="Georgia" w:eastAsia="Times New Roman" w:hAnsi="Georgia" w:cs="Times New Roman"/>
          <w:sz w:val="24"/>
          <w:szCs w:val="24"/>
          <w:lang w:eastAsia="en-GB"/>
        </w:rPr>
        <w:t xml:space="preserve"> In reaching that conclusion we were faced with the problem of resolving the standard of care owed by the tractor operator to the minor plaintiff. Our precedent nearest to the situation at hand is </w:t>
      </w:r>
      <w:r w:rsidRPr="009534C6">
        <w:rPr>
          <w:rFonts w:ascii="Georgia" w:eastAsia="Times New Roman" w:hAnsi="Georgia" w:cs="Times New Roman"/>
          <w:i/>
          <w:iCs/>
          <w:sz w:val="24"/>
          <w:szCs w:val="24"/>
          <w:highlight w:val="cyan"/>
          <w:lang w:eastAsia="en-GB"/>
        </w:rPr>
        <w:t>Harr elson </w:t>
      </w:r>
      <w:r w:rsidRPr="00560EC4">
        <w:rPr>
          <w:rFonts w:ascii="Georgia" w:eastAsia="Times New Roman" w:hAnsi="Georgia" w:cs="Times New Roman"/>
          <w:sz w:val="24"/>
          <w:szCs w:val="24"/>
          <w:highlight w:val="cyan"/>
          <w:lang w:eastAsia="en-GB"/>
        </w:rPr>
        <w:t>v. </w:t>
      </w:r>
      <w:r w:rsidRPr="009534C6">
        <w:rPr>
          <w:rFonts w:ascii="Georgia" w:eastAsia="Times New Roman" w:hAnsi="Georgia" w:cs="Times New Roman"/>
          <w:i/>
          <w:iCs/>
          <w:sz w:val="24"/>
          <w:szCs w:val="24"/>
          <w:highlight w:val="cyan"/>
          <w:lang w:eastAsia="en-GB"/>
        </w:rPr>
        <w:t>Whitehead, </w:t>
      </w:r>
      <w:r w:rsidRPr="009534C6">
        <w:rPr>
          <w:rFonts w:ascii="Georgia" w:eastAsia="Times New Roman" w:hAnsi="Georgia" w:cs="Times New Roman"/>
          <w:color w:val="007BFF"/>
          <w:sz w:val="24"/>
          <w:szCs w:val="24"/>
          <w:highlight w:val="cyan"/>
          <w:lang w:eastAsia="en-GB"/>
        </w:rPr>
        <w:t>236 Ark. 325</w:t>
      </w:r>
      <w:r w:rsidRPr="00560EC4">
        <w:rPr>
          <w:rFonts w:ascii="Georgia" w:eastAsia="Times New Roman" w:hAnsi="Georgia" w:cs="Times New Roman"/>
          <w:sz w:val="24"/>
          <w:szCs w:val="24"/>
          <w:highlight w:val="cyan"/>
          <w:lang w:eastAsia="en-GB"/>
        </w:rPr>
        <w:t>, </w:t>
      </w:r>
      <w:hyperlink r:id="rId8" w:history="1">
        <w:r w:rsidRPr="009534C6">
          <w:rPr>
            <w:rFonts w:ascii="Georgia" w:eastAsia="Times New Roman" w:hAnsi="Georgia" w:cs="Times New Roman"/>
            <w:color w:val="007BFF"/>
            <w:sz w:val="24"/>
            <w:szCs w:val="24"/>
            <w:highlight w:val="cyan"/>
            <w:lang w:eastAsia="en-GB"/>
          </w:rPr>
          <w:t>365 S. W. 2d 868</w:t>
        </w:r>
      </w:hyperlink>
      <w:r w:rsidRPr="00560EC4">
        <w:rPr>
          <w:rFonts w:ascii="Georgia" w:eastAsia="Times New Roman" w:hAnsi="Georgia" w:cs="Times New Roman"/>
          <w:sz w:val="24"/>
          <w:szCs w:val="24"/>
          <w:highlight w:val="cyan"/>
          <w:lang w:eastAsia="en-GB"/>
        </w:rPr>
        <w:t> (1963)</w:t>
      </w:r>
      <w:r w:rsidRPr="00560EC4">
        <w:rPr>
          <w:rFonts w:ascii="Georgia" w:eastAsia="Times New Roman" w:hAnsi="Georgia" w:cs="Times New Roman"/>
          <w:sz w:val="24"/>
          <w:szCs w:val="24"/>
          <w:lang w:eastAsia="en-GB"/>
        </w:rPr>
        <w:t xml:space="preserve">. There we held a minor operator of. a motor vehicle to the same standard of care as </w:t>
      </w:r>
      <w:r w:rsidRPr="00560EC4">
        <w:rPr>
          <w:rFonts w:ascii="Times New Roman" w:eastAsia="Times New Roman" w:hAnsi="Times New Roman" w:cs="Times New Roman"/>
          <w:sz w:val="24"/>
          <w:szCs w:val="24"/>
          <w:lang w:eastAsia="en-GB"/>
        </w:rPr>
        <w:t>■</w:t>
      </w:r>
      <w:r w:rsidRPr="00560EC4">
        <w:rPr>
          <w:rFonts w:ascii="Georgia" w:eastAsia="Times New Roman" w:hAnsi="Georgia" w:cs="Times New Roman"/>
          <w:sz w:val="24"/>
          <w:szCs w:val="24"/>
          <w:lang w:eastAsia="en-GB"/>
        </w:rPr>
        <w:t xml:space="preserve"> an adult. Of course that standard is an exception to our general rule that a minor owes that degree of care which a reasonably careful minor of his age .and intelligence would exercise under similar circumstances. </w:t>
      </w:r>
      <w:r w:rsidRPr="009534C6">
        <w:rPr>
          <w:rFonts w:ascii="Georgia" w:eastAsia="Times New Roman" w:hAnsi="Georgia" w:cs="Times New Roman"/>
          <w:i/>
          <w:iCs/>
          <w:sz w:val="24"/>
          <w:szCs w:val="24"/>
          <w:highlight w:val="cyan"/>
          <w:lang w:eastAsia="en-GB"/>
        </w:rPr>
        <w:t>Gates </w:t>
      </w:r>
      <w:r w:rsidRPr="00560EC4">
        <w:rPr>
          <w:rFonts w:ascii="Georgia" w:eastAsia="Times New Roman" w:hAnsi="Georgia" w:cs="Times New Roman"/>
          <w:sz w:val="24"/>
          <w:szCs w:val="24"/>
          <w:highlight w:val="cyan"/>
          <w:lang w:eastAsia="en-GB"/>
        </w:rPr>
        <w:t>v. </w:t>
      </w:r>
      <w:r w:rsidRPr="009534C6">
        <w:rPr>
          <w:rFonts w:ascii="Georgia" w:eastAsia="Times New Roman" w:hAnsi="Georgia" w:cs="Times New Roman"/>
          <w:i/>
          <w:iCs/>
          <w:sz w:val="24"/>
          <w:szCs w:val="24"/>
          <w:highlight w:val="cyan"/>
          <w:lang w:eastAsia="en-GB"/>
        </w:rPr>
        <w:t>Plummer, </w:t>
      </w:r>
      <w:r w:rsidRPr="009534C6">
        <w:rPr>
          <w:rFonts w:ascii="Georgia" w:eastAsia="Times New Roman" w:hAnsi="Georgia" w:cs="Times New Roman"/>
          <w:color w:val="007BFF"/>
          <w:sz w:val="24"/>
          <w:szCs w:val="24"/>
          <w:highlight w:val="cyan"/>
          <w:lang w:eastAsia="en-GB"/>
        </w:rPr>
        <w:t>173 Ark. 27</w:t>
      </w:r>
      <w:r w:rsidRPr="00560EC4">
        <w:rPr>
          <w:rFonts w:ascii="Georgia" w:eastAsia="Times New Roman" w:hAnsi="Georgia" w:cs="Times New Roman"/>
          <w:sz w:val="24"/>
          <w:szCs w:val="24"/>
          <w:highlight w:val="cyan"/>
          <w:lang w:eastAsia="en-GB"/>
        </w:rPr>
        <w:t>, </w:t>
      </w:r>
      <w:hyperlink r:id="rId9" w:history="1">
        <w:r w:rsidRPr="009534C6">
          <w:rPr>
            <w:rFonts w:ascii="Georgia" w:eastAsia="Times New Roman" w:hAnsi="Georgia" w:cs="Times New Roman"/>
            <w:color w:val="007BFF"/>
            <w:sz w:val="24"/>
            <w:szCs w:val="24"/>
            <w:highlight w:val="cyan"/>
            <w:lang w:eastAsia="en-GB"/>
          </w:rPr>
          <w:t>291 S. W. 816</w:t>
        </w:r>
      </w:hyperlink>
      <w:r w:rsidRPr="00560EC4">
        <w:rPr>
          <w:rFonts w:ascii="Georgia" w:eastAsia="Times New Roman" w:hAnsi="Georgia" w:cs="Times New Roman"/>
          <w:sz w:val="24"/>
          <w:szCs w:val="24"/>
          <w:highlight w:val="cyan"/>
          <w:lang w:eastAsia="en-GB"/>
        </w:rPr>
        <w:t> (1927).</w:t>
      </w:r>
    </w:p>
    <w:p w14:paraId="1BA7F439" w14:textId="77777777" w:rsidR="00560EC4" w:rsidRPr="00560EC4" w:rsidRDefault="00560EC4" w:rsidP="00560EC4">
      <w:pPr>
        <w:spacing w:before="100" w:beforeAutospacing="1" w:after="225" w:line="240" w:lineRule="auto"/>
        <w:rPr>
          <w:rFonts w:ascii="Georgia" w:eastAsia="Times New Roman" w:hAnsi="Georgia" w:cs="Times New Roman"/>
          <w:sz w:val="24"/>
          <w:szCs w:val="24"/>
          <w:lang w:eastAsia="en-GB"/>
        </w:rPr>
      </w:pPr>
      <w:r w:rsidRPr="00560EC4">
        <w:rPr>
          <w:rFonts w:ascii="Georgia" w:eastAsia="Times New Roman" w:hAnsi="Georgia" w:cs="Times New Roman"/>
          <w:sz w:val="24"/>
          <w:szCs w:val="24"/>
          <w:lang w:eastAsia="en-GB"/>
        </w:rPr>
        <w:t>The trend in the law points to further relaxation of the genera] rule.</w:t>
      </w:r>
    </w:p>
    <w:p w14:paraId="1BA7F43A" w14:textId="2E24A2A2" w:rsidR="00560EC4" w:rsidRPr="00560EC4" w:rsidRDefault="00560EC4" w:rsidP="00560EC4">
      <w:pPr>
        <w:spacing w:after="100" w:line="240" w:lineRule="auto"/>
        <w:rPr>
          <w:rFonts w:ascii="Georgia" w:eastAsia="Times New Roman" w:hAnsi="Georgia" w:cs="Times New Roman"/>
          <w:color w:val="004FB3"/>
          <w:sz w:val="24"/>
          <w:szCs w:val="24"/>
          <w:lang w:eastAsia="en-GB"/>
        </w:rPr>
      </w:pPr>
      <w:r w:rsidRPr="00560EC4">
        <w:rPr>
          <w:rFonts w:ascii="Georgia" w:eastAsia="Times New Roman" w:hAnsi="Georgia" w:cs="Times New Roman"/>
          <w:color w:val="004FB3"/>
          <w:sz w:val="24"/>
          <w:szCs w:val="24"/>
          <w:highlight w:val="cyan"/>
          <w:lang w:eastAsia="en-GB"/>
        </w:rPr>
        <w:t>“An exception [to the general rule] may arise where the child engages in an activity which is normally undertaken by adults, and for which adult qualifications .are required.” 2 Restatement of Torts 2d § </w:t>
      </w:r>
      <w:r w:rsidRPr="009534C6">
        <w:rPr>
          <w:rFonts w:ascii="Georgia" w:eastAsia="Times New Roman" w:hAnsi="Georgia" w:cs="Times New Roman"/>
          <w:color w:val="007BFF"/>
          <w:sz w:val="24"/>
          <w:szCs w:val="24"/>
          <w:highlight w:val="cyan"/>
          <w:lang w:eastAsia="en-GB"/>
        </w:rPr>
        <w:t>283 A c</w:t>
      </w:r>
      <w:r w:rsidRPr="00560EC4">
        <w:rPr>
          <w:rFonts w:ascii="Georgia" w:eastAsia="Times New Roman" w:hAnsi="Georgia" w:cs="Times New Roman"/>
          <w:color w:val="004FB3"/>
          <w:sz w:val="24"/>
          <w:szCs w:val="24"/>
          <w:highlight w:val="cyan"/>
          <w:lang w:eastAsia="en-GB"/>
        </w:rPr>
        <w:t>.</w:t>
      </w:r>
    </w:p>
    <w:p w14:paraId="1BA7F43B" w14:textId="77777777" w:rsidR="00560EC4" w:rsidRPr="00560EC4" w:rsidRDefault="007263F5" w:rsidP="00560EC4">
      <w:pPr>
        <w:spacing w:after="100" w:line="240" w:lineRule="auto"/>
        <w:rPr>
          <w:rFonts w:ascii="Georgia" w:eastAsia="Times New Roman" w:hAnsi="Georgia" w:cs="Times New Roman"/>
          <w:color w:val="004FB3"/>
          <w:sz w:val="24"/>
          <w:szCs w:val="24"/>
          <w:lang w:eastAsia="en-GB"/>
        </w:rPr>
      </w:pPr>
      <w:hyperlink r:id="rId10" w:anchor="p866" w:history="1">
        <w:r w:rsidR="00560EC4" w:rsidRPr="00560EC4">
          <w:rPr>
            <w:rFonts w:ascii="Georgia" w:eastAsia="Times New Roman" w:hAnsi="Georgia" w:cs="Times New Roman"/>
            <w:i/>
            <w:iCs/>
            <w:color w:val="979797"/>
            <w:sz w:val="19"/>
            <w:szCs w:val="19"/>
            <w:lang w:eastAsia="en-GB"/>
          </w:rPr>
          <w:t>*866</w:t>
        </w:r>
      </w:hyperlink>
      <w:r w:rsidR="00560EC4" w:rsidRPr="00560EC4">
        <w:rPr>
          <w:rFonts w:ascii="Georgia" w:eastAsia="Times New Roman" w:hAnsi="Georgia" w:cs="Times New Roman"/>
          <w:color w:val="004FB3"/>
          <w:sz w:val="24"/>
          <w:szCs w:val="24"/>
          <w:lang w:eastAsia="en-GB"/>
        </w:rPr>
        <w:t xml:space="preserve">“There is more support for the proposition that whenever a child, whether as plaintiff or as defendant, engages in an activity which normally is one for adults only, such as driving an automobile or flying an airplane, the public interest and the public </w:t>
      </w:r>
      <w:r w:rsidR="00560EC4" w:rsidRPr="00560EC4">
        <w:rPr>
          <w:rFonts w:ascii="Georgia" w:eastAsia="Times New Roman" w:hAnsi="Georgia" w:cs="Times New Roman"/>
          <w:color w:val="004FB3"/>
          <w:sz w:val="24"/>
          <w:szCs w:val="24"/>
          <w:lang w:eastAsia="en-GB"/>
        </w:rPr>
        <w:lastRenderedPageBreak/>
        <w:t>safety require that any consequences due to his own incapacity shall fall upon him rather than the innocent victim, and that he must be held to the adult standard, without any allowance for his age.” Prosser Torts 3rd Ed. HB, p. 159.</w:t>
      </w:r>
    </w:p>
    <w:p w14:paraId="1BA7F43C" w14:textId="77777777" w:rsidR="00560EC4" w:rsidRPr="00560EC4" w:rsidRDefault="00560EC4" w:rsidP="00560EC4">
      <w:pPr>
        <w:spacing w:after="100" w:line="240" w:lineRule="auto"/>
        <w:rPr>
          <w:rFonts w:ascii="Georgia" w:eastAsia="Times New Roman" w:hAnsi="Georgia" w:cs="Times New Roman"/>
          <w:color w:val="004FB3"/>
          <w:sz w:val="24"/>
          <w:szCs w:val="24"/>
          <w:lang w:eastAsia="en-GB"/>
        </w:rPr>
      </w:pPr>
      <w:r w:rsidRPr="00560EC4">
        <w:rPr>
          <w:rFonts w:ascii="Georgia" w:eastAsia="Times New Roman" w:hAnsi="Georgia" w:cs="Times New Roman"/>
          <w:color w:val="004FB3"/>
          <w:sz w:val="24"/>
          <w:szCs w:val="24"/>
          <w:lang w:eastAsia="en-GB"/>
        </w:rPr>
        <w:t>“It is our conclusion that courts should and probably will (for the most part) hold the child defendant who is engaging in dangerous adult activities (such ,as driving a car) to the standard of the reasonably prudent adult.” 2 Harper &amp; James Torts, p. 927.</w:t>
      </w:r>
    </w:p>
    <w:p w14:paraId="1BA7F43D" w14:textId="1F034700" w:rsidR="00560EC4" w:rsidRPr="00560EC4" w:rsidRDefault="00560EC4" w:rsidP="00560EC4">
      <w:pPr>
        <w:spacing w:before="100" w:beforeAutospacing="1" w:after="225" w:line="240" w:lineRule="auto"/>
        <w:rPr>
          <w:rFonts w:ascii="Georgia" w:eastAsia="Times New Roman" w:hAnsi="Georgia" w:cs="Times New Roman"/>
          <w:sz w:val="24"/>
          <w:szCs w:val="24"/>
          <w:lang w:eastAsia="en-GB"/>
        </w:rPr>
      </w:pPr>
      <w:r w:rsidRPr="00560EC4">
        <w:rPr>
          <w:rFonts w:ascii="Georgia" w:eastAsia="Times New Roman" w:hAnsi="Georgia" w:cs="Times New Roman"/>
          <w:sz w:val="24"/>
          <w:szCs w:val="24"/>
          <w:lang w:eastAsia="en-GB"/>
        </w:rPr>
        <w:t xml:space="preserve">The Minnesota court, citing </w:t>
      </w:r>
      <w:r w:rsidRPr="00560EC4">
        <w:rPr>
          <w:rFonts w:ascii="Georgia" w:eastAsia="Times New Roman" w:hAnsi="Georgia" w:cs="Times New Roman"/>
          <w:sz w:val="24"/>
          <w:szCs w:val="24"/>
          <w:highlight w:val="cyan"/>
          <w:lang w:eastAsia="en-GB"/>
        </w:rPr>
        <w:t>Restatement</w:t>
      </w:r>
      <w:r w:rsidRPr="00560EC4">
        <w:rPr>
          <w:rFonts w:ascii="Georgia" w:eastAsia="Times New Roman" w:hAnsi="Georgia" w:cs="Times New Roman"/>
          <w:sz w:val="24"/>
          <w:szCs w:val="24"/>
          <w:lang w:eastAsia="en-GB"/>
        </w:rPr>
        <w:t>, has extended the requirement of adult care to a minor when he is operating a motorboat. </w:t>
      </w:r>
      <w:r w:rsidRPr="009534C6">
        <w:rPr>
          <w:rFonts w:ascii="Georgia" w:eastAsia="Times New Roman" w:hAnsi="Georgia" w:cs="Times New Roman"/>
          <w:i/>
          <w:iCs/>
          <w:sz w:val="24"/>
          <w:szCs w:val="24"/>
          <w:highlight w:val="cyan"/>
          <w:lang w:eastAsia="en-GB"/>
        </w:rPr>
        <w:t>Dellwo </w:t>
      </w:r>
      <w:r w:rsidRPr="00560EC4">
        <w:rPr>
          <w:rFonts w:ascii="Georgia" w:eastAsia="Times New Roman" w:hAnsi="Georgia" w:cs="Times New Roman"/>
          <w:sz w:val="24"/>
          <w:szCs w:val="24"/>
          <w:highlight w:val="cyan"/>
          <w:lang w:eastAsia="en-GB"/>
        </w:rPr>
        <w:t>v. </w:t>
      </w:r>
      <w:r w:rsidRPr="009534C6">
        <w:rPr>
          <w:rFonts w:ascii="Georgia" w:eastAsia="Times New Roman" w:hAnsi="Georgia" w:cs="Times New Roman"/>
          <w:i/>
          <w:iCs/>
          <w:sz w:val="24"/>
          <w:szCs w:val="24"/>
          <w:highlight w:val="cyan"/>
          <w:lang w:eastAsia="en-GB"/>
        </w:rPr>
        <w:t>Pearson, </w:t>
      </w:r>
      <w:r w:rsidRPr="009534C6">
        <w:rPr>
          <w:rFonts w:ascii="Georgia" w:eastAsia="Times New Roman" w:hAnsi="Georgia" w:cs="Times New Roman"/>
          <w:color w:val="007BFF"/>
          <w:sz w:val="24"/>
          <w:szCs w:val="24"/>
          <w:highlight w:val="cyan"/>
          <w:lang w:eastAsia="en-GB"/>
        </w:rPr>
        <w:t>107 N. W. 2d 859</w:t>
      </w:r>
      <w:r w:rsidRPr="00560EC4">
        <w:rPr>
          <w:rFonts w:ascii="Georgia" w:eastAsia="Times New Roman" w:hAnsi="Georgia" w:cs="Times New Roman"/>
          <w:sz w:val="24"/>
          <w:szCs w:val="24"/>
          <w:highlight w:val="cyan"/>
          <w:lang w:eastAsia="en-GB"/>
        </w:rPr>
        <w:t> (1961).</w:t>
      </w:r>
    </w:p>
    <w:p w14:paraId="1BA7F43E" w14:textId="77777777" w:rsidR="00560EC4" w:rsidRPr="00560EC4" w:rsidRDefault="00560EC4" w:rsidP="00560EC4">
      <w:pPr>
        <w:spacing w:before="100" w:beforeAutospacing="1" w:after="225" w:line="240" w:lineRule="auto"/>
        <w:rPr>
          <w:rFonts w:ascii="Georgia" w:eastAsia="Times New Roman" w:hAnsi="Georgia" w:cs="Times New Roman"/>
          <w:sz w:val="24"/>
          <w:szCs w:val="24"/>
          <w:lang w:eastAsia="en-GB"/>
        </w:rPr>
      </w:pPr>
      <w:r w:rsidRPr="00560EC4">
        <w:rPr>
          <w:rFonts w:ascii="Georgia" w:eastAsia="Times New Roman" w:hAnsi="Georgia" w:cs="Times New Roman"/>
          <w:sz w:val="24"/>
          <w:szCs w:val="24"/>
          <w:lang w:eastAsia="en-GB"/>
        </w:rPr>
        <w:t xml:space="preserve">We find it unnecessary in this case to adopt a rule in such broad form as stated by the cited authorities. For the present we think it wiser to solve the problem as it is presented in the setting of a given case. </w:t>
      </w:r>
      <w:r w:rsidRPr="00560EC4">
        <w:rPr>
          <w:rFonts w:ascii="Georgia" w:eastAsia="Times New Roman" w:hAnsi="Georgia" w:cs="Times New Roman"/>
          <w:sz w:val="24"/>
          <w:szCs w:val="24"/>
          <w:highlight w:val="green"/>
          <w:lang w:eastAsia="en-GB"/>
        </w:rPr>
        <w:t>In the case before us the adult defendants trained the minor defendant in the operation of a dangerous machine— dangerous particularly to third persons who found themselves in proximity during operation. Young McCuiston regularly operated all different types of farm tractors since he was twelve years of age. Unquestionably he was performing a job normally expected to be done by adults. Since he had been made proficient in the operation of the equipment it was his responsibility, and that of his masters, to see that he was apprised of those safeguards for others which would be possessed by an adult operator. If he is negligent in that important aspect of the operation then neither the minor operator </w:t>
      </w:r>
      <w:hyperlink r:id="rId11" w:anchor="p867" w:history="1">
        <w:r w:rsidRPr="009534C6">
          <w:rPr>
            <w:rFonts w:ascii="Georgia" w:eastAsia="Times New Roman" w:hAnsi="Georgia" w:cs="Times New Roman"/>
            <w:i/>
            <w:iCs/>
            <w:color w:val="979797"/>
            <w:sz w:val="19"/>
            <w:szCs w:val="19"/>
            <w:highlight w:val="green"/>
            <w:lang w:eastAsia="en-GB"/>
          </w:rPr>
          <w:t>*867</w:t>
        </w:r>
      </w:hyperlink>
      <w:r w:rsidRPr="00560EC4">
        <w:rPr>
          <w:rFonts w:ascii="Georgia" w:eastAsia="Times New Roman" w:hAnsi="Georgia" w:cs="Times New Roman"/>
          <w:sz w:val="24"/>
          <w:szCs w:val="24"/>
          <w:highlight w:val="green"/>
          <w:lang w:eastAsia="en-GB"/>
        </w:rPr>
        <w:t>nor his master should be permitted to invoke the aid of his minority. We therefore conclude that within the ambit of this case, the defendant operator should be held to the standard of care of a reasonably careful adult.</w:t>
      </w:r>
    </w:p>
    <w:p w14:paraId="1BA7F43F" w14:textId="77777777" w:rsidR="00560EC4" w:rsidRPr="00560EC4" w:rsidRDefault="00560EC4" w:rsidP="00560EC4">
      <w:pPr>
        <w:spacing w:before="100" w:beforeAutospacing="1" w:after="225" w:line="240" w:lineRule="auto"/>
        <w:rPr>
          <w:rFonts w:ascii="Georgia" w:eastAsia="Times New Roman" w:hAnsi="Georgia" w:cs="Times New Roman"/>
          <w:sz w:val="24"/>
          <w:szCs w:val="24"/>
          <w:lang w:eastAsia="en-GB"/>
        </w:rPr>
      </w:pPr>
      <w:r w:rsidRPr="00560EC4">
        <w:rPr>
          <w:rFonts w:ascii="Georgia" w:eastAsia="Times New Roman" w:hAnsi="Georgia" w:cs="Times New Roman"/>
          <w:sz w:val="24"/>
          <w:szCs w:val="24"/>
          <w:highlight w:val="red"/>
          <w:lang w:eastAsia="en-GB"/>
        </w:rPr>
        <w:t>Reversed</w:t>
      </w:r>
    </w:p>
    <w:p w14:paraId="1BA7F440" w14:textId="77777777" w:rsidR="00560EC4" w:rsidRPr="00560EC4" w:rsidRDefault="00560EC4" w:rsidP="00560EC4">
      <w:pPr>
        <w:spacing w:before="100" w:beforeAutospacing="1" w:after="225" w:line="240" w:lineRule="auto"/>
        <w:rPr>
          <w:rFonts w:ascii="Georgia" w:eastAsia="Times New Roman" w:hAnsi="Georgia" w:cs="Times New Roman"/>
          <w:sz w:val="24"/>
          <w:szCs w:val="24"/>
          <w:lang w:eastAsia="en-GB"/>
        </w:rPr>
      </w:pPr>
      <w:r w:rsidRPr="00560EC4">
        <w:rPr>
          <w:rFonts w:ascii="Georgia" w:eastAsia="Times New Roman" w:hAnsi="Georgia" w:cs="Times New Roman"/>
          <w:sz w:val="24"/>
          <w:szCs w:val="24"/>
          <w:lang w:eastAsia="en-GB"/>
        </w:rPr>
        <w:t>Fogleman. J., disqualified.</w:t>
      </w:r>
    </w:p>
    <w:p w14:paraId="1BA7F441" w14:textId="77777777" w:rsidR="003C7770" w:rsidRDefault="003C7770"/>
    <w:p w14:paraId="1BA7F442" w14:textId="77777777" w:rsidR="009534C6" w:rsidRPr="009456D4" w:rsidRDefault="009534C6" w:rsidP="009534C6">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1BA7F443" w14:textId="77777777" w:rsidR="009534C6" w:rsidRPr="008962AD" w:rsidRDefault="00F2096B" w:rsidP="009534C6">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A nine-year old boy (Jackson) was injured by a stalk cutter which was being operated by a fourteen-year old boy (McCuiston). The trial court found in favour of McCuiston. The trial court reversed, holding that McCuiston may have been negligent, and that McCuiston’s actions should be held to the standard of a reasonably careful adult. </w:t>
      </w:r>
    </w:p>
    <w:p w14:paraId="1BA7F444" w14:textId="77777777" w:rsidR="009534C6" w:rsidRDefault="009534C6"/>
    <w:sectPr w:rsidR="00953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0EC4"/>
    <w:rsid w:val="0036748D"/>
    <w:rsid w:val="003C7770"/>
    <w:rsid w:val="00560EC4"/>
    <w:rsid w:val="007263F5"/>
    <w:rsid w:val="00757038"/>
    <w:rsid w:val="009534C6"/>
    <w:rsid w:val="00F209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F42A"/>
  <w15:docId w15:val="{876313D7-69CF-40A8-A674-BE69D47F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0E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EC4"/>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560EC4"/>
  </w:style>
  <w:style w:type="character" w:customStyle="1" w:styleId="court-name">
    <w:name w:val="court-name"/>
    <w:basedOn w:val="DefaultParagraphFont"/>
    <w:rsid w:val="00560EC4"/>
  </w:style>
  <w:style w:type="character" w:customStyle="1" w:styleId="docket-number">
    <w:name w:val="docket-number"/>
    <w:basedOn w:val="DefaultParagraphFont"/>
    <w:rsid w:val="00560EC4"/>
  </w:style>
  <w:style w:type="character" w:customStyle="1" w:styleId="case-name-v">
    <w:name w:val="case-name-v"/>
    <w:basedOn w:val="DefaultParagraphFont"/>
    <w:rsid w:val="00560EC4"/>
  </w:style>
  <w:style w:type="paragraph" w:customStyle="1" w:styleId="citation">
    <w:name w:val="citation"/>
    <w:basedOn w:val="Normal"/>
    <w:rsid w:val="00560EC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560E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60EC4"/>
    <w:rPr>
      <w:i/>
      <w:iCs/>
    </w:rPr>
  </w:style>
  <w:style w:type="paragraph" w:customStyle="1" w:styleId="author">
    <w:name w:val="author"/>
    <w:basedOn w:val="Normal"/>
    <w:rsid w:val="00560EC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60E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60EC4"/>
    <w:rPr>
      <w:color w:val="0000FF"/>
      <w:u w:val="single"/>
    </w:rPr>
  </w:style>
  <w:style w:type="paragraph" w:customStyle="1" w:styleId="judges">
    <w:name w:val="judges"/>
    <w:basedOn w:val="Normal"/>
    <w:rsid w:val="00560EC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9144063">
      <w:bodyDiv w:val="1"/>
      <w:marLeft w:val="0"/>
      <w:marRight w:val="0"/>
      <w:marTop w:val="0"/>
      <w:marBottom w:val="0"/>
      <w:divBdr>
        <w:top w:val="none" w:sz="0" w:space="0" w:color="auto"/>
        <w:left w:val="none" w:sz="0" w:space="0" w:color="auto"/>
        <w:bottom w:val="none" w:sz="0" w:space="0" w:color="auto"/>
        <w:right w:val="none" w:sz="0" w:space="0" w:color="auto"/>
      </w:divBdr>
      <w:divsChild>
        <w:div w:id="296492968">
          <w:marLeft w:val="0"/>
          <w:marRight w:val="0"/>
          <w:marTop w:val="0"/>
          <w:marBottom w:val="0"/>
          <w:divBdr>
            <w:top w:val="none" w:sz="0" w:space="0" w:color="auto"/>
            <w:left w:val="none" w:sz="0" w:space="0" w:color="auto"/>
            <w:bottom w:val="none" w:sz="0" w:space="0" w:color="auto"/>
            <w:right w:val="none" w:sz="0" w:space="0" w:color="auto"/>
          </w:divBdr>
        </w:div>
        <w:div w:id="1992055229">
          <w:marLeft w:val="0"/>
          <w:marRight w:val="0"/>
          <w:marTop w:val="0"/>
          <w:marBottom w:val="0"/>
          <w:divBdr>
            <w:top w:val="none" w:sz="0" w:space="0" w:color="auto"/>
            <w:left w:val="none" w:sz="0" w:space="0" w:color="auto"/>
            <w:bottom w:val="none" w:sz="0" w:space="0" w:color="auto"/>
            <w:right w:val="none" w:sz="0" w:space="0" w:color="auto"/>
          </w:divBdr>
        </w:div>
        <w:div w:id="116533980">
          <w:marLeft w:val="0"/>
          <w:marRight w:val="0"/>
          <w:marTop w:val="0"/>
          <w:marBottom w:val="0"/>
          <w:divBdr>
            <w:top w:val="none" w:sz="0" w:space="0" w:color="auto"/>
            <w:left w:val="none" w:sz="0" w:space="0" w:color="auto"/>
            <w:bottom w:val="none" w:sz="0" w:space="0" w:color="auto"/>
            <w:right w:val="none" w:sz="0" w:space="0" w:color="auto"/>
          </w:divBdr>
          <w:divsChild>
            <w:div w:id="1096905012">
              <w:marLeft w:val="1275"/>
              <w:marRight w:val="0"/>
              <w:marTop w:val="0"/>
              <w:marBottom w:val="0"/>
              <w:divBdr>
                <w:top w:val="none" w:sz="0" w:space="0" w:color="auto"/>
                <w:left w:val="none" w:sz="0" w:space="0" w:color="auto"/>
                <w:bottom w:val="none" w:sz="0" w:space="0" w:color="auto"/>
                <w:right w:val="none" w:sz="0" w:space="0" w:color="auto"/>
              </w:divBdr>
            </w:div>
          </w:divsChild>
        </w:div>
        <w:div w:id="1230070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214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74331">
          <w:blockQuote w:val="1"/>
          <w:marLeft w:val="720"/>
          <w:marRight w:val="720"/>
          <w:marTop w:val="100"/>
          <w:marBottom w:val="100"/>
          <w:divBdr>
            <w:top w:val="none" w:sz="0" w:space="0" w:color="auto"/>
            <w:left w:val="none" w:sz="0" w:space="0" w:color="auto"/>
            <w:bottom w:val="none" w:sz="0" w:space="0" w:color="auto"/>
            <w:right w:val="none" w:sz="0" w:space="0" w:color="auto"/>
          </w:divBdr>
        </w:div>
        <w:div w:id="278146810">
          <w:blockQuote w:val="1"/>
          <w:marLeft w:val="720"/>
          <w:marRight w:val="720"/>
          <w:marTop w:val="100"/>
          <w:marBottom w:val="100"/>
          <w:divBdr>
            <w:top w:val="none" w:sz="0" w:space="0" w:color="auto"/>
            <w:left w:val="none" w:sz="0" w:space="0" w:color="auto"/>
            <w:bottom w:val="none" w:sz="0" w:space="0" w:color="auto"/>
            <w:right w:val="none" w:sz="0" w:space="0" w:color="auto"/>
          </w:divBdr>
        </w:div>
        <w:div w:id="976422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236/325/"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ite.case.law/sw/163/117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te.case.law/ark/246/559/" TargetMode="External"/><Relationship Id="rId11" Type="http://schemas.openxmlformats.org/officeDocument/2006/relationships/hyperlink" Target="https://cite.case.law/ark/247/862/" TargetMode="External"/><Relationship Id="rId5" Type="http://schemas.openxmlformats.org/officeDocument/2006/relationships/hyperlink" Target="https://cite.case.law/ark/246/559/" TargetMode="External"/><Relationship Id="rId10" Type="http://schemas.openxmlformats.org/officeDocument/2006/relationships/hyperlink" Target="https://cite.case.law/ark/247/862/" TargetMode="External"/><Relationship Id="rId4" Type="http://schemas.openxmlformats.org/officeDocument/2006/relationships/hyperlink" Target="https://cite.case.law/ark/247/862/" TargetMode="External"/><Relationship Id="rId9" Type="http://schemas.openxmlformats.org/officeDocument/2006/relationships/hyperlink" Target="https://cite.case.law/sw/291/8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2024-09-17T13:28:00Z</dcterms:created>
  <dcterms:modified xsi:type="dcterms:W3CDTF">2024-09-17T13:28:00Z</dcterms:modified>
</cp:coreProperties>
</file>