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15DFF" w14:textId="77777777" w:rsidR="007B23E6" w:rsidRPr="007B23E6" w:rsidRDefault="007B23E6" w:rsidP="007B23E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7B23E6">
        <w:rPr>
          <w:rFonts w:ascii="Times New Roman" w:eastAsia="Times New Roman" w:hAnsi="Times New Roman" w:cs="Times New Roman"/>
          <w:b/>
          <w:bCs/>
          <w:color w:val="2F2F2F"/>
          <w:spacing w:val="3"/>
          <w:kern w:val="36"/>
          <w:sz w:val="35"/>
          <w:szCs w:val="35"/>
          <w:lang w:eastAsia="en-GB"/>
        </w:rPr>
        <w:t>City of Little Rock v. Cameron, 320 Ark. 444, 897 S.W.2d 562 (1995)</w:t>
      </w:r>
    </w:p>
    <w:p w14:paraId="22C15E00" w14:textId="77777777" w:rsidR="007B23E6" w:rsidRPr="007B23E6" w:rsidRDefault="007B23E6" w:rsidP="007B23E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7B23E6">
        <w:rPr>
          <w:rFonts w:ascii="Times New Roman" w:eastAsia="Times New Roman" w:hAnsi="Times New Roman" w:cs="Times New Roman"/>
          <w:color w:val="2F2F2F"/>
          <w:spacing w:val="3"/>
          <w:sz w:val="27"/>
          <w:szCs w:val="27"/>
          <w:lang w:eastAsia="en-GB"/>
        </w:rPr>
        <w:t>May 8, 1995 · Arkansas Supreme Court · 94-1334</w:t>
      </w:r>
    </w:p>
    <w:p w14:paraId="22C15E01" w14:textId="77777777" w:rsidR="007B23E6" w:rsidRPr="007B23E6" w:rsidRDefault="007B23E6" w:rsidP="007B23E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7B23E6">
        <w:rPr>
          <w:rFonts w:ascii="Times New Roman" w:eastAsia="Times New Roman" w:hAnsi="Times New Roman" w:cs="Times New Roman"/>
          <w:color w:val="2F2F2F"/>
          <w:spacing w:val="3"/>
          <w:sz w:val="27"/>
          <w:szCs w:val="27"/>
          <w:lang w:eastAsia="en-GB"/>
        </w:rPr>
        <w:t>320 Ark. 444, 897 S.W.2d 562</w:t>
      </w:r>
    </w:p>
    <w:p w14:paraId="22C15E02" w14:textId="77777777" w:rsidR="007B23E6" w:rsidRPr="007B23E6" w:rsidRDefault="007B23E6" w:rsidP="007B23E6">
      <w:pPr>
        <w:shd w:val="clear" w:color="auto" w:fill="FFFFFF"/>
        <w:spacing w:after="0" w:line="240" w:lineRule="auto"/>
        <w:rPr>
          <w:rFonts w:ascii="Georgia" w:eastAsia="Times New Roman" w:hAnsi="Georgia" w:cs="Arial"/>
          <w:color w:val="2F2F2F"/>
          <w:spacing w:val="3"/>
          <w:sz w:val="30"/>
          <w:szCs w:val="30"/>
          <w:lang w:eastAsia="en-GB"/>
        </w:rPr>
      </w:pPr>
      <w:r w:rsidRPr="007B23E6">
        <w:rPr>
          <w:rFonts w:ascii="Georgia" w:eastAsia="Times New Roman" w:hAnsi="Georgia" w:cs="Arial"/>
          <w:color w:val="2F2F2F"/>
          <w:spacing w:val="3"/>
          <w:sz w:val="30"/>
          <w:szCs w:val="30"/>
          <w:lang w:eastAsia="en-GB"/>
        </w:rPr>
        <w:t>CITY OF LITTLE ROCK</w:t>
      </w:r>
      <w:r w:rsidRPr="007B23E6">
        <w:rPr>
          <w:rFonts w:ascii="Georgia" w:eastAsia="Times New Roman" w:hAnsi="Georgia" w:cs="Arial"/>
          <w:i/>
          <w:iCs/>
          <w:color w:val="2F2F2F"/>
          <w:spacing w:val="3"/>
          <w:sz w:val="30"/>
          <w:szCs w:val="30"/>
          <w:lang w:eastAsia="en-GB"/>
        </w:rPr>
        <w:t>v.</w:t>
      </w:r>
      <w:r w:rsidRPr="007B23E6">
        <w:rPr>
          <w:rFonts w:ascii="Georgia" w:eastAsia="Times New Roman" w:hAnsi="Georgia" w:cs="Arial"/>
          <w:color w:val="2F2F2F"/>
          <w:spacing w:val="3"/>
          <w:sz w:val="30"/>
          <w:szCs w:val="30"/>
          <w:lang w:eastAsia="en-GB"/>
        </w:rPr>
        <w:t>Kevin Scott CAMERON</w:t>
      </w:r>
    </w:p>
    <w:p w14:paraId="22C15E03" w14:textId="77777777" w:rsidR="007B23E6" w:rsidRPr="007B23E6" w:rsidRDefault="007B23E6" w:rsidP="007B23E6">
      <w:pPr>
        <w:spacing w:before="100" w:beforeAutospacing="1" w:after="100" w:afterAutospacing="1"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lang w:eastAsia="en-GB"/>
        </w:rPr>
        <w:t>897 S.W.2d 562</w:t>
      </w:r>
    </w:p>
    <w:p w14:paraId="22C15E04" w14:textId="77777777" w:rsidR="007B23E6" w:rsidRPr="007B23E6" w:rsidRDefault="007B23E6" w:rsidP="007B23E6">
      <w:pPr>
        <w:spacing w:before="100" w:beforeAutospacing="1" w:after="100" w:afterAutospacing="1"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lang w:eastAsia="en-GB"/>
        </w:rPr>
        <w:t>Supreme Court of Arkansas</w:t>
      </w:r>
    </w:p>
    <w:p w14:paraId="22C15E05" w14:textId="362EA116" w:rsidR="007B23E6" w:rsidRPr="007B23E6" w:rsidRDefault="007B23E6" w:rsidP="007B23E6">
      <w:pPr>
        <w:shd w:val="clear" w:color="auto" w:fill="F7F7F9"/>
        <w:spacing w:before="100" w:beforeAutospacing="1" w:after="0" w:line="240" w:lineRule="auto"/>
        <w:rPr>
          <w:rFonts w:ascii="Georgia" w:eastAsia="Times New Roman" w:hAnsi="Georgia" w:cs="Times New Roman"/>
          <w:sz w:val="24"/>
          <w:szCs w:val="24"/>
          <w:lang w:eastAsia="en-GB"/>
        </w:rPr>
      </w:pPr>
      <w:r w:rsidRPr="007B23E6">
        <w:rPr>
          <w:rFonts w:ascii="Georgia" w:eastAsia="Times New Roman" w:hAnsi="Georgia" w:cs="Times New Roman"/>
          <w:i/>
          <w:iCs/>
          <w:color w:val="979797"/>
          <w:sz w:val="19"/>
          <w:szCs w:val="19"/>
          <w:lang w:eastAsia="en-GB"/>
        </w:rPr>
        <w:t>*445</w:t>
      </w:r>
      <w:r w:rsidRPr="007B23E6">
        <w:rPr>
          <w:rFonts w:ascii="Georgia" w:eastAsia="Times New Roman" w:hAnsi="Georgia" w:cs="Times New Roman"/>
          <w:sz w:val="24"/>
          <w:szCs w:val="24"/>
          <w:lang w:eastAsia="en-GB"/>
        </w:rPr>
        <w:t> </w:t>
      </w:r>
      <w:r w:rsidRPr="007B23E6">
        <w:rPr>
          <w:rFonts w:ascii="Georgia" w:eastAsia="Times New Roman" w:hAnsi="Georgia" w:cs="Times New Roman"/>
          <w:i/>
          <w:iCs/>
          <w:sz w:val="24"/>
          <w:szCs w:val="24"/>
          <w:lang w:eastAsia="en-GB"/>
        </w:rPr>
        <w:t>Office of the City Attorney, </w:t>
      </w:r>
      <w:r w:rsidRPr="007B23E6">
        <w:rPr>
          <w:rFonts w:ascii="Georgia" w:eastAsia="Times New Roman" w:hAnsi="Georgia" w:cs="Times New Roman"/>
          <w:sz w:val="24"/>
          <w:szCs w:val="24"/>
          <w:lang w:eastAsia="en-GB"/>
        </w:rPr>
        <w:t>by: </w:t>
      </w:r>
      <w:r w:rsidRPr="007B23E6">
        <w:rPr>
          <w:rFonts w:ascii="Georgia" w:eastAsia="Times New Roman" w:hAnsi="Georgia" w:cs="Times New Roman"/>
          <w:i/>
          <w:iCs/>
          <w:sz w:val="24"/>
          <w:szCs w:val="24"/>
          <w:lang w:eastAsia="en-GB"/>
        </w:rPr>
        <w:t>Thomas M. Carpenter </w:t>
      </w:r>
      <w:r w:rsidRPr="007B23E6">
        <w:rPr>
          <w:rFonts w:ascii="Georgia" w:eastAsia="Times New Roman" w:hAnsi="Georgia" w:cs="Times New Roman"/>
          <w:sz w:val="24"/>
          <w:szCs w:val="24"/>
          <w:lang w:eastAsia="en-GB"/>
        </w:rPr>
        <w:t>and </w:t>
      </w:r>
      <w:r w:rsidRPr="007B23E6">
        <w:rPr>
          <w:rFonts w:ascii="Georgia" w:eastAsia="Times New Roman" w:hAnsi="Georgia" w:cs="Times New Roman"/>
          <w:i/>
          <w:iCs/>
          <w:sz w:val="24"/>
          <w:szCs w:val="24"/>
          <w:lang w:eastAsia="en-GB"/>
        </w:rPr>
        <w:t>Anthony W. Black, </w:t>
      </w:r>
      <w:r w:rsidRPr="007B23E6">
        <w:rPr>
          <w:rFonts w:ascii="Georgia" w:eastAsia="Times New Roman" w:hAnsi="Georgia" w:cs="Times New Roman"/>
          <w:sz w:val="24"/>
          <w:szCs w:val="24"/>
          <w:lang w:eastAsia="en-GB"/>
        </w:rPr>
        <w:t>for appellant.</w:t>
      </w:r>
    </w:p>
    <w:p w14:paraId="22C15E06" w14:textId="77777777" w:rsidR="007B23E6" w:rsidRPr="007B23E6" w:rsidRDefault="007B23E6" w:rsidP="007B23E6">
      <w:pPr>
        <w:shd w:val="clear" w:color="auto" w:fill="F7F7F9"/>
        <w:spacing w:after="0" w:line="240" w:lineRule="auto"/>
        <w:rPr>
          <w:rFonts w:ascii="Georgia" w:eastAsia="Times New Roman" w:hAnsi="Georgia" w:cs="Times New Roman"/>
          <w:sz w:val="24"/>
          <w:szCs w:val="24"/>
          <w:lang w:eastAsia="en-GB"/>
        </w:rPr>
      </w:pPr>
      <w:r w:rsidRPr="007B23E6">
        <w:rPr>
          <w:rFonts w:ascii="Georgia" w:eastAsia="Times New Roman" w:hAnsi="Georgia" w:cs="Times New Roman"/>
          <w:i/>
          <w:iCs/>
          <w:sz w:val="24"/>
          <w:szCs w:val="24"/>
          <w:lang w:eastAsia="en-GB"/>
        </w:rPr>
        <w:t>Huckabay, Munson, Rowlett &amp; Tilley, P.A., </w:t>
      </w:r>
      <w:r w:rsidRPr="007B23E6">
        <w:rPr>
          <w:rFonts w:ascii="Georgia" w:eastAsia="Times New Roman" w:hAnsi="Georgia" w:cs="Times New Roman"/>
          <w:sz w:val="24"/>
          <w:szCs w:val="24"/>
          <w:lang w:eastAsia="en-GB"/>
        </w:rPr>
        <w:t>by: </w:t>
      </w:r>
      <w:r w:rsidRPr="007B23E6">
        <w:rPr>
          <w:rFonts w:ascii="Georgia" w:eastAsia="Times New Roman" w:hAnsi="Georgia" w:cs="Times New Roman"/>
          <w:i/>
          <w:iCs/>
          <w:sz w:val="24"/>
          <w:szCs w:val="24"/>
          <w:lang w:eastAsia="en-GB"/>
        </w:rPr>
        <w:t>Sarah Pres-son </w:t>
      </w:r>
      <w:r w:rsidRPr="007B23E6">
        <w:rPr>
          <w:rFonts w:ascii="Georgia" w:eastAsia="Times New Roman" w:hAnsi="Georgia" w:cs="Times New Roman"/>
          <w:sz w:val="24"/>
          <w:szCs w:val="24"/>
          <w:lang w:eastAsia="en-GB"/>
        </w:rPr>
        <w:t>and </w:t>
      </w:r>
      <w:r w:rsidRPr="007B23E6">
        <w:rPr>
          <w:rFonts w:ascii="Georgia" w:eastAsia="Times New Roman" w:hAnsi="Georgia" w:cs="Times New Roman"/>
          <w:i/>
          <w:iCs/>
          <w:sz w:val="24"/>
          <w:szCs w:val="24"/>
          <w:lang w:eastAsia="en-GB"/>
        </w:rPr>
        <w:t>Julia Busfield, </w:t>
      </w:r>
      <w:r w:rsidRPr="007B23E6">
        <w:rPr>
          <w:rFonts w:ascii="Georgia" w:eastAsia="Times New Roman" w:hAnsi="Georgia" w:cs="Times New Roman"/>
          <w:sz w:val="24"/>
          <w:szCs w:val="24"/>
          <w:lang w:eastAsia="en-GB"/>
        </w:rPr>
        <w:t>for appellee.</w:t>
      </w:r>
    </w:p>
    <w:p w14:paraId="22C15E07" w14:textId="77777777" w:rsidR="007B23E6" w:rsidRPr="007B23E6" w:rsidRDefault="007B23E6" w:rsidP="007B23E6">
      <w:pPr>
        <w:spacing w:before="100" w:beforeAutospacing="1" w:after="225" w:line="240" w:lineRule="auto"/>
        <w:rPr>
          <w:rFonts w:ascii="Georgia" w:eastAsia="Times New Roman" w:hAnsi="Georgia" w:cs="Times New Roman"/>
          <w:color w:val="E878FF"/>
          <w:sz w:val="24"/>
          <w:szCs w:val="24"/>
          <w:lang w:eastAsia="en-GB"/>
        </w:rPr>
      </w:pPr>
      <w:r w:rsidRPr="007B23E6">
        <w:rPr>
          <w:rFonts w:ascii="Georgia" w:eastAsia="Times New Roman" w:hAnsi="Georgia" w:cs="Times New Roman"/>
          <w:color w:val="E878FF"/>
          <w:sz w:val="24"/>
          <w:szCs w:val="24"/>
          <w:lang w:eastAsia="en-GB"/>
        </w:rPr>
        <w:t>Robert L. Brown, Justice.</w:t>
      </w:r>
    </w:p>
    <w:p w14:paraId="22C15E08" w14:textId="77777777"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highlight w:val="magenta"/>
          <w:lang w:eastAsia="en-GB"/>
        </w:rPr>
        <w:t>This case involves an appeal from a grant of a directed verdict in favor of the appellee, Kevin Scott Cameron.</w:t>
      </w:r>
      <w:r w:rsidRPr="007B23E6">
        <w:rPr>
          <w:rFonts w:ascii="Georgia" w:eastAsia="Times New Roman" w:hAnsi="Georgia" w:cs="Times New Roman"/>
          <w:sz w:val="24"/>
          <w:szCs w:val="24"/>
          <w:lang w:eastAsia="en-GB"/>
        </w:rPr>
        <w:t xml:space="preserve"> </w:t>
      </w:r>
      <w:r w:rsidRPr="007B23E6">
        <w:rPr>
          <w:rFonts w:ascii="Georgia" w:eastAsia="Times New Roman" w:hAnsi="Georgia" w:cs="Times New Roman"/>
          <w:sz w:val="24"/>
          <w:szCs w:val="24"/>
          <w:highlight w:val="green"/>
          <w:lang w:eastAsia="en-GB"/>
        </w:rPr>
        <w:t xml:space="preserve">The City of Little Rock, as appellant, contends that the trial court erred in its ruling. We do not agree and </w:t>
      </w:r>
      <w:r w:rsidRPr="007B23E6">
        <w:rPr>
          <w:rFonts w:ascii="Georgia" w:eastAsia="Times New Roman" w:hAnsi="Georgia" w:cs="Times New Roman"/>
          <w:sz w:val="24"/>
          <w:szCs w:val="24"/>
          <w:highlight w:val="red"/>
          <w:lang w:eastAsia="en-GB"/>
        </w:rPr>
        <w:t>affirm.</w:t>
      </w:r>
    </w:p>
    <w:p w14:paraId="22C15E09" w14:textId="77777777"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highlight w:val="yellow"/>
          <w:lang w:eastAsia="en-GB"/>
        </w:rPr>
        <w:t>At approximately midnight on March 5, 1992, Cameron left the Bobbisox Lounge at</w:t>
      </w:r>
      <w:r w:rsidRPr="007B23E6">
        <w:rPr>
          <w:rFonts w:ascii="Georgia" w:eastAsia="Times New Roman" w:hAnsi="Georgia" w:cs="Times New Roman"/>
          <w:sz w:val="24"/>
          <w:szCs w:val="24"/>
          <w:lang w:eastAsia="en-GB"/>
        </w:rPr>
        <w:t xml:space="preserve"> </w:t>
      </w:r>
      <w:r w:rsidRPr="007B23E6">
        <w:rPr>
          <w:rFonts w:ascii="Georgia" w:eastAsia="Times New Roman" w:hAnsi="Georgia" w:cs="Times New Roman"/>
          <w:sz w:val="24"/>
          <w:szCs w:val="24"/>
          <w:highlight w:val="yellow"/>
          <w:lang w:eastAsia="en-GB"/>
        </w:rPr>
        <w:t>the Holiday Inn by the Little Rock Airport. He had been drinking alcoholic beverages. He went to a Waffle House across the street and left there at about 2:00 a.m. He drove into downtown Little Rock. It was raining. At the intersection of West Markham and McKinley, his car struck a traffic </w:t>
      </w:r>
      <w:hyperlink r:id="rId4" w:anchor="p446" w:history="1">
        <w:r w:rsidRPr="00BE0834">
          <w:rPr>
            <w:rFonts w:ascii="Georgia" w:eastAsia="Times New Roman" w:hAnsi="Georgia" w:cs="Times New Roman"/>
            <w:i/>
            <w:iCs/>
            <w:color w:val="979797"/>
            <w:sz w:val="19"/>
            <w:szCs w:val="19"/>
            <w:highlight w:val="yellow"/>
            <w:lang w:eastAsia="en-GB"/>
          </w:rPr>
          <w:t>*446</w:t>
        </w:r>
      </w:hyperlink>
      <w:r w:rsidRPr="007B23E6">
        <w:rPr>
          <w:rFonts w:ascii="Georgia" w:eastAsia="Times New Roman" w:hAnsi="Georgia" w:cs="Times New Roman"/>
          <w:sz w:val="24"/>
          <w:szCs w:val="24"/>
          <w:highlight w:val="yellow"/>
          <w:lang w:eastAsia="en-GB"/>
        </w:rPr>
        <w:t xml:space="preserve">signal pole and destroyed it. </w:t>
      </w:r>
      <w:r w:rsidRPr="007B23E6">
        <w:rPr>
          <w:rFonts w:ascii="Georgia" w:eastAsia="Times New Roman" w:hAnsi="Georgia" w:cs="Times New Roman"/>
          <w:sz w:val="24"/>
          <w:szCs w:val="24"/>
          <w:highlight w:val="magenta"/>
          <w:lang w:eastAsia="en-GB"/>
        </w:rPr>
        <w:t>The City sued Cameron for negligence and for damages in the amount of $4,562.70 for the destruction of the pole.</w:t>
      </w:r>
    </w:p>
    <w:p w14:paraId="22C15E0A" w14:textId="77777777"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lang w:eastAsia="en-GB"/>
        </w:rPr>
        <w:t xml:space="preserve">At the resulting jury trial, the City called Officer Linda Barron as a witness. </w:t>
      </w:r>
      <w:r w:rsidRPr="007B23E6">
        <w:rPr>
          <w:rFonts w:ascii="Georgia" w:eastAsia="Times New Roman" w:hAnsi="Georgia" w:cs="Times New Roman"/>
          <w:sz w:val="24"/>
          <w:szCs w:val="24"/>
          <w:highlight w:val="yellow"/>
          <w:lang w:eastAsia="en-GB"/>
        </w:rPr>
        <w:t>Officer Barron testified that she was the investigating officer and that two vehicles were involved in the accident: Cameron’s 1987 Ford Taurus and a 1989 G.M.C. pickup driven by Othlea Patterson.</w:t>
      </w:r>
      <w:r w:rsidRPr="007B23E6">
        <w:rPr>
          <w:rFonts w:ascii="Georgia" w:eastAsia="Times New Roman" w:hAnsi="Georgia" w:cs="Times New Roman"/>
          <w:sz w:val="24"/>
          <w:szCs w:val="24"/>
          <w:lang w:eastAsia="en-GB"/>
        </w:rPr>
        <w:t xml:space="preserve"> Officer Barron testified that </w:t>
      </w:r>
      <w:r w:rsidRPr="007B23E6">
        <w:rPr>
          <w:rFonts w:ascii="Georgia" w:eastAsia="Times New Roman" w:hAnsi="Georgia" w:cs="Times New Roman"/>
          <w:sz w:val="24"/>
          <w:szCs w:val="24"/>
          <w:highlight w:val="yellow"/>
          <w:lang w:eastAsia="en-GB"/>
        </w:rPr>
        <w:t>she smelled alcohol on Cameron’s breath</w:t>
      </w:r>
      <w:r w:rsidRPr="007B23E6">
        <w:rPr>
          <w:rFonts w:ascii="Georgia" w:eastAsia="Times New Roman" w:hAnsi="Georgia" w:cs="Times New Roman"/>
          <w:sz w:val="24"/>
          <w:szCs w:val="24"/>
          <w:lang w:eastAsia="en-GB"/>
        </w:rPr>
        <w:t xml:space="preserve">. She stated that </w:t>
      </w:r>
      <w:r w:rsidRPr="007B23E6">
        <w:rPr>
          <w:rFonts w:ascii="Georgia" w:eastAsia="Times New Roman" w:hAnsi="Georgia" w:cs="Times New Roman"/>
          <w:sz w:val="24"/>
          <w:szCs w:val="24"/>
          <w:highlight w:val="yellow"/>
          <w:lang w:eastAsia="en-GB"/>
        </w:rPr>
        <w:t>Cameron told her that the pickup truck had entered his lane and that he had swerved to miss it and struck the pole.</w:t>
      </w:r>
      <w:r w:rsidRPr="007B23E6">
        <w:rPr>
          <w:rFonts w:ascii="Georgia" w:eastAsia="Times New Roman" w:hAnsi="Georgia" w:cs="Times New Roman"/>
          <w:sz w:val="24"/>
          <w:szCs w:val="24"/>
          <w:lang w:eastAsia="en-GB"/>
        </w:rPr>
        <w:t xml:space="preserve"> She noted that </w:t>
      </w:r>
      <w:r w:rsidRPr="007B23E6">
        <w:rPr>
          <w:rFonts w:ascii="Georgia" w:eastAsia="Times New Roman" w:hAnsi="Georgia" w:cs="Times New Roman"/>
          <w:sz w:val="24"/>
          <w:szCs w:val="24"/>
          <w:highlight w:val="yellow"/>
          <w:lang w:eastAsia="en-GB"/>
        </w:rPr>
        <w:t xml:space="preserve">Cameron’s vehicle had hit the pickup but </w:t>
      </w:r>
      <w:r w:rsidRPr="007B23E6">
        <w:rPr>
          <w:rFonts w:ascii="Georgia" w:eastAsia="Times New Roman" w:hAnsi="Georgia" w:cs="Times New Roman"/>
          <w:sz w:val="24"/>
          <w:szCs w:val="24"/>
          <w:lang w:eastAsia="en-GB"/>
        </w:rPr>
        <w:t xml:space="preserve">stated that </w:t>
      </w:r>
      <w:r w:rsidRPr="007B23E6">
        <w:rPr>
          <w:rFonts w:ascii="Georgia" w:eastAsia="Times New Roman" w:hAnsi="Georgia" w:cs="Times New Roman"/>
          <w:sz w:val="24"/>
          <w:szCs w:val="24"/>
          <w:highlight w:val="yellow"/>
          <w:lang w:eastAsia="en-GB"/>
        </w:rPr>
        <w:t>Cameron was unaware of this at the time. No citations were issued to the driver of either vehicle, and the police officer’s accident report noted no contributing causes for the wreck.</w:t>
      </w:r>
    </w:p>
    <w:p w14:paraId="22C15E0B" w14:textId="77777777"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highlight w:val="yellow"/>
          <w:lang w:eastAsia="en-GB"/>
        </w:rPr>
        <w:t>Officer Roy Howard of the Little Rock Police Department</w:t>
      </w:r>
      <w:r w:rsidRPr="007B23E6">
        <w:rPr>
          <w:rFonts w:ascii="Georgia" w:eastAsia="Times New Roman" w:hAnsi="Georgia" w:cs="Times New Roman"/>
          <w:sz w:val="24"/>
          <w:szCs w:val="24"/>
          <w:lang w:eastAsia="en-GB"/>
        </w:rPr>
        <w:t xml:space="preserve"> testified that he </w:t>
      </w:r>
      <w:r w:rsidRPr="007B23E6">
        <w:rPr>
          <w:rFonts w:ascii="Georgia" w:eastAsia="Times New Roman" w:hAnsi="Georgia" w:cs="Times New Roman"/>
          <w:sz w:val="24"/>
          <w:szCs w:val="24"/>
          <w:highlight w:val="yellow"/>
          <w:lang w:eastAsia="en-GB"/>
        </w:rPr>
        <w:t>administered a portable breathalyzer test to Cameron at the scene and that Cameron tested for a blood/alcohol level of .05 percent.</w:t>
      </w:r>
      <w:r w:rsidRPr="007B23E6">
        <w:rPr>
          <w:rFonts w:ascii="Georgia" w:eastAsia="Times New Roman" w:hAnsi="Georgia" w:cs="Times New Roman"/>
          <w:sz w:val="24"/>
          <w:szCs w:val="24"/>
          <w:lang w:eastAsia="en-GB"/>
        </w:rPr>
        <w:t xml:space="preserve"> He stated that </w:t>
      </w:r>
      <w:r w:rsidRPr="007B23E6">
        <w:rPr>
          <w:rFonts w:ascii="Georgia" w:eastAsia="Times New Roman" w:hAnsi="Georgia" w:cs="Times New Roman"/>
          <w:sz w:val="24"/>
          <w:szCs w:val="24"/>
          <w:highlight w:val="yellow"/>
          <w:lang w:eastAsia="en-GB"/>
        </w:rPr>
        <w:t>he did not believe that Cameron was “impaired to an extreme point,” though he did state he believed that drinking alcoholic beverages does impair one’s ability to drive.</w:t>
      </w:r>
    </w:p>
    <w:p w14:paraId="22C15E0C" w14:textId="77777777"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lang w:eastAsia="en-GB"/>
        </w:rPr>
        <w:t xml:space="preserve">The City rested its case after providing proof of its damages. </w:t>
      </w:r>
      <w:r w:rsidRPr="007B23E6">
        <w:rPr>
          <w:rFonts w:ascii="Georgia" w:eastAsia="Times New Roman" w:hAnsi="Georgia" w:cs="Times New Roman"/>
          <w:sz w:val="24"/>
          <w:szCs w:val="24"/>
          <w:highlight w:val="magenta"/>
          <w:lang w:eastAsia="en-GB"/>
        </w:rPr>
        <w:t>Cameron moved for a directed verdict, and it was granted.</w:t>
      </w:r>
    </w:p>
    <w:p w14:paraId="22C15E0D" w14:textId="43C297DD"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lang w:eastAsia="en-GB"/>
        </w:rPr>
        <w:lastRenderedPageBreak/>
        <w:t xml:space="preserve">The City urges on appeal that the trial court erred in granting Cameron’s motion for directed verdict. </w:t>
      </w:r>
      <w:r w:rsidRPr="007B23E6">
        <w:rPr>
          <w:rFonts w:ascii="Georgia" w:eastAsia="Times New Roman" w:hAnsi="Georgia" w:cs="Times New Roman"/>
          <w:sz w:val="24"/>
          <w:szCs w:val="24"/>
          <w:highlight w:val="magenta"/>
          <w:lang w:eastAsia="en-GB"/>
        </w:rPr>
        <w:t>In determining the correctness of the trial court’s ruling, we view the evidence in the light most favorable to the party against whom the verdict is sought and give it the highest probative value, taking into account all reasonable inferences deducible from it.</w:t>
      </w:r>
      <w:r w:rsidRPr="007B23E6">
        <w:rPr>
          <w:rFonts w:ascii="Georgia" w:eastAsia="Times New Roman" w:hAnsi="Georgia" w:cs="Times New Roman"/>
          <w:sz w:val="24"/>
          <w:szCs w:val="24"/>
          <w:lang w:eastAsia="en-GB"/>
        </w:rPr>
        <w:t> </w:t>
      </w:r>
      <w:r w:rsidRPr="007B23E6">
        <w:rPr>
          <w:rFonts w:ascii="Georgia" w:eastAsia="Times New Roman" w:hAnsi="Georgia" w:cs="Times New Roman"/>
          <w:i/>
          <w:iCs/>
          <w:sz w:val="24"/>
          <w:szCs w:val="24"/>
          <w:lang w:eastAsia="en-GB"/>
        </w:rPr>
        <w:t>Bice </w:t>
      </w:r>
      <w:r w:rsidRPr="007B23E6">
        <w:rPr>
          <w:rFonts w:ascii="Georgia" w:eastAsia="Times New Roman" w:hAnsi="Georgia" w:cs="Times New Roman"/>
          <w:sz w:val="24"/>
          <w:szCs w:val="24"/>
          <w:lang w:eastAsia="en-GB"/>
        </w:rPr>
        <w:t>v. </w:t>
      </w:r>
      <w:r w:rsidRPr="007B23E6">
        <w:rPr>
          <w:rFonts w:ascii="Georgia" w:eastAsia="Times New Roman" w:hAnsi="Georgia" w:cs="Times New Roman"/>
          <w:i/>
          <w:iCs/>
          <w:sz w:val="24"/>
          <w:szCs w:val="24"/>
          <w:lang w:eastAsia="en-GB"/>
        </w:rPr>
        <w:t>Hartford Acc. &amp; Indem. Co., </w:t>
      </w:r>
      <w:r w:rsidRPr="007B23E6">
        <w:rPr>
          <w:rFonts w:ascii="Georgia" w:eastAsia="Times New Roman" w:hAnsi="Georgia" w:cs="Times New Roman"/>
          <w:color w:val="007BFF"/>
          <w:sz w:val="24"/>
          <w:szCs w:val="24"/>
          <w:lang w:eastAsia="en-GB"/>
        </w:rPr>
        <w:t>300 Ark. 122</w:t>
      </w:r>
      <w:r w:rsidRPr="007B23E6">
        <w:rPr>
          <w:rFonts w:ascii="Georgia" w:eastAsia="Times New Roman" w:hAnsi="Georgia" w:cs="Times New Roman"/>
          <w:sz w:val="24"/>
          <w:szCs w:val="24"/>
          <w:lang w:eastAsia="en-GB"/>
        </w:rPr>
        <w:t>, </w:t>
      </w:r>
      <w:hyperlink r:id="rId5" w:history="1">
        <w:r w:rsidRPr="007B23E6">
          <w:rPr>
            <w:rFonts w:ascii="Georgia" w:eastAsia="Times New Roman" w:hAnsi="Georgia" w:cs="Times New Roman"/>
            <w:i/>
            <w:iCs/>
            <w:color w:val="007BFF"/>
            <w:sz w:val="24"/>
            <w:szCs w:val="24"/>
            <w:lang w:eastAsia="en-GB"/>
          </w:rPr>
          <w:t>777 </w:t>
        </w:r>
      </w:hyperlink>
      <w:r w:rsidRPr="007B23E6">
        <w:rPr>
          <w:rFonts w:ascii="Georgia" w:eastAsia="Times New Roman" w:hAnsi="Georgia" w:cs="Times New Roman"/>
          <w:color w:val="007BFF"/>
          <w:sz w:val="24"/>
          <w:szCs w:val="24"/>
          <w:lang w:eastAsia="en-GB"/>
        </w:rPr>
        <w:t>S.W.2d 213</w:t>
      </w:r>
      <w:r w:rsidRPr="007B23E6">
        <w:rPr>
          <w:rFonts w:ascii="Georgia" w:eastAsia="Times New Roman" w:hAnsi="Georgia" w:cs="Times New Roman"/>
          <w:sz w:val="24"/>
          <w:szCs w:val="24"/>
          <w:lang w:eastAsia="en-GB"/>
        </w:rPr>
        <w:t xml:space="preserve"> (1989). </w:t>
      </w:r>
      <w:r w:rsidRPr="007B23E6">
        <w:rPr>
          <w:rFonts w:ascii="Georgia" w:eastAsia="Times New Roman" w:hAnsi="Georgia" w:cs="Times New Roman"/>
          <w:sz w:val="24"/>
          <w:szCs w:val="24"/>
          <w:highlight w:val="magenta"/>
          <w:lang w:eastAsia="en-GB"/>
        </w:rPr>
        <w:t>A motion for directed verdict should be granted only if the evidence so viewed would be so insubstantial as to require a jury verdict for the party to be set aside.</w:t>
      </w:r>
      <w:r w:rsidRPr="007B23E6">
        <w:rPr>
          <w:rFonts w:ascii="Georgia" w:eastAsia="Times New Roman" w:hAnsi="Georgia" w:cs="Times New Roman"/>
          <w:sz w:val="24"/>
          <w:szCs w:val="24"/>
          <w:lang w:eastAsia="en-GB"/>
        </w:rPr>
        <w:t> </w:t>
      </w:r>
      <w:r w:rsidRPr="007B23E6">
        <w:rPr>
          <w:rFonts w:ascii="Georgia" w:eastAsia="Times New Roman" w:hAnsi="Georgia" w:cs="Times New Roman"/>
          <w:i/>
          <w:iCs/>
          <w:sz w:val="24"/>
          <w:szCs w:val="24"/>
          <w:lang w:eastAsia="en-GB"/>
        </w:rPr>
        <w:t>Id.; Campbell Soup Co. </w:t>
      </w:r>
      <w:r w:rsidRPr="007B23E6">
        <w:rPr>
          <w:rFonts w:ascii="Georgia" w:eastAsia="Times New Roman" w:hAnsi="Georgia" w:cs="Times New Roman"/>
          <w:sz w:val="24"/>
          <w:szCs w:val="24"/>
          <w:lang w:eastAsia="en-GB"/>
        </w:rPr>
        <w:t>v. </w:t>
      </w:r>
      <w:r w:rsidRPr="007B23E6">
        <w:rPr>
          <w:rFonts w:ascii="Georgia" w:eastAsia="Times New Roman" w:hAnsi="Georgia" w:cs="Times New Roman"/>
          <w:i/>
          <w:iCs/>
          <w:sz w:val="24"/>
          <w:szCs w:val="24"/>
          <w:lang w:eastAsia="en-GB"/>
        </w:rPr>
        <w:t>Gates, </w:t>
      </w:r>
      <w:hyperlink r:id="rId6" w:history="1">
        <w:r w:rsidRPr="007B23E6">
          <w:rPr>
            <w:rFonts w:ascii="Georgia" w:eastAsia="Times New Roman" w:hAnsi="Georgia" w:cs="Times New Roman"/>
            <w:color w:val="007BFF"/>
            <w:sz w:val="24"/>
            <w:szCs w:val="24"/>
            <w:lang w:eastAsia="en-GB"/>
          </w:rPr>
          <w:t>319 Ark. 54</w:t>
        </w:r>
      </w:hyperlink>
      <w:r w:rsidRPr="007B23E6">
        <w:rPr>
          <w:rFonts w:ascii="Georgia" w:eastAsia="Times New Roman" w:hAnsi="Georgia" w:cs="Times New Roman"/>
          <w:sz w:val="24"/>
          <w:szCs w:val="24"/>
          <w:lang w:eastAsia="en-GB"/>
        </w:rPr>
        <w:t>, </w:t>
      </w:r>
      <w:r w:rsidRPr="007B23E6">
        <w:rPr>
          <w:rFonts w:ascii="Georgia" w:eastAsia="Times New Roman" w:hAnsi="Georgia" w:cs="Times New Roman"/>
          <w:color w:val="007BFF"/>
          <w:sz w:val="24"/>
          <w:szCs w:val="24"/>
          <w:lang w:eastAsia="en-GB"/>
        </w:rPr>
        <w:t>889 S.W.2d 756</w:t>
      </w:r>
      <w:r w:rsidRPr="007B23E6">
        <w:rPr>
          <w:rFonts w:ascii="Georgia" w:eastAsia="Times New Roman" w:hAnsi="Georgia" w:cs="Times New Roman"/>
          <w:sz w:val="24"/>
          <w:szCs w:val="24"/>
          <w:lang w:eastAsia="en-GB"/>
        </w:rPr>
        <w:t> (1994). Evidence is insubstantial when it is not of sufficient force or character to compel a conclusion one way or the other or if it does not force a conclusion to pass beyond suspicion or conjecture. </w:t>
      </w:r>
      <w:r w:rsidRPr="007B23E6">
        <w:rPr>
          <w:rFonts w:ascii="Georgia" w:eastAsia="Times New Roman" w:hAnsi="Georgia" w:cs="Times New Roman"/>
          <w:i/>
          <w:iCs/>
          <w:sz w:val="24"/>
          <w:szCs w:val="24"/>
          <w:lang w:eastAsia="en-GB"/>
        </w:rPr>
        <w:t>See Allred </w:t>
      </w:r>
      <w:r w:rsidRPr="007B23E6">
        <w:rPr>
          <w:rFonts w:ascii="Georgia" w:eastAsia="Times New Roman" w:hAnsi="Georgia" w:cs="Times New Roman"/>
          <w:sz w:val="24"/>
          <w:szCs w:val="24"/>
          <w:lang w:eastAsia="en-GB"/>
        </w:rPr>
        <w:t>v. </w:t>
      </w:r>
      <w:hyperlink r:id="rId7" w:anchor="p447" w:history="1">
        <w:r w:rsidRPr="007B23E6">
          <w:rPr>
            <w:rFonts w:ascii="Georgia" w:eastAsia="Times New Roman" w:hAnsi="Georgia" w:cs="Times New Roman"/>
            <w:i/>
            <w:iCs/>
            <w:color w:val="979797"/>
            <w:sz w:val="19"/>
            <w:szCs w:val="19"/>
            <w:lang w:eastAsia="en-GB"/>
          </w:rPr>
          <w:t>*447</w:t>
        </w:r>
      </w:hyperlink>
      <w:r w:rsidRPr="007B23E6">
        <w:rPr>
          <w:rFonts w:ascii="Georgia" w:eastAsia="Times New Roman" w:hAnsi="Georgia" w:cs="Times New Roman"/>
          <w:sz w:val="24"/>
          <w:szCs w:val="24"/>
          <w:lang w:eastAsia="en-GB"/>
        </w:rPr>
        <w:t> </w:t>
      </w:r>
      <w:r w:rsidRPr="007B23E6">
        <w:rPr>
          <w:rFonts w:ascii="Georgia" w:eastAsia="Times New Roman" w:hAnsi="Georgia" w:cs="Times New Roman"/>
          <w:i/>
          <w:iCs/>
          <w:sz w:val="24"/>
          <w:szCs w:val="24"/>
          <w:lang w:eastAsia="en-GB"/>
        </w:rPr>
        <w:t>Demuth, </w:t>
      </w:r>
      <w:r w:rsidRPr="007B23E6">
        <w:rPr>
          <w:rFonts w:ascii="Georgia" w:eastAsia="Times New Roman" w:hAnsi="Georgia" w:cs="Times New Roman"/>
          <w:color w:val="007BFF"/>
          <w:sz w:val="24"/>
          <w:szCs w:val="24"/>
          <w:lang w:eastAsia="en-GB"/>
        </w:rPr>
        <w:t>319 Ark. 62</w:t>
      </w:r>
      <w:r w:rsidRPr="007B23E6">
        <w:rPr>
          <w:rFonts w:ascii="Georgia" w:eastAsia="Times New Roman" w:hAnsi="Georgia" w:cs="Times New Roman"/>
          <w:sz w:val="24"/>
          <w:szCs w:val="24"/>
          <w:lang w:eastAsia="en-GB"/>
        </w:rPr>
        <w:t>, </w:t>
      </w:r>
      <w:hyperlink r:id="rId8" w:history="1">
        <w:r w:rsidRPr="007B23E6">
          <w:rPr>
            <w:rFonts w:ascii="Georgia" w:eastAsia="Times New Roman" w:hAnsi="Georgia" w:cs="Times New Roman"/>
            <w:color w:val="007BFF"/>
            <w:sz w:val="24"/>
            <w:szCs w:val="24"/>
            <w:lang w:eastAsia="en-GB"/>
          </w:rPr>
          <w:t>890 S.W.2d 578</w:t>
        </w:r>
      </w:hyperlink>
      <w:r w:rsidRPr="007B23E6">
        <w:rPr>
          <w:rFonts w:ascii="Georgia" w:eastAsia="Times New Roman" w:hAnsi="Georgia" w:cs="Times New Roman"/>
          <w:sz w:val="24"/>
          <w:szCs w:val="24"/>
          <w:lang w:eastAsia="en-GB"/>
        </w:rPr>
        <w:t> (1994); </w:t>
      </w:r>
      <w:r w:rsidRPr="007B23E6">
        <w:rPr>
          <w:rFonts w:ascii="Georgia" w:eastAsia="Times New Roman" w:hAnsi="Georgia" w:cs="Times New Roman"/>
          <w:i/>
          <w:iCs/>
          <w:sz w:val="24"/>
          <w:szCs w:val="24"/>
          <w:lang w:eastAsia="en-GB"/>
        </w:rPr>
        <w:t>Moore </w:t>
      </w:r>
      <w:r w:rsidRPr="007B23E6">
        <w:rPr>
          <w:rFonts w:ascii="Georgia" w:eastAsia="Times New Roman" w:hAnsi="Georgia" w:cs="Times New Roman"/>
          <w:sz w:val="24"/>
          <w:szCs w:val="24"/>
          <w:lang w:eastAsia="en-GB"/>
        </w:rPr>
        <w:t>v. </w:t>
      </w:r>
      <w:r w:rsidRPr="007B23E6">
        <w:rPr>
          <w:rFonts w:ascii="Georgia" w:eastAsia="Times New Roman" w:hAnsi="Georgia" w:cs="Times New Roman"/>
          <w:i/>
          <w:iCs/>
          <w:sz w:val="24"/>
          <w:szCs w:val="24"/>
          <w:lang w:eastAsia="en-GB"/>
        </w:rPr>
        <w:t>State, </w:t>
      </w:r>
      <w:r w:rsidRPr="007B23E6">
        <w:rPr>
          <w:rFonts w:ascii="Georgia" w:eastAsia="Times New Roman" w:hAnsi="Georgia" w:cs="Times New Roman"/>
          <w:color w:val="007BFF"/>
          <w:sz w:val="24"/>
          <w:szCs w:val="24"/>
          <w:lang w:eastAsia="en-GB"/>
        </w:rPr>
        <w:t>315 Ark. 131</w:t>
      </w:r>
      <w:r w:rsidRPr="007B23E6">
        <w:rPr>
          <w:rFonts w:ascii="Georgia" w:eastAsia="Times New Roman" w:hAnsi="Georgia" w:cs="Times New Roman"/>
          <w:sz w:val="24"/>
          <w:szCs w:val="24"/>
          <w:lang w:eastAsia="en-GB"/>
        </w:rPr>
        <w:t>, </w:t>
      </w:r>
      <w:hyperlink r:id="rId9" w:history="1">
        <w:r w:rsidRPr="007B23E6">
          <w:rPr>
            <w:rFonts w:ascii="Georgia" w:eastAsia="Times New Roman" w:hAnsi="Georgia" w:cs="Times New Roman"/>
            <w:color w:val="007BFF"/>
            <w:sz w:val="24"/>
            <w:szCs w:val="24"/>
            <w:lang w:eastAsia="en-GB"/>
          </w:rPr>
          <w:t>864 S.W.2d 863</w:t>
        </w:r>
      </w:hyperlink>
      <w:r w:rsidRPr="007B23E6">
        <w:rPr>
          <w:rFonts w:ascii="Georgia" w:eastAsia="Times New Roman" w:hAnsi="Georgia" w:cs="Times New Roman"/>
          <w:sz w:val="24"/>
          <w:szCs w:val="24"/>
          <w:lang w:eastAsia="en-GB"/>
        </w:rPr>
        <w:t> (1993).</w:t>
      </w:r>
    </w:p>
    <w:p w14:paraId="22C15E0E" w14:textId="54931BE4"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highlight w:val="magenta"/>
          <w:lang w:eastAsia="en-GB"/>
        </w:rPr>
        <w:t>In the case before us, the trial court found that there was insufficient evidence to support a claim of negligence.</w:t>
      </w:r>
      <w:r w:rsidRPr="007B23E6">
        <w:rPr>
          <w:rFonts w:ascii="Georgia" w:eastAsia="Times New Roman" w:hAnsi="Georgia" w:cs="Times New Roman"/>
          <w:sz w:val="24"/>
          <w:szCs w:val="24"/>
          <w:lang w:eastAsia="en-GB"/>
        </w:rPr>
        <w:t xml:space="preserve"> To establish a prima facie case in tort, a plaintiff must show that damages were sustained, that the defendant was negligent, and that such negligence was a proximate cause of the damages. </w:t>
      </w:r>
      <w:r w:rsidRPr="00BE0834">
        <w:rPr>
          <w:rFonts w:ascii="Georgia" w:eastAsia="Times New Roman" w:hAnsi="Georgia" w:cs="Times New Roman"/>
          <w:i/>
          <w:iCs/>
          <w:sz w:val="24"/>
          <w:szCs w:val="24"/>
          <w:highlight w:val="cyan"/>
          <w:lang w:eastAsia="en-GB"/>
        </w:rPr>
        <w:t>Arkansas Kraft </w:t>
      </w:r>
      <w:r w:rsidRPr="007B23E6">
        <w:rPr>
          <w:rFonts w:ascii="Georgia" w:eastAsia="Times New Roman" w:hAnsi="Georgia" w:cs="Times New Roman"/>
          <w:sz w:val="24"/>
          <w:szCs w:val="24"/>
          <w:highlight w:val="cyan"/>
          <w:lang w:eastAsia="en-GB"/>
        </w:rPr>
        <w:t>v. </w:t>
      </w:r>
      <w:r w:rsidRPr="00BE0834">
        <w:rPr>
          <w:rFonts w:ascii="Georgia" w:eastAsia="Times New Roman" w:hAnsi="Georgia" w:cs="Times New Roman"/>
          <w:i/>
          <w:iCs/>
          <w:sz w:val="24"/>
          <w:szCs w:val="24"/>
          <w:highlight w:val="cyan"/>
          <w:lang w:eastAsia="en-GB"/>
        </w:rPr>
        <w:t>Cottrell, </w:t>
      </w:r>
      <w:r w:rsidRPr="00BE0834">
        <w:rPr>
          <w:rFonts w:ascii="Georgia" w:eastAsia="Times New Roman" w:hAnsi="Georgia" w:cs="Times New Roman"/>
          <w:color w:val="007BFF"/>
          <w:sz w:val="24"/>
          <w:szCs w:val="24"/>
          <w:highlight w:val="cyan"/>
          <w:lang w:eastAsia="en-GB"/>
        </w:rPr>
        <w:t>313 Ark. 465</w:t>
      </w:r>
      <w:r w:rsidRPr="007B23E6">
        <w:rPr>
          <w:rFonts w:ascii="Georgia" w:eastAsia="Times New Roman" w:hAnsi="Georgia" w:cs="Times New Roman"/>
          <w:sz w:val="24"/>
          <w:szCs w:val="24"/>
          <w:highlight w:val="cyan"/>
          <w:lang w:eastAsia="en-GB"/>
        </w:rPr>
        <w:t>, </w:t>
      </w:r>
      <w:hyperlink r:id="rId10" w:history="1">
        <w:r w:rsidRPr="00BE0834">
          <w:rPr>
            <w:rFonts w:ascii="Georgia" w:eastAsia="Times New Roman" w:hAnsi="Georgia" w:cs="Times New Roman"/>
            <w:color w:val="007BFF"/>
            <w:sz w:val="24"/>
            <w:szCs w:val="24"/>
            <w:highlight w:val="cyan"/>
            <w:lang w:eastAsia="en-GB"/>
          </w:rPr>
          <w:t>855 S.W.2d 333</w:t>
        </w:r>
      </w:hyperlink>
      <w:r w:rsidRPr="007B23E6">
        <w:rPr>
          <w:rFonts w:ascii="Georgia" w:eastAsia="Times New Roman" w:hAnsi="Georgia" w:cs="Times New Roman"/>
          <w:sz w:val="24"/>
          <w:szCs w:val="24"/>
          <w:highlight w:val="cyan"/>
          <w:lang w:eastAsia="en-GB"/>
        </w:rPr>
        <w:t> (1993)</w:t>
      </w:r>
      <w:r w:rsidRPr="007B23E6">
        <w:rPr>
          <w:rFonts w:ascii="Georgia" w:eastAsia="Times New Roman" w:hAnsi="Georgia" w:cs="Times New Roman"/>
          <w:sz w:val="24"/>
          <w:szCs w:val="24"/>
          <w:lang w:eastAsia="en-GB"/>
        </w:rPr>
        <w:t>. We reiterated our definition of negligence in Cottrell:</w:t>
      </w:r>
    </w:p>
    <w:p w14:paraId="22C15E0F" w14:textId="1D4AB868" w:rsidR="007B23E6" w:rsidRPr="007B23E6" w:rsidRDefault="007B23E6" w:rsidP="007B23E6">
      <w:pPr>
        <w:spacing w:after="100" w:line="240" w:lineRule="auto"/>
        <w:rPr>
          <w:rFonts w:ascii="Georgia" w:eastAsia="Times New Roman" w:hAnsi="Georgia" w:cs="Times New Roman"/>
          <w:color w:val="004FB3"/>
          <w:sz w:val="24"/>
          <w:szCs w:val="24"/>
          <w:lang w:eastAsia="en-GB"/>
        </w:rPr>
      </w:pPr>
      <w:r w:rsidRPr="007B23E6">
        <w:rPr>
          <w:rFonts w:ascii="Georgia" w:eastAsia="Times New Roman" w:hAnsi="Georgia" w:cs="Times New Roman"/>
          <w:color w:val="004FB3"/>
          <w:sz w:val="24"/>
          <w:szCs w:val="24"/>
          <w:lang w:eastAsia="en-GB"/>
        </w:rPr>
        <w:t>Negligence is the failure to do something which a reasonably careful person would do. A negligent act arises from a situation where an ordinarily prudent person in the same situation would foresee such an appreciable risk of harm to others that he would not act or at least would act in a more careful manner. </w:t>
      </w:r>
      <w:r w:rsidRPr="00BE0834">
        <w:rPr>
          <w:rFonts w:ascii="Georgia" w:eastAsia="Times New Roman" w:hAnsi="Georgia" w:cs="Times New Roman"/>
          <w:i/>
          <w:iCs/>
          <w:color w:val="004FB3"/>
          <w:sz w:val="24"/>
          <w:szCs w:val="24"/>
          <w:highlight w:val="cyan"/>
          <w:lang w:eastAsia="en-GB"/>
        </w:rPr>
        <w:t>White River Rural Water Dist. </w:t>
      </w:r>
      <w:r w:rsidRPr="007B23E6">
        <w:rPr>
          <w:rFonts w:ascii="Georgia" w:eastAsia="Times New Roman" w:hAnsi="Georgia" w:cs="Times New Roman"/>
          <w:color w:val="004FB3"/>
          <w:sz w:val="24"/>
          <w:szCs w:val="24"/>
          <w:highlight w:val="cyan"/>
          <w:lang w:eastAsia="en-GB"/>
        </w:rPr>
        <w:t>v. </w:t>
      </w:r>
      <w:r w:rsidRPr="00BE0834">
        <w:rPr>
          <w:rFonts w:ascii="Georgia" w:eastAsia="Times New Roman" w:hAnsi="Georgia" w:cs="Times New Roman"/>
          <w:i/>
          <w:iCs/>
          <w:color w:val="004FB3"/>
          <w:sz w:val="24"/>
          <w:szCs w:val="24"/>
          <w:highlight w:val="cyan"/>
          <w:lang w:eastAsia="en-GB"/>
        </w:rPr>
        <w:t>Moon, </w:t>
      </w:r>
      <w:r w:rsidRPr="00BE0834">
        <w:rPr>
          <w:rFonts w:ascii="Georgia" w:eastAsia="Times New Roman" w:hAnsi="Georgia" w:cs="Times New Roman"/>
          <w:color w:val="007BFF"/>
          <w:sz w:val="24"/>
          <w:szCs w:val="24"/>
          <w:highlight w:val="cyan"/>
          <w:lang w:eastAsia="en-GB"/>
        </w:rPr>
        <w:t>310 Ark. 624</w:t>
      </w:r>
      <w:r w:rsidRPr="007B23E6">
        <w:rPr>
          <w:rFonts w:ascii="Georgia" w:eastAsia="Times New Roman" w:hAnsi="Georgia" w:cs="Times New Roman"/>
          <w:color w:val="004FB3"/>
          <w:sz w:val="24"/>
          <w:szCs w:val="24"/>
          <w:highlight w:val="cyan"/>
          <w:lang w:eastAsia="en-GB"/>
        </w:rPr>
        <w:t>, </w:t>
      </w:r>
      <w:hyperlink r:id="rId11" w:history="1">
        <w:r w:rsidRPr="00BE0834">
          <w:rPr>
            <w:rFonts w:ascii="Georgia" w:eastAsia="Times New Roman" w:hAnsi="Georgia" w:cs="Times New Roman"/>
            <w:color w:val="007BFF"/>
            <w:sz w:val="24"/>
            <w:szCs w:val="24"/>
            <w:highlight w:val="cyan"/>
            <w:lang w:eastAsia="en-GB"/>
          </w:rPr>
          <w:t>839 S.W.2d 211</w:t>
        </w:r>
      </w:hyperlink>
      <w:r w:rsidRPr="007B23E6">
        <w:rPr>
          <w:rFonts w:ascii="Georgia" w:eastAsia="Times New Roman" w:hAnsi="Georgia" w:cs="Times New Roman"/>
          <w:color w:val="004FB3"/>
          <w:sz w:val="24"/>
          <w:szCs w:val="24"/>
          <w:highlight w:val="cyan"/>
          <w:lang w:eastAsia="en-GB"/>
        </w:rPr>
        <w:t> (1992).</w:t>
      </w:r>
    </w:p>
    <w:p w14:paraId="22C15E10" w14:textId="1C89E68D"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BE0834">
        <w:rPr>
          <w:rFonts w:ascii="Georgia" w:eastAsia="Times New Roman" w:hAnsi="Georgia" w:cs="Times New Roman"/>
          <w:color w:val="007BFF"/>
          <w:sz w:val="24"/>
          <w:szCs w:val="24"/>
          <w:highlight w:val="cyan"/>
          <w:lang w:eastAsia="en-GB"/>
        </w:rPr>
        <w:t>313 Ark. at 470</w:t>
      </w:r>
      <w:r w:rsidRPr="007B23E6">
        <w:rPr>
          <w:rFonts w:ascii="Georgia" w:eastAsia="Times New Roman" w:hAnsi="Georgia" w:cs="Times New Roman"/>
          <w:sz w:val="24"/>
          <w:szCs w:val="24"/>
          <w:highlight w:val="cyan"/>
          <w:lang w:eastAsia="en-GB"/>
        </w:rPr>
        <w:t>, </w:t>
      </w:r>
      <w:hyperlink r:id="rId12" w:history="1">
        <w:r w:rsidRPr="00BE0834">
          <w:rPr>
            <w:rFonts w:ascii="Georgia" w:eastAsia="Times New Roman" w:hAnsi="Georgia" w:cs="Times New Roman"/>
            <w:color w:val="007BFF"/>
            <w:sz w:val="24"/>
            <w:szCs w:val="24"/>
            <w:highlight w:val="cyan"/>
            <w:lang w:eastAsia="en-GB"/>
          </w:rPr>
          <w:t>855 S.W.2d at 337</w:t>
        </w:r>
      </w:hyperlink>
      <w:r w:rsidRPr="007B23E6">
        <w:rPr>
          <w:rFonts w:ascii="Georgia" w:eastAsia="Times New Roman" w:hAnsi="Georgia" w:cs="Times New Roman"/>
          <w:sz w:val="24"/>
          <w:szCs w:val="24"/>
          <w:highlight w:val="cyan"/>
          <w:lang w:eastAsia="en-GB"/>
        </w:rPr>
        <w:t>.</w:t>
      </w:r>
      <w:r w:rsidRPr="007B23E6">
        <w:rPr>
          <w:rFonts w:ascii="Georgia" w:eastAsia="Times New Roman" w:hAnsi="Georgia" w:cs="Times New Roman"/>
          <w:sz w:val="24"/>
          <w:szCs w:val="24"/>
          <w:lang w:eastAsia="en-GB"/>
        </w:rPr>
        <w:t xml:space="preserve"> While a party can establish negligence by direct or circumstantial evidence, he cannot rely upon inferences based on conjecture or speculation. </w:t>
      </w:r>
      <w:r w:rsidRPr="007B23E6">
        <w:rPr>
          <w:rFonts w:ascii="Georgia" w:eastAsia="Times New Roman" w:hAnsi="Georgia" w:cs="Times New Roman"/>
          <w:i/>
          <w:iCs/>
          <w:sz w:val="24"/>
          <w:szCs w:val="24"/>
          <w:lang w:eastAsia="en-GB"/>
        </w:rPr>
        <w:t>Id.</w:t>
      </w:r>
    </w:p>
    <w:p w14:paraId="22C15E11" w14:textId="4F0B4708"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highlight w:val="green"/>
          <w:lang w:eastAsia="en-GB"/>
        </w:rPr>
        <w:t>The mere fact that Cameron had been drinking alcoholic beverages is not sufficient evidence of negligence, standing alone, for this claim, to withstand a directed verdict. Cameron was not legally intoxicated based on his percentage of blood/alcohol content. </w:t>
      </w:r>
      <w:r w:rsidRPr="00EF6893">
        <w:rPr>
          <w:rFonts w:ascii="Georgia" w:eastAsia="Times New Roman" w:hAnsi="Georgia" w:cs="Times New Roman"/>
          <w:i/>
          <w:iCs/>
          <w:sz w:val="24"/>
          <w:szCs w:val="24"/>
          <w:highlight w:val="green"/>
          <w:lang w:eastAsia="en-GB"/>
        </w:rPr>
        <w:t>See </w:t>
      </w:r>
      <w:r w:rsidRPr="007B23E6">
        <w:rPr>
          <w:rFonts w:ascii="Georgia" w:eastAsia="Times New Roman" w:hAnsi="Georgia" w:cs="Times New Roman"/>
          <w:sz w:val="24"/>
          <w:szCs w:val="24"/>
          <w:highlight w:val="cyan"/>
          <w:lang w:eastAsia="en-GB"/>
        </w:rPr>
        <w:t>Ark. Code Ann. § 5-65-103(b) (Repl. 1994)</w:t>
      </w:r>
      <w:r w:rsidRPr="007B23E6">
        <w:rPr>
          <w:rFonts w:ascii="Georgia" w:eastAsia="Times New Roman" w:hAnsi="Georgia" w:cs="Times New Roman"/>
          <w:sz w:val="24"/>
          <w:szCs w:val="24"/>
          <w:highlight w:val="green"/>
          <w:lang w:eastAsia="en-GB"/>
        </w:rPr>
        <w:t>. But even had he been intoxicated, a distinguished treatise on torts concludes that the fact of intoxication is not negligence </w:t>
      </w:r>
      <w:r w:rsidRPr="00BE0834">
        <w:rPr>
          <w:rFonts w:ascii="Georgia" w:eastAsia="Times New Roman" w:hAnsi="Georgia" w:cs="Times New Roman"/>
          <w:i/>
          <w:iCs/>
          <w:sz w:val="24"/>
          <w:szCs w:val="24"/>
          <w:highlight w:val="green"/>
          <w:lang w:eastAsia="en-GB"/>
        </w:rPr>
        <w:t>in itself, </w:t>
      </w:r>
      <w:r w:rsidRPr="007B23E6">
        <w:rPr>
          <w:rFonts w:ascii="Georgia" w:eastAsia="Times New Roman" w:hAnsi="Georgia" w:cs="Times New Roman"/>
          <w:sz w:val="24"/>
          <w:szCs w:val="24"/>
          <w:highlight w:val="green"/>
          <w:lang w:eastAsia="en-GB"/>
        </w:rPr>
        <w:t>but it must be shown to have caused the actor’s behavior to have deviated from that of a reasonable person and to have caused the plaintiff’s injuries.</w:t>
      </w:r>
      <w:r w:rsidRPr="007B23E6">
        <w:rPr>
          <w:rFonts w:ascii="Georgia" w:eastAsia="Times New Roman" w:hAnsi="Georgia" w:cs="Times New Roman"/>
          <w:sz w:val="24"/>
          <w:szCs w:val="24"/>
          <w:lang w:eastAsia="en-GB"/>
        </w:rPr>
        <w:t> </w:t>
      </w:r>
      <w:r w:rsidRPr="007B23E6">
        <w:rPr>
          <w:rFonts w:ascii="Georgia" w:eastAsia="Times New Roman" w:hAnsi="Georgia" w:cs="Times New Roman"/>
          <w:i/>
          <w:iCs/>
          <w:sz w:val="24"/>
          <w:szCs w:val="24"/>
          <w:lang w:eastAsia="en-GB"/>
        </w:rPr>
        <w:t>See Prosser and Keaton on Torts </w:t>
      </w:r>
      <w:r w:rsidRPr="007B23E6">
        <w:rPr>
          <w:rFonts w:ascii="Georgia" w:eastAsia="Times New Roman" w:hAnsi="Georgia" w:cs="Times New Roman"/>
          <w:sz w:val="24"/>
          <w:szCs w:val="24"/>
          <w:lang w:eastAsia="en-GB"/>
        </w:rPr>
        <w:t>§ 32, pp. 178-179 (5th Ed. 1984); </w:t>
      </w:r>
      <w:r w:rsidRPr="007B23E6">
        <w:rPr>
          <w:rFonts w:ascii="Georgia" w:eastAsia="Times New Roman" w:hAnsi="Georgia" w:cs="Times New Roman"/>
          <w:i/>
          <w:iCs/>
          <w:sz w:val="24"/>
          <w:szCs w:val="24"/>
          <w:lang w:eastAsia="en-GB"/>
        </w:rPr>
        <w:t xml:space="preserve">see also </w:t>
      </w:r>
      <w:r w:rsidRPr="00BE0834">
        <w:rPr>
          <w:rFonts w:ascii="Georgia" w:eastAsia="Times New Roman" w:hAnsi="Georgia" w:cs="Times New Roman"/>
          <w:i/>
          <w:iCs/>
          <w:sz w:val="24"/>
          <w:szCs w:val="24"/>
          <w:highlight w:val="cyan"/>
          <w:lang w:eastAsia="en-GB"/>
        </w:rPr>
        <w:t>Restatement (Second) of Torts </w:t>
      </w:r>
      <w:r w:rsidRPr="007B23E6">
        <w:rPr>
          <w:rFonts w:ascii="Georgia" w:eastAsia="Times New Roman" w:hAnsi="Georgia" w:cs="Times New Roman"/>
          <w:sz w:val="24"/>
          <w:szCs w:val="24"/>
          <w:highlight w:val="cyan"/>
          <w:lang w:eastAsia="en-GB"/>
        </w:rPr>
        <w:t>§ 283C, Comment D</w:t>
      </w:r>
      <w:r w:rsidRPr="007B23E6">
        <w:rPr>
          <w:rFonts w:ascii="Georgia" w:eastAsia="Times New Roman" w:hAnsi="Georgia" w:cs="Times New Roman"/>
          <w:sz w:val="24"/>
          <w:szCs w:val="24"/>
          <w:lang w:eastAsia="en-GB"/>
        </w:rPr>
        <w:t>. In this vein, we have stated that voluntary intoxication may be a factor to be considered by the trier of fact in determining negligence. </w:t>
      </w:r>
      <w:r w:rsidRPr="00BE0834">
        <w:rPr>
          <w:rFonts w:ascii="Georgia" w:eastAsia="Times New Roman" w:hAnsi="Georgia" w:cs="Times New Roman"/>
          <w:i/>
          <w:iCs/>
          <w:sz w:val="24"/>
          <w:szCs w:val="24"/>
          <w:highlight w:val="cyan"/>
          <w:lang w:eastAsia="en-GB"/>
        </w:rPr>
        <w:t>Jernigan </w:t>
      </w:r>
      <w:r w:rsidRPr="007B23E6">
        <w:rPr>
          <w:rFonts w:ascii="Georgia" w:eastAsia="Times New Roman" w:hAnsi="Georgia" w:cs="Times New Roman"/>
          <w:sz w:val="24"/>
          <w:szCs w:val="24"/>
          <w:highlight w:val="cyan"/>
          <w:lang w:eastAsia="en-GB"/>
        </w:rPr>
        <w:t>v. </w:t>
      </w:r>
      <w:r w:rsidRPr="00BE0834">
        <w:rPr>
          <w:rFonts w:ascii="Georgia" w:eastAsia="Times New Roman" w:hAnsi="Georgia" w:cs="Times New Roman"/>
          <w:i/>
          <w:iCs/>
          <w:sz w:val="24"/>
          <w:szCs w:val="24"/>
          <w:highlight w:val="cyan"/>
          <w:lang w:eastAsia="en-GB"/>
        </w:rPr>
        <w:t>Cash, </w:t>
      </w:r>
      <w:r w:rsidRPr="00BE0834">
        <w:rPr>
          <w:rFonts w:ascii="Georgia" w:eastAsia="Times New Roman" w:hAnsi="Georgia" w:cs="Times New Roman"/>
          <w:color w:val="007BFF"/>
          <w:sz w:val="24"/>
          <w:szCs w:val="24"/>
          <w:highlight w:val="cyan"/>
          <w:lang w:eastAsia="en-GB"/>
        </w:rPr>
        <w:t>298 Ark. 347</w:t>
      </w:r>
      <w:r w:rsidRPr="007B23E6">
        <w:rPr>
          <w:rFonts w:ascii="Georgia" w:eastAsia="Times New Roman" w:hAnsi="Georgia" w:cs="Times New Roman"/>
          <w:sz w:val="24"/>
          <w:szCs w:val="24"/>
          <w:highlight w:val="cyan"/>
          <w:lang w:eastAsia="en-GB"/>
        </w:rPr>
        <w:t>, </w:t>
      </w:r>
      <w:hyperlink r:id="rId13" w:history="1">
        <w:r w:rsidRPr="00BE0834">
          <w:rPr>
            <w:rFonts w:ascii="Georgia" w:eastAsia="Times New Roman" w:hAnsi="Georgia" w:cs="Times New Roman"/>
            <w:color w:val="007BFF"/>
            <w:sz w:val="24"/>
            <w:szCs w:val="24"/>
            <w:highlight w:val="cyan"/>
            <w:lang w:eastAsia="en-GB"/>
          </w:rPr>
          <w:t>767 S.W.2d 517</w:t>
        </w:r>
      </w:hyperlink>
      <w:r w:rsidRPr="007B23E6">
        <w:rPr>
          <w:rFonts w:ascii="Georgia" w:eastAsia="Times New Roman" w:hAnsi="Georgia" w:cs="Times New Roman"/>
          <w:sz w:val="24"/>
          <w:szCs w:val="24"/>
          <w:highlight w:val="cyan"/>
          <w:lang w:eastAsia="en-GB"/>
        </w:rPr>
        <w:t> (1989).</w:t>
      </w:r>
    </w:p>
    <w:p w14:paraId="22C15E12" w14:textId="6F48ECCC"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lang w:eastAsia="en-GB"/>
        </w:rPr>
        <w:t xml:space="preserve">We can readily agree with Officer Howard that </w:t>
      </w:r>
      <w:r w:rsidRPr="007B23E6">
        <w:rPr>
          <w:rFonts w:ascii="Georgia" w:eastAsia="Times New Roman" w:hAnsi="Georgia" w:cs="Times New Roman"/>
          <w:sz w:val="24"/>
          <w:szCs w:val="24"/>
          <w:highlight w:val="green"/>
          <w:lang w:eastAsia="en-GB"/>
        </w:rPr>
        <w:t>drinking alcoholic beverages may impair one’s ability to drive. Here, though, there was no evidence that Cameron was intoxicated or otherwise impaired at the time of the accident or that his liquor </w:t>
      </w:r>
      <w:r w:rsidRPr="00BE0834">
        <w:rPr>
          <w:rFonts w:ascii="Georgia" w:eastAsia="Times New Roman" w:hAnsi="Georgia" w:cs="Times New Roman"/>
          <w:i/>
          <w:iCs/>
          <w:color w:val="979797"/>
          <w:sz w:val="19"/>
          <w:szCs w:val="19"/>
          <w:highlight w:val="green"/>
          <w:lang w:eastAsia="en-GB"/>
        </w:rPr>
        <w:t>*448</w:t>
      </w:r>
      <w:r w:rsidRPr="007B23E6">
        <w:rPr>
          <w:rFonts w:ascii="Georgia" w:eastAsia="Times New Roman" w:hAnsi="Georgia" w:cs="Times New Roman"/>
          <w:sz w:val="24"/>
          <w:szCs w:val="24"/>
          <w:highlight w:val="green"/>
          <w:lang w:eastAsia="en-GB"/>
        </w:rPr>
        <w:t>consumption either evidenced a lack of reasonable care on Cameron’s part or caused the wreck in any way. In sum, we agree that the City’s proof does not give rise to an inference of negligence but only to conjecture and speculation.</w:t>
      </w:r>
      <w:r w:rsidRPr="007B23E6">
        <w:rPr>
          <w:rFonts w:ascii="Georgia" w:eastAsia="Times New Roman" w:hAnsi="Georgia" w:cs="Times New Roman"/>
          <w:sz w:val="24"/>
          <w:szCs w:val="24"/>
          <w:lang w:eastAsia="en-GB"/>
        </w:rPr>
        <w:t> </w:t>
      </w:r>
      <w:r w:rsidRPr="007B23E6">
        <w:rPr>
          <w:rFonts w:ascii="Georgia" w:eastAsia="Times New Roman" w:hAnsi="Georgia" w:cs="Times New Roman"/>
          <w:i/>
          <w:iCs/>
          <w:sz w:val="24"/>
          <w:szCs w:val="24"/>
          <w:lang w:eastAsia="en-GB"/>
        </w:rPr>
        <w:t xml:space="preserve">See </w:t>
      </w:r>
      <w:r w:rsidRPr="00BE0834">
        <w:rPr>
          <w:rFonts w:ascii="Georgia" w:eastAsia="Times New Roman" w:hAnsi="Georgia" w:cs="Times New Roman"/>
          <w:i/>
          <w:iCs/>
          <w:sz w:val="24"/>
          <w:szCs w:val="24"/>
          <w:highlight w:val="cyan"/>
          <w:lang w:eastAsia="en-GB"/>
        </w:rPr>
        <w:t>Sanford </w:t>
      </w:r>
      <w:r w:rsidRPr="007B23E6">
        <w:rPr>
          <w:rFonts w:ascii="Georgia" w:eastAsia="Times New Roman" w:hAnsi="Georgia" w:cs="Times New Roman"/>
          <w:sz w:val="24"/>
          <w:szCs w:val="24"/>
          <w:highlight w:val="cyan"/>
          <w:lang w:eastAsia="en-GB"/>
        </w:rPr>
        <w:t>v. </w:t>
      </w:r>
      <w:r w:rsidRPr="00BE0834">
        <w:rPr>
          <w:rFonts w:ascii="Georgia" w:eastAsia="Times New Roman" w:hAnsi="Georgia" w:cs="Times New Roman"/>
          <w:i/>
          <w:iCs/>
          <w:sz w:val="24"/>
          <w:szCs w:val="24"/>
          <w:highlight w:val="cyan"/>
          <w:lang w:eastAsia="en-GB"/>
        </w:rPr>
        <w:t>Ziegler, </w:t>
      </w:r>
      <w:hyperlink r:id="rId14" w:history="1">
        <w:r w:rsidRPr="00BE0834">
          <w:rPr>
            <w:rFonts w:ascii="Georgia" w:eastAsia="Times New Roman" w:hAnsi="Georgia" w:cs="Times New Roman"/>
            <w:color w:val="007BFF"/>
            <w:sz w:val="24"/>
            <w:szCs w:val="24"/>
            <w:highlight w:val="cyan"/>
            <w:lang w:eastAsia="en-GB"/>
          </w:rPr>
          <w:t>312 Ark. 514</w:t>
        </w:r>
      </w:hyperlink>
      <w:r w:rsidRPr="007B23E6">
        <w:rPr>
          <w:rFonts w:ascii="Georgia" w:eastAsia="Times New Roman" w:hAnsi="Georgia" w:cs="Times New Roman"/>
          <w:sz w:val="24"/>
          <w:szCs w:val="24"/>
          <w:highlight w:val="cyan"/>
          <w:lang w:eastAsia="en-GB"/>
        </w:rPr>
        <w:t>, </w:t>
      </w:r>
      <w:r w:rsidRPr="00BE0834">
        <w:rPr>
          <w:rFonts w:ascii="Georgia" w:eastAsia="Times New Roman" w:hAnsi="Georgia" w:cs="Times New Roman"/>
          <w:color w:val="007BFF"/>
          <w:sz w:val="24"/>
          <w:szCs w:val="24"/>
          <w:highlight w:val="cyan"/>
          <w:lang w:eastAsia="en-GB"/>
        </w:rPr>
        <w:t>851 S.W.2d 418</w:t>
      </w:r>
      <w:r w:rsidRPr="007B23E6">
        <w:rPr>
          <w:rFonts w:ascii="Georgia" w:eastAsia="Times New Roman" w:hAnsi="Georgia" w:cs="Times New Roman"/>
          <w:sz w:val="24"/>
          <w:szCs w:val="24"/>
          <w:highlight w:val="cyan"/>
          <w:lang w:eastAsia="en-GB"/>
        </w:rPr>
        <w:t> (1993).</w:t>
      </w:r>
      <w:r w:rsidRPr="007B23E6">
        <w:rPr>
          <w:rFonts w:ascii="Georgia" w:eastAsia="Times New Roman" w:hAnsi="Georgia" w:cs="Times New Roman"/>
          <w:sz w:val="24"/>
          <w:szCs w:val="24"/>
          <w:lang w:eastAsia="en-GB"/>
        </w:rPr>
        <w:t xml:space="preserve"> </w:t>
      </w:r>
      <w:r w:rsidRPr="007B23E6">
        <w:rPr>
          <w:rFonts w:ascii="Georgia" w:eastAsia="Times New Roman" w:hAnsi="Georgia" w:cs="Times New Roman"/>
          <w:sz w:val="24"/>
          <w:szCs w:val="24"/>
          <w:highlight w:val="green"/>
          <w:lang w:eastAsia="en-GB"/>
        </w:rPr>
        <w:t>The trial court did not err in granting the directed verdict.</w:t>
      </w:r>
    </w:p>
    <w:p w14:paraId="22C15E13" w14:textId="77777777"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highlight w:val="red"/>
          <w:lang w:eastAsia="en-GB"/>
        </w:rPr>
        <w:lastRenderedPageBreak/>
        <w:t>Affirmed.</w:t>
      </w:r>
    </w:p>
    <w:p w14:paraId="22C15E14" w14:textId="77777777"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lang w:eastAsia="en-GB"/>
        </w:rPr>
        <w:t>Glaze and Corbin, JJ., dissent.</w:t>
      </w:r>
    </w:p>
    <w:p w14:paraId="22C15E15" w14:textId="77777777" w:rsidR="007B23E6" w:rsidRPr="007B23E6" w:rsidRDefault="007B23E6" w:rsidP="007B23E6">
      <w:pPr>
        <w:spacing w:before="100" w:beforeAutospacing="1" w:after="225" w:line="240" w:lineRule="auto"/>
        <w:rPr>
          <w:rFonts w:ascii="Georgia" w:eastAsia="Times New Roman" w:hAnsi="Georgia" w:cs="Times New Roman"/>
          <w:color w:val="E878FF"/>
          <w:sz w:val="24"/>
          <w:szCs w:val="24"/>
          <w:lang w:eastAsia="en-GB"/>
        </w:rPr>
      </w:pPr>
      <w:r w:rsidRPr="007B23E6">
        <w:rPr>
          <w:rFonts w:ascii="Georgia" w:eastAsia="Times New Roman" w:hAnsi="Georgia" w:cs="Times New Roman"/>
          <w:color w:val="E878FF"/>
          <w:sz w:val="24"/>
          <w:szCs w:val="24"/>
          <w:lang w:eastAsia="en-GB"/>
        </w:rPr>
        <w:t>Donald L. Corbin, Justice,</w:t>
      </w:r>
    </w:p>
    <w:p w14:paraId="22C15E16" w14:textId="77777777"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lang w:eastAsia="en-GB"/>
        </w:rPr>
        <w:t>dissenting. I dissent.</w:t>
      </w:r>
    </w:p>
    <w:p w14:paraId="22C15E17" w14:textId="3C3E6300"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lang w:eastAsia="en-GB"/>
        </w:rPr>
        <w:t>The case should have been submitted to the jury for decision. The facts of the appellee’s drinking mixed with a collision with another vehicle he did not know he hit and his collision with a traffic light pole should have been submitted to the jury to resolve whether he was negligent in the operation of his vehicle. One does not have to be intoxicated under a legal definition of 0.10% before having his mental and reaction time slowed down by the drink. </w:t>
      </w:r>
      <w:r w:rsidRPr="007B23E6">
        <w:rPr>
          <w:rFonts w:ascii="Georgia" w:eastAsia="Times New Roman" w:hAnsi="Georgia" w:cs="Times New Roman"/>
          <w:i/>
          <w:iCs/>
          <w:sz w:val="24"/>
          <w:szCs w:val="24"/>
          <w:lang w:eastAsia="en-GB"/>
        </w:rPr>
        <w:t>See Stephens </w:t>
      </w:r>
      <w:r w:rsidRPr="007B23E6">
        <w:rPr>
          <w:rFonts w:ascii="Georgia" w:eastAsia="Times New Roman" w:hAnsi="Georgia" w:cs="Times New Roman"/>
          <w:sz w:val="24"/>
          <w:szCs w:val="24"/>
          <w:lang w:eastAsia="en-GB"/>
        </w:rPr>
        <w:t>v. </w:t>
      </w:r>
      <w:r w:rsidRPr="007B23E6">
        <w:rPr>
          <w:rFonts w:ascii="Georgia" w:eastAsia="Times New Roman" w:hAnsi="Georgia" w:cs="Times New Roman"/>
          <w:i/>
          <w:iCs/>
          <w:sz w:val="24"/>
          <w:szCs w:val="24"/>
          <w:lang w:eastAsia="en-GB"/>
        </w:rPr>
        <w:t>State, </w:t>
      </w:r>
      <w:hyperlink r:id="rId15" w:history="1">
        <w:r w:rsidRPr="007B23E6">
          <w:rPr>
            <w:rFonts w:ascii="Georgia" w:eastAsia="Times New Roman" w:hAnsi="Georgia" w:cs="Times New Roman"/>
            <w:color w:val="007BFF"/>
            <w:sz w:val="24"/>
            <w:szCs w:val="24"/>
            <w:lang w:eastAsia="en-GB"/>
          </w:rPr>
          <w:t>320 Ark. 426</w:t>
        </w:r>
      </w:hyperlink>
      <w:r w:rsidRPr="007B23E6">
        <w:rPr>
          <w:rFonts w:ascii="Georgia" w:eastAsia="Times New Roman" w:hAnsi="Georgia" w:cs="Times New Roman"/>
          <w:sz w:val="24"/>
          <w:szCs w:val="24"/>
          <w:lang w:eastAsia="en-GB"/>
        </w:rPr>
        <w:t>, </w:t>
      </w:r>
      <w:r w:rsidRPr="007B23E6">
        <w:rPr>
          <w:rFonts w:ascii="Georgia" w:eastAsia="Times New Roman" w:hAnsi="Georgia" w:cs="Times New Roman"/>
          <w:color w:val="007BFF"/>
          <w:sz w:val="24"/>
          <w:szCs w:val="24"/>
          <w:lang w:eastAsia="en-GB"/>
        </w:rPr>
        <w:t>898 S.W.2d 435</w:t>
      </w:r>
      <w:r w:rsidRPr="007B23E6">
        <w:rPr>
          <w:rFonts w:ascii="Georgia" w:eastAsia="Times New Roman" w:hAnsi="Georgia" w:cs="Times New Roman"/>
          <w:sz w:val="24"/>
          <w:szCs w:val="24"/>
          <w:lang w:eastAsia="en-GB"/>
        </w:rPr>
        <w:t> (1995). When all of this is coupled with rain slicked streets, it would be a proper issue for a jury to draw upon their individual experiences to determine if, under all of these conditions, negligence existed. I would reverse and remand for trial.</w:t>
      </w:r>
    </w:p>
    <w:p w14:paraId="22C15E18" w14:textId="77777777" w:rsidR="007B23E6" w:rsidRPr="007B23E6" w:rsidRDefault="007B23E6" w:rsidP="007B23E6">
      <w:pPr>
        <w:spacing w:before="100" w:beforeAutospacing="1" w:after="225" w:line="240" w:lineRule="auto"/>
        <w:rPr>
          <w:rFonts w:ascii="Georgia" w:eastAsia="Times New Roman" w:hAnsi="Georgia" w:cs="Times New Roman"/>
          <w:sz w:val="24"/>
          <w:szCs w:val="24"/>
          <w:lang w:eastAsia="en-GB"/>
        </w:rPr>
      </w:pPr>
      <w:r w:rsidRPr="007B23E6">
        <w:rPr>
          <w:rFonts w:ascii="Georgia" w:eastAsia="Times New Roman" w:hAnsi="Georgia" w:cs="Times New Roman"/>
          <w:sz w:val="24"/>
          <w:szCs w:val="24"/>
          <w:lang w:eastAsia="en-GB"/>
        </w:rPr>
        <w:t>Glaze, J., joins in this dissent.</w:t>
      </w:r>
    </w:p>
    <w:p w14:paraId="22C15E19" w14:textId="77777777" w:rsidR="003C7770" w:rsidRDefault="003C7770"/>
    <w:p w14:paraId="22C15E1A" w14:textId="77777777" w:rsidR="00BE0834" w:rsidRPr="009456D4" w:rsidRDefault="00BE0834" w:rsidP="00BE0834">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2C15E1B" w14:textId="77777777" w:rsidR="00BE0834" w:rsidRDefault="00BE0834" w:rsidP="00BE0834">
      <w:pPr>
        <w:spacing w:before="100" w:beforeAutospacing="1" w:after="225" w:line="240" w:lineRule="auto"/>
      </w:pPr>
      <w:r>
        <w:rPr>
          <w:rFonts w:ascii="Georgia" w:eastAsia="Times New Roman" w:hAnsi="Georgia" w:cs="Times New Roman"/>
          <w:sz w:val="28"/>
          <w:szCs w:val="24"/>
          <w:lang w:eastAsia="en-GB"/>
        </w:rPr>
        <w:t>Defendant crashed into a traffic signal pole. The city sued him for damages. Defendant had drunk some alcohol, but not above the legal limit. The trial court gave a directed verdict in favour of defendant, on the basis that the City’s proof did not give rise to an inference of negligence, but only to conjecture and speculation. The appellate court agreed.</w:t>
      </w:r>
    </w:p>
    <w:sectPr w:rsidR="00BE0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23E6"/>
    <w:rsid w:val="0036748D"/>
    <w:rsid w:val="003C7770"/>
    <w:rsid w:val="006F2A6C"/>
    <w:rsid w:val="007B23E6"/>
    <w:rsid w:val="00990357"/>
    <w:rsid w:val="00BE0834"/>
    <w:rsid w:val="00EF6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5DFF"/>
  <w15:docId w15:val="{588E1F8A-EF9A-4E90-B396-74467F9B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3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E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7B23E6"/>
  </w:style>
  <w:style w:type="character" w:customStyle="1" w:styleId="court-name">
    <w:name w:val="court-name"/>
    <w:basedOn w:val="DefaultParagraphFont"/>
    <w:rsid w:val="007B23E6"/>
  </w:style>
  <w:style w:type="character" w:customStyle="1" w:styleId="docket-number">
    <w:name w:val="docket-number"/>
    <w:basedOn w:val="DefaultParagraphFont"/>
    <w:rsid w:val="007B23E6"/>
  </w:style>
  <w:style w:type="character" w:customStyle="1" w:styleId="case-name-v">
    <w:name w:val="case-name-v"/>
    <w:basedOn w:val="DefaultParagraphFont"/>
    <w:rsid w:val="007B23E6"/>
  </w:style>
  <w:style w:type="paragraph" w:customStyle="1" w:styleId="citation">
    <w:name w:val="citation"/>
    <w:basedOn w:val="Normal"/>
    <w:rsid w:val="007B23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7B23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7B23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B23E6"/>
    <w:rPr>
      <w:color w:val="0000FF"/>
      <w:u w:val="single"/>
    </w:rPr>
  </w:style>
  <w:style w:type="character" w:styleId="Emphasis">
    <w:name w:val="Emphasis"/>
    <w:basedOn w:val="DefaultParagraphFont"/>
    <w:uiPriority w:val="20"/>
    <w:qFormat/>
    <w:rsid w:val="007B23E6"/>
    <w:rPr>
      <w:i/>
      <w:iCs/>
    </w:rPr>
  </w:style>
  <w:style w:type="paragraph" w:customStyle="1" w:styleId="author">
    <w:name w:val="author"/>
    <w:basedOn w:val="Normal"/>
    <w:rsid w:val="007B23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B23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7B23E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203915">
      <w:bodyDiv w:val="1"/>
      <w:marLeft w:val="0"/>
      <w:marRight w:val="0"/>
      <w:marTop w:val="0"/>
      <w:marBottom w:val="0"/>
      <w:divBdr>
        <w:top w:val="none" w:sz="0" w:space="0" w:color="auto"/>
        <w:left w:val="none" w:sz="0" w:space="0" w:color="auto"/>
        <w:bottom w:val="none" w:sz="0" w:space="0" w:color="auto"/>
        <w:right w:val="none" w:sz="0" w:space="0" w:color="auto"/>
      </w:divBdr>
      <w:divsChild>
        <w:div w:id="1542088916">
          <w:marLeft w:val="0"/>
          <w:marRight w:val="0"/>
          <w:marTop w:val="0"/>
          <w:marBottom w:val="0"/>
          <w:divBdr>
            <w:top w:val="none" w:sz="0" w:space="0" w:color="auto"/>
            <w:left w:val="none" w:sz="0" w:space="0" w:color="auto"/>
            <w:bottom w:val="none" w:sz="0" w:space="0" w:color="auto"/>
            <w:right w:val="none" w:sz="0" w:space="0" w:color="auto"/>
          </w:divBdr>
        </w:div>
        <w:div w:id="1027172507">
          <w:marLeft w:val="0"/>
          <w:marRight w:val="0"/>
          <w:marTop w:val="0"/>
          <w:marBottom w:val="0"/>
          <w:divBdr>
            <w:top w:val="none" w:sz="0" w:space="0" w:color="auto"/>
            <w:left w:val="none" w:sz="0" w:space="0" w:color="auto"/>
            <w:bottom w:val="none" w:sz="0" w:space="0" w:color="auto"/>
            <w:right w:val="none" w:sz="0" w:space="0" w:color="auto"/>
          </w:divBdr>
        </w:div>
        <w:div w:id="2128505964">
          <w:marLeft w:val="0"/>
          <w:marRight w:val="0"/>
          <w:marTop w:val="0"/>
          <w:marBottom w:val="0"/>
          <w:divBdr>
            <w:top w:val="none" w:sz="0" w:space="0" w:color="auto"/>
            <w:left w:val="none" w:sz="0" w:space="0" w:color="auto"/>
            <w:bottom w:val="none" w:sz="0" w:space="0" w:color="auto"/>
            <w:right w:val="none" w:sz="0" w:space="0" w:color="auto"/>
          </w:divBdr>
          <w:divsChild>
            <w:div w:id="868568016">
              <w:marLeft w:val="1417"/>
              <w:marRight w:val="0"/>
              <w:marTop w:val="0"/>
              <w:marBottom w:val="0"/>
              <w:divBdr>
                <w:top w:val="none" w:sz="0" w:space="0" w:color="auto"/>
                <w:left w:val="none" w:sz="0" w:space="0" w:color="auto"/>
                <w:bottom w:val="none" w:sz="0" w:space="0" w:color="auto"/>
                <w:right w:val="none" w:sz="0" w:space="0" w:color="auto"/>
              </w:divBdr>
            </w:div>
          </w:divsChild>
        </w:div>
        <w:div w:id="8874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19/62/" TargetMode="External"/><Relationship Id="rId13" Type="http://schemas.openxmlformats.org/officeDocument/2006/relationships/hyperlink" Target="https://cite.case.law/ark/298/347/" TargetMode="External"/><Relationship Id="rId3" Type="http://schemas.openxmlformats.org/officeDocument/2006/relationships/webSettings" Target="webSettings.xml"/><Relationship Id="rId7" Type="http://schemas.openxmlformats.org/officeDocument/2006/relationships/hyperlink" Target="https://cite.case.law/ark/320/444/" TargetMode="External"/><Relationship Id="rId12" Type="http://schemas.openxmlformats.org/officeDocument/2006/relationships/hyperlink" Target="https://cite.case.law/sw2d/855/33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ark/319/54/" TargetMode="External"/><Relationship Id="rId11" Type="http://schemas.openxmlformats.org/officeDocument/2006/relationships/hyperlink" Target="https://cite.case.law/ark/310/624/" TargetMode="External"/><Relationship Id="rId5" Type="http://schemas.openxmlformats.org/officeDocument/2006/relationships/hyperlink" Target="https://cite.case.law/ark/300/122/" TargetMode="External"/><Relationship Id="rId15" Type="http://schemas.openxmlformats.org/officeDocument/2006/relationships/hyperlink" Target="https://cite.case.law/ark/320/426/" TargetMode="External"/><Relationship Id="rId10" Type="http://schemas.openxmlformats.org/officeDocument/2006/relationships/hyperlink" Target="https://cite.case.law/ark/313/465/" TargetMode="External"/><Relationship Id="rId4" Type="http://schemas.openxmlformats.org/officeDocument/2006/relationships/hyperlink" Target="https://cite.case.law/ark/320/444/" TargetMode="External"/><Relationship Id="rId9" Type="http://schemas.openxmlformats.org/officeDocument/2006/relationships/hyperlink" Target="https://cite.case.law/ark/315/131/" TargetMode="External"/><Relationship Id="rId14" Type="http://schemas.openxmlformats.org/officeDocument/2006/relationships/hyperlink" Target="https://cite.case.law/ark/312/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2024-09-17T13:30:00Z</dcterms:created>
  <dcterms:modified xsi:type="dcterms:W3CDTF">2024-09-17T13:30:00Z</dcterms:modified>
</cp:coreProperties>
</file>