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506C1" w14:textId="77777777" w:rsidR="00E07D1B" w:rsidRPr="00E07D1B" w:rsidRDefault="00E07D1B" w:rsidP="00E07D1B">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E07D1B">
        <w:rPr>
          <w:rFonts w:ascii="Times New Roman" w:eastAsia="Times New Roman" w:hAnsi="Times New Roman" w:cs="Times New Roman"/>
          <w:b/>
          <w:bCs/>
          <w:color w:val="2F2F2F"/>
          <w:spacing w:val="3"/>
          <w:kern w:val="36"/>
          <w:sz w:val="35"/>
          <w:szCs w:val="35"/>
          <w:lang w:eastAsia="en-GB"/>
        </w:rPr>
        <w:t>Maneth v. Tucker, 72 Ark. App. 141, 34 S.W.3d 755 (2000)</w:t>
      </w:r>
    </w:p>
    <w:p w14:paraId="314506C2" w14:textId="77777777" w:rsidR="00E07D1B" w:rsidRPr="00E07D1B" w:rsidRDefault="00E07D1B" w:rsidP="00E07D1B">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E07D1B">
        <w:rPr>
          <w:rFonts w:ascii="Times New Roman" w:eastAsia="Times New Roman" w:hAnsi="Times New Roman" w:cs="Times New Roman"/>
          <w:color w:val="2F2F2F"/>
          <w:spacing w:val="3"/>
          <w:sz w:val="27"/>
          <w:szCs w:val="27"/>
          <w:lang w:eastAsia="en-GB"/>
        </w:rPr>
        <w:t>Dec. 13, 2000 · Arkansas Court of Appeals · CA 00-326</w:t>
      </w:r>
    </w:p>
    <w:p w14:paraId="314506C3" w14:textId="77777777" w:rsidR="00E07D1B" w:rsidRPr="00E07D1B" w:rsidRDefault="00E07D1B" w:rsidP="00E07D1B">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E07D1B">
        <w:rPr>
          <w:rFonts w:ascii="Times New Roman" w:eastAsia="Times New Roman" w:hAnsi="Times New Roman" w:cs="Times New Roman"/>
          <w:color w:val="2F2F2F"/>
          <w:spacing w:val="3"/>
          <w:sz w:val="27"/>
          <w:szCs w:val="27"/>
          <w:lang w:eastAsia="en-GB"/>
        </w:rPr>
        <w:t>72 Ark. App. 141, 34 S.W.3d 755</w:t>
      </w:r>
    </w:p>
    <w:p w14:paraId="314506C4" w14:textId="77777777" w:rsidR="00E07D1B" w:rsidRPr="00E07D1B" w:rsidRDefault="00E07D1B" w:rsidP="00E07D1B">
      <w:pPr>
        <w:shd w:val="clear" w:color="auto" w:fill="FFFFFF"/>
        <w:spacing w:after="0" w:line="240" w:lineRule="auto"/>
        <w:rPr>
          <w:rFonts w:ascii="Georgia" w:eastAsia="Times New Roman" w:hAnsi="Georgia" w:cs="Arial"/>
          <w:color w:val="2F2F2F"/>
          <w:spacing w:val="3"/>
          <w:sz w:val="30"/>
          <w:szCs w:val="30"/>
          <w:lang w:eastAsia="en-GB"/>
        </w:rPr>
      </w:pPr>
      <w:r w:rsidRPr="00E07D1B">
        <w:rPr>
          <w:rFonts w:ascii="Georgia" w:eastAsia="Times New Roman" w:hAnsi="Georgia" w:cs="Arial"/>
          <w:color w:val="2F2F2F"/>
          <w:spacing w:val="3"/>
          <w:sz w:val="30"/>
          <w:szCs w:val="30"/>
          <w:lang w:eastAsia="en-GB"/>
        </w:rPr>
        <w:t>M.J. MANETH and Marion Maneth</w:t>
      </w:r>
      <w:r w:rsidRPr="00E07D1B">
        <w:rPr>
          <w:rFonts w:ascii="Georgia" w:eastAsia="Times New Roman" w:hAnsi="Georgia" w:cs="Arial"/>
          <w:i/>
          <w:iCs/>
          <w:color w:val="2F2F2F"/>
          <w:spacing w:val="3"/>
          <w:sz w:val="30"/>
          <w:szCs w:val="30"/>
          <w:lang w:eastAsia="en-GB"/>
        </w:rPr>
        <w:t>v.</w:t>
      </w:r>
      <w:r w:rsidRPr="00E07D1B">
        <w:rPr>
          <w:rFonts w:ascii="Georgia" w:eastAsia="Times New Roman" w:hAnsi="Georgia" w:cs="Arial"/>
          <w:color w:val="2F2F2F"/>
          <w:spacing w:val="3"/>
          <w:sz w:val="30"/>
          <w:szCs w:val="30"/>
          <w:lang w:eastAsia="en-GB"/>
        </w:rPr>
        <w:t>Nicholas TUCKER</w:t>
      </w:r>
    </w:p>
    <w:p w14:paraId="314506C5" w14:textId="77777777" w:rsidR="00E07D1B" w:rsidRPr="00E07D1B" w:rsidRDefault="00E07D1B" w:rsidP="00E07D1B">
      <w:pPr>
        <w:spacing w:before="100" w:beforeAutospacing="1" w:after="100" w:afterAutospacing="1" w:line="240" w:lineRule="auto"/>
        <w:rPr>
          <w:rFonts w:ascii="Georgia" w:eastAsia="Times New Roman" w:hAnsi="Georgia" w:cs="Times New Roman"/>
          <w:sz w:val="24"/>
          <w:szCs w:val="24"/>
          <w:lang w:eastAsia="en-GB"/>
        </w:rPr>
      </w:pPr>
      <w:r w:rsidRPr="00E07D1B">
        <w:rPr>
          <w:rFonts w:ascii="Georgia" w:eastAsia="Times New Roman" w:hAnsi="Georgia" w:cs="Times New Roman"/>
          <w:sz w:val="24"/>
          <w:szCs w:val="24"/>
          <w:lang w:eastAsia="en-GB"/>
        </w:rPr>
        <w:t>34 S.W.3d 755</w:t>
      </w:r>
    </w:p>
    <w:p w14:paraId="314506C6" w14:textId="77777777" w:rsidR="00E07D1B" w:rsidRPr="00E07D1B" w:rsidRDefault="00E07D1B" w:rsidP="00E07D1B">
      <w:pPr>
        <w:spacing w:before="100" w:beforeAutospacing="1" w:after="100" w:afterAutospacing="1" w:line="240" w:lineRule="auto"/>
        <w:rPr>
          <w:rFonts w:ascii="Georgia" w:eastAsia="Times New Roman" w:hAnsi="Georgia" w:cs="Times New Roman"/>
          <w:sz w:val="24"/>
          <w:szCs w:val="24"/>
          <w:lang w:eastAsia="en-GB"/>
        </w:rPr>
      </w:pPr>
      <w:r w:rsidRPr="00E07D1B">
        <w:rPr>
          <w:rFonts w:ascii="Georgia" w:eastAsia="Times New Roman" w:hAnsi="Georgia" w:cs="Times New Roman"/>
          <w:sz w:val="24"/>
          <w:szCs w:val="24"/>
          <w:lang w:eastAsia="en-GB"/>
        </w:rPr>
        <w:t>Court of Appeals of Arkansas Division II</w:t>
      </w:r>
    </w:p>
    <w:p w14:paraId="314506C7" w14:textId="3089EF3F" w:rsidR="00E07D1B" w:rsidRPr="00E07D1B" w:rsidRDefault="00E07D1B" w:rsidP="00E07D1B">
      <w:pPr>
        <w:shd w:val="clear" w:color="auto" w:fill="F7F7F9"/>
        <w:spacing w:before="100" w:beforeAutospacing="1" w:after="0" w:line="240" w:lineRule="auto"/>
        <w:rPr>
          <w:rFonts w:ascii="Georgia" w:eastAsia="Times New Roman" w:hAnsi="Georgia" w:cs="Times New Roman"/>
          <w:sz w:val="24"/>
          <w:szCs w:val="24"/>
          <w:lang w:eastAsia="en-GB"/>
        </w:rPr>
      </w:pPr>
      <w:r w:rsidRPr="00E07D1B">
        <w:rPr>
          <w:rFonts w:ascii="Georgia" w:eastAsia="Times New Roman" w:hAnsi="Georgia" w:cs="Times New Roman"/>
          <w:i/>
          <w:iCs/>
          <w:color w:val="979797"/>
          <w:sz w:val="19"/>
          <w:szCs w:val="19"/>
          <w:lang w:eastAsia="en-GB"/>
        </w:rPr>
        <w:t>*143</w:t>
      </w:r>
      <w:r w:rsidRPr="00E07D1B">
        <w:rPr>
          <w:rFonts w:ascii="Georgia" w:eastAsia="Times New Roman" w:hAnsi="Georgia" w:cs="Times New Roman"/>
          <w:sz w:val="24"/>
          <w:szCs w:val="24"/>
          <w:lang w:eastAsia="en-GB"/>
        </w:rPr>
        <w:t> </w:t>
      </w:r>
      <w:r w:rsidRPr="00E07D1B">
        <w:rPr>
          <w:rFonts w:ascii="Georgia" w:eastAsia="Times New Roman" w:hAnsi="Georgia" w:cs="Times New Roman"/>
          <w:i/>
          <w:iCs/>
          <w:sz w:val="24"/>
          <w:szCs w:val="24"/>
          <w:lang w:eastAsia="en-GB"/>
        </w:rPr>
        <w:t>Huckabay, Munson, Rowlett &amp; Tilley, P.A., </w:t>
      </w:r>
      <w:r w:rsidRPr="00E07D1B">
        <w:rPr>
          <w:rFonts w:ascii="Georgia" w:eastAsia="Times New Roman" w:hAnsi="Georgia" w:cs="Times New Roman"/>
          <w:sz w:val="24"/>
          <w:szCs w:val="24"/>
          <w:lang w:eastAsia="en-GB"/>
        </w:rPr>
        <w:t>by: </w:t>
      </w:r>
      <w:r w:rsidRPr="00E07D1B">
        <w:rPr>
          <w:rFonts w:ascii="Georgia" w:eastAsia="Times New Roman" w:hAnsi="Georgia" w:cs="Times New Roman"/>
          <w:i/>
          <w:iCs/>
          <w:sz w:val="24"/>
          <w:szCs w:val="24"/>
          <w:lang w:eastAsia="en-GB"/>
        </w:rPr>
        <w:t>Jim Tilley </w:t>
      </w:r>
      <w:r w:rsidRPr="00E07D1B">
        <w:rPr>
          <w:rFonts w:ascii="Georgia" w:eastAsia="Times New Roman" w:hAnsi="Georgia" w:cs="Times New Roman"/>
          <w:sz w:val="24"/>
          <w:szCs w:val="24"/>
          <w:lang w:eastAsia="en-GB"/>
        </w:rPr>
        <w:t>and </w:t>
      </w:r>
      <w:r w:rsidRPr="00E07D1B">
        <w:rPr>
          <w:rFonts w:ascii="Georgia" w:eastAsia="Times New Roman" w:hAnsi="Georgia" w:cs="Times New Roman"/>
          <w:i/>
          <w:iCs/>
          <w:sz w:val="24"/>
          <w:szCs w:val="24"/>
          <w:lang w:eastAsia="en-GB"/>
        </w:rPr>
        <w:t>Julia L. Busfteld, </w:t>
      </w:r>
      <w:r w:rsidRPr="00E07D1B">
        <w:rPr>
          <w:rFonts w:ascii="Georgia" w:eastAsia="Times New Roman" w:hAnsi="Georgia" w:cs="Times New Roman"/>
          <w:sz w:val="24"/>
          <w:szCs w:val="24"/>
          <w:lang w:eastAsia="en-GB"/>
        </w:rPr>
        <w:t>for appellants.</w:t>
      </w:r>
    </w:p>
    <w:p w14:paraId="314506C8" w14:textId="77777777" w:rsidR="00E07D1B" w:rsidRPr="00E07D1B" w:rsidRDefault="00E07D1B" w:rsidP="00E07D1B">
      <w:pPr>
        <w:shd w:val="clear" w:color="auto" w:fill="F7F7F9"/>
        <w:spacing w:after="0" w:line="240" w:lineRule="auto"/>
        <w:rPr>
          <w:rFonts w:ascii="Georgia" w:eastAsia="Times New Roman" w:hAnsi="Georgia" w:cs="Times New Roman"/>
          <w:sz w:val="24"/>
          <w:szCs w:val="24"/>
          <w:lang w:eastAsia="en-GB"/>
        </w:rPr>
      </w:pPr>
      <w:r w:rsidRPr="00E07D1B">
        <w:rPr>
          <w:rFonts w:ascii="Georgia" w:eastAsia="Times New Roman" w:hAnsi="Georgia" w:cs="Times New Roman"/>
          <w:i/>
          <w:iCs/>
          <w:sz w:val="24"/>
          <w:szCs w:val="24"/>
          <w:lang w:eastAsia="en-GB"/>
        </w:rPr>
        <w:t>Kelly &amp; Huckabee, </w:t>
      </w:r>
      <w:r w:rsidRPr="00E07D1B">
        <w:rPr>
          <w:rFonts w:ascii="Georgia" w:eastAsia="Times New Roman" w:hAnsi="Georgia" w:cs="Times New Roman"/>
          <w:sz w:val="24"/>
          <w:szCs w:val="24"/>
          <w:lang w:eastAsia="en-GB"/>
        </w:rPr>
        <w:t>by: </w:t>
      </w:r>
      <w:r w:rsidRPr="00E07D1B">
        <w:rPr>
          <w:rFonts w:ascii="Georgia" w:eastAsia="Times New Roman" w:hAnsi="Georgia" w:cs="Times New Roman"/>
          <w:i/>
          <w:iCs/>
          <w:sz w:val="24"/>
          <w:szCs w:val="24"/>
          <w:lang w:eastAsia="en-GB"/>
        </w:rPr>
        <w:t>Sandy Huckabee, </w:t>
      </w:r>
      <w:r w:rsidRPr="00E07D1B">
        <w:rPr>
          <w:rFonts w:ascii="Georgia" w:eastAsia="Times New Roman" w:hAnsi="Georgia" w:cs="Times New Roman"/>
          <w:sz w:val="24"/>
          <w:szCs w:val="24"/>
          <w:lang w:eastAsia="en-GB"/>
        </w:rPr>
        <w:t>for appellee.</w:t>
      </w:r>
    </w:p>
    <w:p w14:paraId="314506C9" w14:textId="77777777" w:rsidR="00E07D1B" w:rsidRPr="00E07D1B" w:rsidRDefault="00E07D1B" w:rsidP="00E07D1B">
      <w:pPr>
        <w:spacing w:before="100" w:beforeAutospacing="1" w:after="225" w:line="240" w:lineRule="auto"/>
        <w:rPr>
          <w:rFonts w:ascii="Georgia" w:eastAsia="Times New Roman" w:hAnsi="Georgia" w:cs="Times New Roman"/>
          <w:color w:val="E878FF"/>
          <w:sz w:val="24"/>
          <w:szCs w:val="24"/>
          <w:lang w:eastAsia="en-GB"/>
        </w:rPr>
      </w:pPr>
      <w:r w:rsidRPr="00E07D1B">
        <w:rPr>
          <w:rFonts w:ascii="Georgia" w:eastAsia="Times New Roman" w:hAnsi="Georgia" w:cs="Times New Roman"/>
          <w:color w:val="E878FF"/>
          <w:sz w:val="24"/>
          <w:szCs w:val="24"/>
          <w:lang w:eastAsia="en-GB"/>
        </w:rPr>
        <w:t>Andree LAYTON ROAF, Judge.</w:t>
      </w:r>
    </w:p>
    <w:p w14:paraId="314506CA" w14:textId="77777777" w:rsidR="00E07D1B" w:rsidRPr="00E07D1B" w:rsidRDefault="00E07D1B" w:rsidP="00E07D1B">
      <w:pPr>
        <w:spacing w:before="100" w:beforeAutospacing="1" w:after="225" w:line="240" w:lineRule="auto"/>
        <w:rPr>
          <w:rFonts w:ascii="Georgia" w:eastAsia="Times New Roman" w:hAnsi="Georgia" w:cs="Times New Roman"/>
          <w:sz w:val="24"/>
          <w:szCs w:val="24"/>
          <w:lang w:eastAsia="en-GB"/>
        </w:rPr>
      </w:pPr>
      <w:r w:rsidRPr="00E07D1B">
        <w:rPr>
          <w:rFonts w:ascii="Georgia" w:eastAsia="Times New Roman" w:hAnsi="Georgia" w:cs="Times New Roman"/>
          <w:sz w:val="24"/>
          <w:szCs w:val="24"/>
          <w:lang w:eastAsia="en-GB"/>
        </w:rPr>
        <w:t xml:space="preserve">This is a negligence case. </w:t>
      </w:r>
      <w:r w:rsidRPr="00E07D1B">
        <w:rPr>
          <w:rFonts w:ascii="Georgia" w:eastAsia="Times New Roman" w:hAnsi="Georgia" w:cs="Times New Roman"/>
          <w:sz w:val="24"/>
          <w:szCs w:val="24"/>
          <w:highlight w:val="magenta"/>
          <w:lang w:eastAsia="en-GB"/>
        </w:rPr>
        <w:t>Appellants M.J. and Marion Maneth have appealed from a judgment entered on a jury verdict against them in favor of appellee Nicholas Tucker, who was injured in a fight with two third parties at appellants’ house.</w:t>
      </w:r>
      <w:r w:rsidRPr="00E07D1B">
        <w:rPr>
          <w:rFonts w:ascii="Georgia" w:eastAsia="Times New Roman" w:hAnsi="Georgia" w:cs="Times New Roman"/>
          <w:sz w:val="24"/>
          <w:szCs w:val="24"/>
          <w:lang w:eastAsia="en-GB"/>
        </w:rPr>
        <w:t xml:space="preserve"> Because </w:t>
      </w:r>
      <w:r w:rsidRPr="00E07D1B">
        <w:rPr>
          <w:rFonts w:ascii="Georgia" w:eastAsia="Times New Roman" w:hAnsi="Georgia" w:cs="Times New Roman"/>
          <w:sz w:val="24"/>
          <w:szCs w:val="24"/>
          <w:highlight w:val="green"/>
          <w:lang w:eastAsia="en-GB"/>
        </w:rPr>
        <w:t>the trial judge erred in refusing to direct a verdict for the Maneths</w:t>
      </w:r>
      <w:r w:rsidRPr="00E07D1B">
        <w:rPr>
          <w:rFonts w:ascii="Georgia" w:eastAsia="Times New Roman" w:hAnsi="Georgia" w:cs="Times New Roman"/>
          <w:sz w:val="24"/>
          <w:szCs w:val="24"/>
          <w:lang w:eastAsia="en-GB"/>
        </w:rPr>
        <w:t xml:space="preserve">, </w:t>
      </w:r>
      <w:r w:rsidRPr="00E07D1B">
        <w:rPr>
          <w:rFonts w:ascii="Georgia" w:eastAsia="Times New Roman" w:hAnsi="Georgia" w:cs="Times New Roman"/>
          <w:sz w:val="24"/>
          <w:szCs w:val="24"/>
          <w:highlight w:val="red"/>
          <w:lang w:eastAsia="en-GB"/>
        </w:rPr>
        <w:t>we reverse</w:t>
      </w:r>
      <w:r w:rsidRPr="00E07D1B">
        <w:rPr>
          <w:rFonts w:ascii="Georgia" w:eastAsia="Times New Roman" w:hAnsi="Georgia" w:cs="Times New Roman"/>
          <w:sz w:val="24"/>
          <w:szCs w:val="24"/>
          <w:lang w:eastAsia="en-GB"/>
        </w:rPr>
        <w:t xml:space="preserve">. The Maneths have raised several points on appeal. However, because </w:t>
      </w:r>
      <w:r w:rsidRPr="00E07D1B">
        <w:rPr>
          <w:rFonts w:ascii="Georgia" w:eastAsia="Times New Roman" w:hAnsi="Georgia" w:cs="Times New Roman"/>
          <w:sz w:val="24"/>
          <w:szCs w:val="24"/>
          <w:highlight w:val="red"/>
          <w:lang w:eastAsia="en-GB"/>
        </w:rPr>
        <w:t>we reverse on the directed verdict</w:t>
      </w:r>
      <w:r w:rsidRPr="00E07D1B">
        <w:rPr>
          <w:rFonts w:ascii="Georgia" w:eastAsia="Times New Roman" w:hAnsi="Georgia" w:cs="Times New Roman"/>
          <w:sz w:val="24"/>
          <w:szCs w:val="24"/>
          <w:lang w:eastAsia="en-GB"/>
        </w:rPr>
        <w:t>, we need not address their other points.</w:t>
      </w:r>
    </w:p>
    <w:p w14:paraId="314506CB" w14:textId="77777777" w:rsidR="00E07D1B" w:rsidRPr="00E07D1B" w:rsidRDefault="00E07D1B" w:rsidP="00E07D1B">
      <w:pPr>
        <w:spacing w:before="100" w:beforeAutospacing="1" w:after="225" w:line="240" w:lineRule="auto"/>
        <w:rPr>
          <w:rFonts w:ascii="Georgia" w:eastAsia="Times New Roman" w:hAnsi="Georgia" w:cs="Times New Roman"/>
          <w:sz w:val="24"/>
          <w:szCs w:val="24"/>
          <w:lang w:eastAsia="en-GB"/>
        </w:rPr>
      </w:pPr>
      <w:r w:rsidRPr="00E07D1B">
        <w:rPr>
          <w:rFonts w:ascii="Georgia" w:eastAsia="Times New Roman" w:hAnsi="Georgia" w:cs="Times New Roman"/>
          <w:sz w:val="24"/>
          <w:szCs w:val="24"/>
          <w:highlight w:val="yellow"/>
          <w:lang w:eastAsia="en-GB"/>
        </w:rPr>
        <w:t>The Maneths went out of state on Friday, January 10, 1998, leaving at home and unsupervised their eighteen-year-old son, Jeff, and their seventeen-year-old daughter, Darcy. Before leaving, the Maneths gave permission for Jeff to have his golf-team members and for Darcy to have a fiiend or two over to the house. On Friday night, Tucker, who was eighteen years old, came uninvited to a party at the Maneths’ house, as did many other young people. No problems occurred that night, although liquor was consumed. On Saturday, bringing beer, Tucker returned to the Maneths’ house without an invitation. Later estimates put the crowd at thirty to fifty people, many of whom were consuming alcoholic beverages. Later that night, Tucker intervened in a quarrel that had erupted between Chris Madding and Bubba Lucas. He grabbed Chris’s shirt and accidentally tore it, enraging Chris. Even though Tucker apologized to him, Chris punched Tucker in the face several times, and Chris’s fraternity brother, Nick Morris, also hit Tucker. Several of Tucker’s teeth were knocked out, and he suffered other facial injuries that required surgery. Chris and Nick were also over the age of majority.</w:t>
      </w:r>
    </w:p>
    <w:p w14:paraId="314506CC" w14:textId="77777777" w:rsidR="00E07D1B" w:rsidRPr="00E07D1B" w:rsidRDefault="00E07D1B" w:rsidP="00E07D1B">
      <w:pPr>
        <w:spacing w:before="100" w:beforeAutospacing="1" w:after="225" w:line="240" w:lineRule="auto"/>
        <w:rPr>
          <w:rFonts w:ascii="Georgia" w:eastAsia="Times New Roman" w:hAnsi="Georgia" w:cs="Times New Roman"/>
          <w:sz w:val="24"/>
          <w:szCs w:val="24"/>
          <w:lang w:eastAsia="en-GB"/>
        </w:rPr>
      </w:pPr>
      <w:r w:rsidRPr="00E07D1B">
        <w:rPr>
          <w:rFonts w:ascii="Georgia" w:eastAsia="Times New Roman" w:hAnsi="Georgia" w:cs="Times New Roman"/>
          <w:sz w:val="24"/>
          <w:szCs w:val="24"/>
          <w:highlight w:val="magenta"/>
          <w:lang w:eastAsia="en-GB"/>
        </w:rPr>
        <w:t>Tucker then sued the Maneths, Chris, and Nick.</w:t>
      </w:r>
      <w:r w:rsidRPr="00E07D1B">
        <w:rPr>
          <w:rFonts w:ascii="Georgia" w:eastAsia="Times New Roman" w:hAnsi="Georgia" w:cs="Times New Roman"/>
          <w:sz w:val="24"/>
          <w:szCs w:val="24"/>
          <w:lang w:eastAsia="en-GB"/>
        </w:rPr>
        <w:t xml:space="preserve"> He alleged that the Maneths were negligent in failing to make their home safe and in the supervision of their children. </w:t>
      </w:r>
      <w:r w:rsidRPr="00E07D1B">
        <w:rPr>
          <w:rFonts w:ascii="Georgia" w:eastAsia="Times New Roman" w:hAnsi="Georgia" w:cs="Times New Roman"/>
          <w:sz w:val="24"/>
          <w:szCs w:val="24"/>
          <w:highlight w:val="magenta"/>
          <w:lang w:eastAsia="en-GB"/>
        </w:rPr>
        <w:t xml:space="preserve">The Maneths’ motions for directed verdict were denied, and the case was submitted to the jury on interrogatories. </w:t>
      </w:r>
      <w:r w:rsidRPr="00E07D1B">
        <w:rPr>
          <w:rFonts w:ascii="Georgia" w:eastAsia="Times New Roman" w:hAnsi="Georgia" w:cs="Times New Roman"/>
          <w:sz w:val="24"/>
          <w:szCs w:val="24"/>
          <w:lang w:eastAsia="en-GB"/>
        </w:rPr>
        <w:t>The Maneths were also unsuccessful in attempting to persuade the circuit judge to give the following jury instruction, AMI 1103:</w:t>
      </w:r>
    </w:p>
    <w:p w14:paraId="314506CD" w14:textId="77777777" w:rsidR="00E07D1B" w:rsidRPr="00E07D1B" w:rsidRDefault="00E07D1B" w:rsidP="00E07D1B">
      <w:pPr>
        <w:spacing w:after="100" w:line="240" w:lineRule="auto"/>
        <w:rPr>
          <w:rFonts w:ascii="Georgia" w:eastAsia="Times New Roman" w:hAnsi="Georgia" w:cs="Times New Roman"/>
          <w:color w:val="004FB3"/>
          <w:sz w:val="24"/>
          <w:szCs w:val="24"/>
          <w:lang w:eastAsia="en-GB"/>
        </w:rPr>
      </w:pPr>
      <w:r w:rsidRPr="00E07D1B">
        <w:rPr>
          <w:rFonts w:ascii="Georgia" w:eastAsia="Times New Roman" w:hAnsi="Georgia" w:cs="Times New Roman"/>
          <w:color w:val="004FB3"/>
          <w:sz w:val="24"/>
          <w:szCs w:val="24"/>
          <w:lang w:eastAsia="en-GB"/>
        </w:rPr>
        <w:t>In this case, Nicholas Tucker was a licensee upon the premises of Marion and M.J. Maneth.</w:t>
      </w:r>
    </w:p>
    <w:p w14:paraId="314506CE" w14:textId="77777777" w:rsidR="00E07D1B" w:rsidRPr="00E07D1B" w:rsidRDefault="00775330" w:rsidP="00E07D1B">
      <w:pPr>
        <w:spacing w:after="100" w:line="240" w:lineRule="auto"/>
        <w:rPr>
          <w:rFonts w:ascii="Georgia" w:eastAsia="Times New Roman" w:hAnsi="Georgia" w:cs="Times New Roman"/>
          <w:color w:val="004FB3"/>
          <w:sz w:val="24"/>
          <w:szCs w:val="24"/>
          <w:lang w:eastAsia="en-GB"/>
        </w:rPr>
      </w:pPr>
      <w:hyperlink r:id="rId4" w:anchor="p144" w:history="1">
        <w:r w:rsidR="00E07D1B" w:rsidRPr="00E07D1B">
          <w:rPr>
            <w:rFonts w:ascii="Georgia" w:eastAsia="Times New Roman" w:hAnsi="Georgia" w:cs="Times New Roman"/>
            <w:i/>
            <w:iCs/>
            <w:color w:val="979797"/>
            <w:sz w:val="19"/>
            <w:szCs w:val="19"/>
            <w:lang w:eastAsia="en-GB"/>
          </w:rPr>
          <w:t>*144</w:t>
        </w:r>
      </w:hyperlink>
      <w:r w:rsidR="00E07D1B" w:rsidRPr="00E07D1B">
        <w:rPr>
          <w:rFonts w:ascii="Georgia" w:eastAsia="Times New Roman" w:hAnsi="Georgia" w:cs="Times New Roman"/>
          <w:color w:val="004FB3"/>
          <w:sz w:val="24"/>
          <w:szCs w:val="24"/>
          <w:lang w:eastAsia="en-GB"/>
        </w:rPr>
        <w:t xml:space="preserve">An owner of property owes a licensee no duty until his presence on the premises is known or reasonably should be known. Then, the owner owes the licensee only a duty not to cause him injury by willful or wanton conduct. If, however, the owner </w:t>
      </w:r>
      <w:r w:rsidR="00E07D1B" w:rsidRPr="00E07D1B">
        <w:rPr>
          <w:rFonts w:ascii="Georgia" w:eastAsia="Times New Roman" w:hAnsi="Georgia" w:cs="Times New Roman"/>
          <w:color w:val="004FB3"/>
          <w:sz w:val="24"/>
          <w:szCs w:val="24"/>
          <w:lang w:eastAsia="en-GB"/>
        </w:rPr>
        <w:lastRenderedPageBreak/>
        <w:t>knows or has reason to know of a condition on the premises which is not open and obvious and which creates an unreasonable harm to licensees, he is under the duty to use ordinary care to make the condition safe &lt;?r to warn those licensees who do not know or have reason to know of the danger.</w:t>
      </w:r>
    </w:p>
    <w:p w14:paraId="314506CF" w14:textId="77777777" w:rsidR="00E07D1B" w:rsidRPr="00E07D1B" w:rsidRDefault="00E07D1B" w:rsidP="00E07D1B">
      <w:pPr>
        <w:spacing w:before="100" w:beforeAutospacing="1" w:after="225" w:line="240" w:lineRule="auto"/>
        <w:rPr>
          <w:rFonts w:ascii="Georgia" w:eastAsia="Times New Roman" w:hAnsi="Georgia" w:cs="Times New Roman"/>
          <w:sz w:val="24"/>
          <w:szCs w:val="24"/>
          <w:lang w:eastAsia="en-GB"/>
        </w:rPr>
      </w:pPr>
      <w:r w:rsidRPr="00E07D1B">
        <w:rPr>
          <w:rFonts w:ascii="Georgia" w:eastAsia="Times New Roman" w:hAnsi="Georgia" w:cs="Times New Roman"/>
          <w:sz w:val="24"/>
          <w:szCs w:val="24"/>
          <w:lang w:eastAsia="en-GB"/>
        </w:rPr>
        <w:t>The circuit judge did, however, give the following instruction, AMI 604, over the Maneths’ objections:</w:t>
      </w:r>
    </w:p>
    <w:p w14:paraId="314506D0" w14:textId="77777777" w:rsidR="00E07D1B" w:rsidRPr="00E07D1B" w:rsidRDefault="00E07D1B" w:rsidP="00E07D1B">
      <w:pPr>
        <w:spacing w:after="100" w:line="240" w:lineRule="auto"/>
        <w:rPr>
          <w:rFonts w:ascii="Georgia" w:eastAsia="Times New Roman" w:hAnsi="Georgia" w:cs="Times New Roman"/>
          <w:color w:val="004FB3"/>
          <w:sz w:val="24"/>
          <w:szCs w:val="24"/>
          <w:lang w:eastAsia="en-GB"/>
        </w:rPr>
      </w:pPr>
      <w:r w:rsidRPr="00E07D1B">
        <w:rPr>
          <w:rFonts w:ascii="Georgia" w:eastAsia="Times New Roman" w:hAnsi="Georgia" w:cs="Times New Roman"/>
          <w:color w:val="004FB3"/>
          <w:sz w:val="24"/>
          <w:szCs w:val="24"/>
          <w:lang w:eastAsia="en-GB"/>
        </w:rPr>
        <w:t>A person who knows, or reasonably should know, that a child may be affected by his act, failure to act, or conduct is required to anticipate the ordinary behavior of children and to use care commensurate with any danger reasonably to be anticipated under the circumstances. A failure to use this degree of care is negligence.</w:t>
      </w:r>
    </w:p>
    <w:p w14:paraId="314506D1" w14:textId="77777777" w:rsidR="00E07D1B" w:rsidRPr="00E07D1B" w:rsidRDefault="00E07D1B" w:rsidP="00E07D1B">
      <w:pPr>
        <w:spacing w:before="100" w:beforeAutospacing="1" w:after="225" w:line="240" w:lineRule="auto"/>
        <w:rPr>
          <w:rFonts w:ascii="Georgia" w:eastAsia="Times New Roman" w:hAnsi="Georgia" w:cs="Times New Roman"/>
          <w:sz w:val="24"/>
          <w:szCs w:val="24"/>
          <w:lang w:eastAsia="en-GB"/>
        </w:rPr>
      </w:pPr>
      <w:r w:rsidRPr="00E07D1B">
        <w:rPr>
          <w:rFonts w:ascii="Georgia" w:eastAsia="Times New Roman" w:hAnsi="Georgia" w:cs="Times New Roman"/>
          <w:sz w:val="24"/>
          <w:szCs w:val="24"/>
          <w:highlight w:val="magenta"/>
          <w:lang w:eastAsia="en-GB"/>
        </w:rPr>
        <w:t>The jury found the Maneths five percent, Tucker five percent, Chris fifty percent, and Nick forty percent at fault, and set Tucker’s damages at $50,000.</w:t>
      </w:r>
      <w:r w:rsidRPr="00E07D1B">
        <w:rPr>
          <w:rFonts w:ascii="Georgia" w:eastAsia="Times New Roman" w:hAnsi="Georgia" w:cs="Times New Roman"/>
          <w:sz w:val="24"/>
          <w:szCs w:val="24"/>
          <w:lang w:eastAsia="en-GB"/>
        </w:rPr>
        <w:t xml:space="preserve"> The trial judge entered judgment for Tucker in the amount of $47,500. </w:t>
      </w:r>
      <w:r w:rsidRPr="00E07D1B">
        <w:rPr>
          <w:rFonts w:ascii="Georgia" w:eastAsia="Times New Roman" w:hAnsi="Georgia" w:cs="Times New Roman"/>
          <w:sz w:val="24"/>
          <w:szCs w:val="24"/>
          <w:highlight w:val="magenta"/>
          <w:lang w:eastAsia="en-GB"/>
        </w:rPr>
        <w:t>Only the Maneths appeal from this judgment.</w:t>
      </w:r>
    </w:p>
    <w:p w14:paraId="314506D2" w14:textId="2ECB1077" w:rsidR="00E07D1B" w:rsidRPr="00E07D1B" w:rsidRDefault="00E07D1B" w:rsidP="00E07D1B">
      <w:pPr>
        <w:spacing w:before="100" w:beforeAutospacing="1" w:after="225" w:line="240" w:lineRule="auto"/>
        <w:rPr>
          <w:rFonts w:ascii="Georgia" w:eastAsia="Times New Roman" w:hAnsi="Georgia" w:cs="Times New Roman"/>
          <w:sz w:val="24"/>
          <w:szCs w:val="24"/>
          <w:lang w:eastAsia="en-GB"/>
        </w:rPr>
      </w:pPr>
      <w:r w:rsidRPr="00E07D1B">
        <w:rPr>
          <w:rFonts w:ascii="Georgia" w:eastAsia="Times New Roman" w:hAnsi="Georgia" w:cs="Times New Roman"/>
          <w:sz w:val="24"/>
          <w:szCs w:val="24"/>
          <w:lang w:eastAsia="en-GB"/>
        </w:rPr>
        <w:t>In their-first point on appeal, the Maneths argue that the circuit judge erred in refusing to direct a verdict in their favor. A motion for directed verdict is a challenge to the .sufficiency of the evidence. </w:t>
      </w:r>
      <w:r w:rsidRPr="00E07D1B">
        <w:rPr>
          <w:rFonts w:ascii="Georgia" w:eastAsia="Times New Roman" w:hAnsi="Georgia" w:cs="Times New Roman"/>
          <w:i/>
          <w:iCs/>
          <w:sz w:val="24"/>
          <w:szCs w:val="24"/>
          <w:lang w:eastAsia="en-GB"/>
        </w:rPr>
        <w:t>Sparks Regional Med. Ctr. v. Smith, </w:t>
      </w:r>
      <w:r w:rsidRPr="00E07D1B">
        <w:rPr>
          <w:rFonts w:ascii="Georgia" w:eastAsia="Times New Roman" w:hAnsi="Georgia" w:cs="Times New Roman"/>
          <w:color w:val="007BFF"/>
          <w:sz w:val="24"/>
          <w:szCs w:val="24"/>
          <w:lang w:eastAsia="en-GB"/>
        </w:rPr>
        <w:t>63 Ark. App. 131</w:t>
      </w:r>
      <w:r w:rsidRPr="00E07D1B">
        <w:rPr>
          <w:rFonts w:ascii="Georgia" w:eastAsia="Times New Roman" w:hAnsi="Georgia" w:cs="Times New Roman"/>
          <w:sz w:val="24"/>
          <w:szCs w:val="24"/>
          <w:lang w:eastAsia="en-GB"/>
        </w:rPr>
        <w:t>, </w:t>
      </w:r>
      <w:hyperlink r:id="rId5" w:history="1">
        <w:r w:rsidRPr="00E07D1B">
          <w:rPr>
            <w:rFonts w:ascii="Georgia" w:eastAsia="Times New Roman" w:hAnsi="Georgia" w:cs="Times New Roman"/>
            <w:color w:val="007BFF"/>
            <w:sz w:val="24"/>
            <w:szCs w:val="24"/>
            <w:lang w:eastAsia="en-GB"/>
          </w:rPr>
          <w:t>976 S.W.2d 396</w:t>
        </w:r>
      </w:hyperlink>
      <w:r w:rsidRPr="00E07D1B">
        <w:rPr>
          <w:rFonts w:ascii="Georgia" w:eastAsia="Times New Roman" w:hAnsi="Georgia" w:cs="Times New Roman"/>
          <w:sz w:val="24"/>
          <w:szCs w:val="24"/>
          <w:lang w:eastAsia="en-GB"/>
        </w:rPr>
        <w:t xml:space="preserve"> (1998). </w:t>
      </w:r>
      <w:r w:rsidRPr="00E07D1B">
        <w:rPr>
          <w:rFonts w:ascii="Georgia" w:eastAsia="Times New Roman" w:hAnsi="Georgia" w:cs="Times New Roman"/>
          <w:sz w:val="24"/>
          <w:szCs w:val="24"/>
          <w:highlight w:val="magenta"/>
          <w:lang w:eastAsia="en-GB"/>
        </w:rPr>
        <w:t>When reviewing the denial of a motion for directed verdict, this coürt affirms if the jury’s verdict is supported by substantial evidence.</w:t>
      </w:r>
      <w:r w:rsidRPr="00E07D1B">
        <w:rPr>
          <w:rFonts w:ascii="Georgia" w:eastAsia="Times New Roman" w:hAnsi="Georgia" w:cs="Times New Roman"/>
          <w:sz w:val="24"/>
          <w:szCs w:val="24"/>
          <w:lang w:eastAsia="en-GB"/>
        </w:rPr>
        <w:t> </w:t>
      </w:r>
      <w:r w:rsidRPr="00E07D1B">
        <w:rPr>
          <w:rFonts w:ascii="Georgia" w:eastAsia="Times New Roman" w:hAnsi="Georgia" w:cs="Times New Roman"/>
          <w:i/>
          <w:iCs/>
          <w:sz w:val="24"/>
          <w:szCs w:val="24"/>
          <w:lang w:eastAsia="en-GB"/>
        </w:rPr>
        <w:t>Wal-Mart Stores, Inc. v. Binns, </w:t>
      </w:r>
      <w:r w:rsidRPr="00E07D1B">
        <w:rPr>
          <w:rFonts w:ascii="Georgia" w:eastAsia="Times New Roman" w:hAnsi="Georgia" w:cs="Times New Roman"/>
          <w:color w:val="007BFF"/>
          <w:sz w:val="24"/>
          <w:szCs w:val="24"/>
          <w:lang w:eastAsia="en-GB"/>
        </w:rPr>
        <w:t>341 Ark. 157</w:t>
      </w:r>
      <w:r w:rsidRPr="00E07D1B">
        <w:rPr>
          <w:rFonts w:ascii="Georgia" w:eastAsia="Times New Roman" w:hAnsi="Georgia" w:cs="Times New Roman"/>
          <w:sz w:val="24"/>
          <w:szCs w:val="24"/>
          <w:lang w:eastAsia="en-GB"/>
        </w:rPr>
        <w:t>, </w:t>
      </w:r>
      <w:hyperlink r:id="rId6" w:history="1">
        <w:r w:rsidRPr="00E07D1B">
          <w:rPr>
            <w:rFonts w:ascii="Georgia" w:eastAsia="Times New Roman" w:hAnsi="Georgia" w:cs="Times New Roman"/>
            <w:color w:val="007BFF"/>
            <w:sz w:val="24"/>
            <w:szCs w:val="24"/>
            <w:lang w:eastAsia="en-GB"/>
          </w:rPr>
          <w:t>15 S.W.3d 320</w:t>
        </w:r>
      </w:hyperlink>
      <w:r w:rsidRPr="00E07D1B">
        <w:rPr>
          <w:rFonts w:ascii="Georgia" w:eastAsia="Times New Roman" w:hAnsi="Georgia" w:cs="Times New Roman"/>
          <w:sz w:val="24"/>
          <w:szCs w:val="24"/>
          <w:lang w:eastAsia="en-GB"/>
        </w:rPr>
        <w:t> (2000). Substantial evidence is evidence that is of sufficient certainty and precision to compel a conclusion one way or another, forcing or inducing the mind to pass beyond suspicion or conjecture. </w:t>
      </w:r>
      <w:r w:rsidRPr="00E07D1B">
        <w:rPr>
          <w:rFonts w:ascii="Georgia" w:eastAsia="Times New Roman" w:hAnsi="Georgia" w:cs="Times New Roman"/>
          <w:i/>
          <w:iCs/>
          <w:sz w:val="24"/>
          <w:szCs w:val="24"/>
          <w:lang w:eastAsia="en-GB"/>
        </w:rPr>
        <w:t>Home Mut. Fire Ins. Co. v. Jones, </w:t>
      </w:r>
      <w:r w:rsidRPr="00E07D1B">
        <w:rPr>
          <w:rFonts w:ascii="Georgia" w:eastAsia="Times New Roman" w:hAnsi="Georgia" w:cs="Times New Roman"/>
          <w:color w:val="007BFF"/>
          <w:sz w:val="24"/>
          <w:szCs w:val="24"/>
          <w:lang w:eastAsia="en-GB"/>
        </w:rPr>
        <w:t>63 Ark. App. 221</w:t>
      </w:r>
      <w:r w:rsidRPr="00E07D1B">
        <w:rPr>
          <w:rFonts w:ascii="Georgia" w:eastAsia="Times New Roman" w:hAnsi="Georgia" w:cs="Times New Roman"/>
          <w:sz w:val="24"/>
          <w:szCs w:val="24"/>
          <w:lang w:eastAsia="en-GB"/>
        </w:rPr>
        <w:t>, </w:t>
      </w:r>
      <w:hyperlink r:id="rId7" w:history="1">
        <w:r w:rsidRPr="00E07D1B">
          <w:rPr>
            <w:rFonts w:ascii="Georgia" w:eastAsia="Times New Roman" w:hAnsi="Georgia" w:cs="Times New Roman"/>
            <w:color w:val="007BFF"/>
            <w:sz w:val="24"/>
            <w:szCs w:val="24"/>
            <w:lang w:eastAsia="en-GB"/>
          </w:rPr>
          <w:t>977 S.W.2d 12</w:t>
        </w:r>
      </w:hyperlink>
      <w:r w:rsidRPr="00E07D1B">
        <w:rPr>
          <w:rFonts w:ascii="Georgia" w:eastAsia="Times New Roman" w:hAnsi="Georgia" w:cs="Times New Roman"/>
          <w:sz w:val="24"/>
          <w:szCs w:val="24"/>
          <w:lang w:eastAsia="en-GB"/>
        </w:rPr>
        <w:t xml:space="preserve"> (1998). On appeal, </w:t>
      </w:r>
      <w:r w:rsidRPr="00E07D1B">
        <w:rPr>
          <w:rFonts w:ascii="Georgia" w:eastAsia="Times New Roman" w:hAnsi="Georgia" w:cs="Times New Roman"/>
          <w:sz w:val="24"/>
          <w:szCs w:val="24"/>
          <w:highlight w:val="magenta"/>
          <w:lang w:eastAsia="en-GB"/>
        </w:rPr>
        <w:t>only the evidence favorable to the appellee, and all reasonable inferences therefrom, will be considered</w:t>
      </w:r>
      <w:r w:rsidRPr="00E07D1B">
        <w:rPr>
          <w:rFonts w:ascii="Georgia" w:eastAsia="Times New Roman" w:hAnsi="Georgia" w:cs="Times New Roman"/>
          <w:sz w:val="24"/>
          <w:szCs w:val="24"/>
          <w:lang w:eastAsia="en-GB"/>
        </w:rPr>
        <w:t>. </w:t>
      </w:r>
      <w:r w:rsidRPr="00E07D1B">
        <w:rPr>
          <w:rFonts w:ascii="Georgia" w:eastAsia="Times New Roman" w:hAnsi="Georgia" w:cs="Times New Roman"/>
          <w:i/>
          <w:iCs/>
          <w:sz w:val="24"/>
          <w:szCs w:val="24"/>
          <w:lang w:eastAsia="en-GB"/>
        </w:rPr>
        <w:t>Id.</w:t>
      </w:r>
    </w:p>
    <w:p w14:paraId="314506D3" w14:textId="531F8E2B" w:rsidR="00E07D1B" w:rsidRPr="00E07D1B" w:rsidRDefault="00E07D1B" w:rsidP="00E07D1B">
      <w:pPr>
        <w:spacing w:before="100" w:beforeAutospacing="1" w:after="225" w:line="240" w:lineRule="auto"/>
        <w:rPr>
          <w:rFonts w:ascii="Georgia" w:eastAsia="Times New Roman" w:hAnsi="Georgia" w:cs="Times New Roman"/>
          <w:sz w:val="24"/>
          <w:szCs w:val="24"/>
          <w:lang w:eastAsia="en-GB"/>
        </w:rPr>
      </w:pPr>
      <w:r w:rsidRPr="00E07D1B">
        <w:rPr>
          <w:rFonts w:ascii="Georgia" w:eastAsia="Times New Roman" w:hAnsi="Georgia" w:cs="Times New Roman"/>
          <w:sz w:val="24"/>
          <w:szCs w:val="24"/>
          <w:lang w:eastAsia="en-GB"/>
        </w:rPr>
        <w:t>To establish a prima facie case in tort,- a plaintiff must show that damages were sustained, that the defendant was negligent, and that such negligence was a proximate cause of the damages. </w:t>
      </w:r>
      <w:r w:rsidRPr="00EF65B2">
        <w:rPr>
          <w:rFonts w:ascii="Georgia" w:eastAsia="Times New Roman" w:hAnsi="Georgia" w:cs="Times New Roman"/>
          <w:i/>
          <w:iCs/>
          <w:sz w:val="24"/>
          <w:szCs w:val="24"/>
          <w:lang w:eastAsia="en-GB"/>
        </w:rPr>
        <w:t>Ouachita Wilderness Inst. v. Mergen, </w:t>
      </w:r>
      <w:r w:rsidRPr="00EF65B2">
        <w:rPr>
          <w:rFonts w:ascii="Georgia" w:eastAsia="Times New Roman" w:hAnsi="Georgia" w:cs="Times New Roman"/>
          <w:color w:val="007BFF"/>
          <w:sz w:val="24"/>
          <w:szCs w:val="24"/>
          <w:lang w:eastAsia="en-GB"/>
        </w:rPr>
        <w:t>329 Ark. 405</w:t>
      </w:r>
      <w:r w:rsidRPr="00E07D1B">
        <w:rPr>
          <w:rFonts w:ascii="Georgia" w:eastAsia="Times New Roman" w:hAnsi="Georgia" w:cs="Times New Roman"/>
          <w:sz w:val="24"/>
          <w:szCs w:val="24"/>
          <w:lang w:eastAsia="en-GB"/>
        </w:rPr>
        <w:t>, </w:t>
      </w:r>
      <w:hyperlink r:id="rId8" w:history="1">
        <w:r w:rsidRPr="00EF65B2">
          <w:rPr>
            <w:rFonts w:ascii="Georgia" w:eastAsia="Times New Roman" w:hAnsi="Georgia" w:cs="Times New Roman"/>
            <w:color w:val="007BFF"/>
            <w:sz w:val="24"/>
            <w:szCs w:val="24"/>
            <w:lang w:eastAsia="en-GB"/>
          </w:rPr>
          <w:t>947 S.W.2d 780</w:t>
        </w:r>
      </w:hyperlink>
      <w:r w:rsidRPr="00E07D1B">
        <w:rPr>
          <w:rFonts w:ascii="Georgia" w:eastAsia="Times New Roman" w:hAnsi="Georgia" w:cs="Times New Roman"/>
          <w:sz w:val="24"/>
          <w:szCs w:val="24"/>
          <w:lang w:eastAsia="en-GB"/>
        </w:rPr>
        <w:t> </w:t>
      </w:r>
      <w:r w:rsidRPr="00EF65B2">
        <w:rPr>
          <w:rFonts w:ascii="Georgia" w:eastAsia="Times New Roman" w:hAnsi="Georgia" w:cs="Times New Roman"/>
          <w:i/>
          <w:iCs/>
          <w:color w:val="979797"/>
          <w:sz w:val="19"/>
          <w:szCs w:val="19"/>
          <w:lang w:eastAsia="en-GB"/>
        </w:rPr>
        <w:t>*145</w:t>
      </w:r>
      <w:r w:rsidRPr="00E07D1B">
        <w:rPr>
          <w:rFonts w:ascii="Georgia" w:eastAsia="Times New Roman" w:hAnsi="Georgia" w:cs="Times New Roman"/>
          <w:sz w:val="24"/>
          <w:szCs w:val="24"/>
          <w:lang w:eastAsia="en-GB"/>
        </w:rPr>
        <w:t>(1997). Questions that must be answered in a negligence case are: (1) what duty, if any, the defendant owed the plaintiff; (2) whether that duty was breached; (3) whether it was reasonably foreseeable that such a breach would cause the injury; (4) whether the negligent act caused or was a substantial factor in causing the injury; and (5) whether there was an intervening cause. </w:t>
      </w:r>
      <w:r w:rsidRPr="00EF65B2">
        <w:rPr>
          <w:rFonts w:ascii="Georgia" w:eastAsia="Times New Roman" w:hAnsi="Georgia" w:cs="Times New Roman"/>
          <w:i/>
          <w:iCs/>
          <w:sz w:val="24"/>
          <w:szCs w:val="24"/>
          <w:lang w:eastAsia="en-GB"/>
        </w:rPr>
        <w:t>Keck v. American Employment Agency, Inc., </w:t>
      </w:r>
      <w:hyperlink r:id="rId9" w:history="1">
        <w:r w:rsidRPr="00EF65B2">
          <w:rPr>
            <w:rFonts w:ascii="Georgia" w:eastAsia="Times New Roman" w:hAnsi="Georgia" w:cs="Times New Roman"/>
            <w:color w:val="007BFF"/>
            <w:sz w:val="24"/>
            <w:szCs w:val="24"/>
            <w:lang w:eastAsia="en-GB"/>
          </w:rPr>
          <w:t>279 Ark. 294</w:t>
        </w:r>
      </w:hyperlink>
      <w:r w:rsidRPr="00E07D1B">
        <w:rPr>
          <w:rFonts w:ascii="Georgia" w:eastAsia="Times New Roman" w:hAnsi="Georgia" w:cs="Times New Roman"/>
          <w:sz w:val="24"/>
          <w:szCs w:val="24"/>
          <w:lang w:eastAsia="en-GB"/>
        </w:rPr>
        <w:t>, </w:t>
      </w:r>
      <w:r w:rsidRPr="00EF65B2">
        <w:rPr>
          <w:rFonts w:ascii="Georgia" w:eastAsia="Times New Roman" w:hAnsi="Georgia" w:cs="Times New Roman"/>
          <w:color w:val="007BFF"/>
          <w:sz w:val="24"/>
          <w:szCs w:val="24"/>
          <w:lang w:eastAsia="en-GB"/>
        </w:rPr>
        <w:t>652 S.W.2d 2</w:t>
      </w:r>
      <w:r w:rsidRPr="00E07D1B">
        <w:rPr>
          <w:rFonts w:ascii="Georgia" w:eastAsia="Times New Roman" w:hAnsi="Georgia" w:cs="Times New Roman"/>
          <w:sz w:val="24"/>
          <w:szCs w:val="24"/>
          <w:lang w:eastAsia="en-GB"/>
        </w:rPr>
        <w:t> (1983). Duty is a concept that arises out of the recognition that relations between individuals may impose upon one a legal obligation for the other. </w:t>
      </w:r>
      <w:r w:rsidRPr="00E07D1B">
        <w:rPr>
          <w:rFonts w:ascii="Georgia" w:eastAsia="Times New Roman" w:hAnsi="Georgia" w:cs="Times New Roman"/>
          <w:i/>
          <w:iCs/>
          <w:sz w:val="24"/>
          <w:szCs w:val="24"/>
          <w:lang w:eastAsia="en-GB"/>
        </w:rPr>
        <w:t>Shannon v. Wilson, </w:t>
      </w:r>
      <w:hyperlink r:id="rId10" w:history="1">
        <w:r w:rsidRPr="00E07D1B">
          <w:rPr>
            <w:rFonts w:ascii="Georgia" w:eastAsia="Times New Roman" w:hAnsi="Georgia" w:cs="Times New Roman"/>
            <w:color w:val="007BFF"/>
            <w:sz w:val="24"/>
            <w:szCs w:val="24"/>
            <w:lang w:eastAsia="en-GB"/>
          </w:rPr>
          <w:t>329 Ark. 143</w:t>
        </w:r>
      </w:hyperlink>
      <w:r w:rsidRPr="00E07D1B">
        <w:rPr>
          <w:rFonts w:ascii="Georgia" w:eastAsia="Times New Roman" w:hAnsi="Georgia" w:cs="Times New Roman"/>
          <w:sz w:val="24"/>
          <w:szCs w:val="24"/>
          <w:lang w:eastAsia="en-GB"/>
        </w:rPr>
        <w:t>, </w:t>
      </w:r>
      <w:r w:rsidRPr="00E07D1B">
        <w:rPr>
          <w:rFonts w:ascii="Georgia" w:eastAsia="Times New Roman" w:hAnsi="Georgia" w:cs="Times New Roman"/>
          <w:color w:val="007BFF"/>
          <w:sz w:val="24"/>
          <w:szCs w:val="24"/>
          <w:lang w:eastAsia="en-GB"/>
        </w:rPr>
        <w:t>947 S.W.2d 349</w:t>
      </w:r>
      <w:r w:rsidRPr="00E07D1B">
        <w:rPr>
          <w:rFonts w:ascii="Georgia" w:eastAsia="Times New Roman" w:hAnsi="Georgia" w:cs="Times New Roman"/>
          <w:sz w:val="24"/>
          <w:szCs w:val="24"/>
          <w:lang w:eastAsia="en-GB"/>
        </w:rPr>
        <w:t> (1997). The question of what duty, if any, is owed by one person to another is always a question of law. </w:t>
      </w:r>
      <w:r w:rsidRPr="00E07D1B">
        <w:rPr>
          <w:rFonts w:ascii="Georgia" w:eastAsia="Times New Roman" w:hAnsi="Georgia" w:cs="Times New Roman"/>
          <w:i/>
          <w:iCs/>
          <w:sz w:val="24"/>
          <w:szCs w:val="24"/>
          <w:lang w:eastAsia="en-GB"/>
        </w:rPr>
        <w:t>Heigle v. Miller, </w:t>
      </w:r>
      <w:hyperlink r:id="rId11" w:history="1">
        <w:r w:rsidRPr="00E07D1B">
          <w:rPr>
            <w:rFonts w:ascii="Georgia" w:eastAsia="Times New Roman" w:hAnsi="Georgia" w:cs="Times New Roman"/>
            <w:color w:val="007BFF"/>
            <w:sz w:val="24"/>
            <w:szCs w:val="24"/>
            <w:lang w:eastAsia="en-GB"/>
          </w:rPr>
          <w:t>332 Ark. 315</w:t>
        </w:r>
      </w:hyperlink>
      <w:r w:rsidRPr="00E07D1B">
        <w:rPr>
          <w:rFonts w:ascii="Georgia" w:eastAsia="Times New Roman" w:hAnsi="Georgia" w:cs="Times New Roman"/>
          <w:sz w:val="24"/>
          <w:szCs w:val="24"/>
          <w:lang w:eastAsia="en-GB"/>
        </w:rPr>
        <w:t>, </w:t>
      </w:r>
      <w:r w:rsidRPr="00E07D1B">
        <w:rPr>
          <w:rFonts w:ascii="Georgia" w:eastAsia="Times New Roman" w:hAnsi="Georgia" w:cs="Times New Roman"/>
          <w:color w:val="007BFF"/>
          <w:sz w:val="24"/>
          <w:szCs w:val="24"/>
          <w:lang w:eastAsia="en-GB"/>
        </w:rPr>
        <w:t>965 S.W.2d 116</w:t>
      </w:r>
      <w:r w:rsidRPr="00E07D1B">
        <w:rPr>
          <w:rFonts w:ascii="Georgia" w:eastAsia="Times New Roman" w:hAnsi="Georgia" w:cs="Times New Roman"/>
          <w:sz w:val="24"/>
          <w:szCs w:val="24"/>
          <w:lang w:eastAsia="en-GB"/>
        </w:rPr>
        <w:t> (1998).</w:t>
      </w:r>
    </w:p>
    <w:p w14:paraId="314506D4" w14:textId="28A6BC12" w:rsidR="00E07D1B" w:rsidRPr="00E07D1B" w:rsidRDefault="00E07D1B" w:rsidP="00E07D1B">
      <w:pPr>
        <w:spacing w:before="100" w:beforeAutospacing="1" w:after="225" w:line="240" w:lineRule="auto"/>
        <w:rPr>
          <w:rFonts w:ascii="Georgia" w:eastAsia="Times New Roman" w:hAnsi="Georgia" w:cs="Times New Roman"/>
          <w:sz w:val="24"/>
          <w:szCs w:val="24"/>
          <w:lang w:eastAsia="en-GB"/>
        </w:rPr>
      </w:pPr>
      <w:r w:rsidRPr="00E07D1B">
        <w:rPr>
          <w:rFonts w:ascii="Georgia" w:eastAsia="Times New Roman" w:hAnsi="Georgia" w:cs="Times New Roman"/>
          <w:sz w:val="24"/>
          <w:szCs w:val="24"/>
          <w:highlight w:val="green"/>
          <w:lang w:eastAsia="en-GB"/>
        </w:rPr>
        <w:t>The Maneths assert that Tucker was a social guest, albeit an uninvited one, and that they only owed him the duty that a landowner owes a licensee. We agree. Although Tucker was not invited to the Maneths’ house, Jeff and Darcy obviously acquiesced in his attendance at the party. A social guest is a licensee.</w:t>
      </w:r>
      <w:r w:rsidRPr="00E07D1B">
        <w:rPr>
          <w:rFonts w:ascii="Georgia" w:eastAsia="Times New Roman" w:hAnsi="Georgia" w:cs="Times New Roman"/>
          <w:sz w:val="24"/>
          <w:szCs w:val="24"/>
          <w:lang w:eastAsia="en-GB"/>
        </w:rPr>
        <w:t> </w:t>
      </w:r>
      <w:r w:rsidRPr="00EF65B2">
        <w:rPr>
          <w:rFonts w:ascii="Georgia" w:eastAsia="Times New Roman" w:hAnsi="Georgia" w:cs="Times New Roman"/>
          <w:i/>
          <w:iCs/>
          <w:sz w:val="24"/>
          <w:szCs w:val="24"/>
          <w:highlight w:val="cyan"/>
          <w:lang w:eastAsia="en-GB"/>
        </w:rPr>
        <w:t>Tucker v. Sullivan, </w:t>
      </w:r>
      <w:hyperlink r:id="rId12" w:history="1">
        <w:r w:rsidRPr="00EF65B2">
          <w:rPr>
            <w:rFonts w:ascii="Georgia" w:eastAsia="Times New Roman" w:hAnsi="Georgia" w:cs="Times New Roman"/>
            <w:color w:val="007BFF"/>
            <w:sz w:val="24"/>
            <w:szCs w:val="24"/>
            <w:highlight w:val="cyan"/>
            <w:lang w:eastAsia="en-GB"/>
          </w:rPr>
          <w:t>307 Ark. 440</w:t>
        </w:r>
      </w:hyperlink>
      <w:r w:rsidRPr="00E07D1B">
        <w:rPr>
          <w:rFonts w:ascii="Georgia" w:eastAsia="Times New Roman" w:hAnsi="Georgia" w:cs="Times New Roman"/>
          <w:sz w:val="24"/>
          <w:szCs w:val="24"/>
          <w:highlight w:val="cyan"/>
          <w:lang w:eastAsia="en-GB"/>
        </w:rPr>
        <w:t>, </w:t>
      </w:r>
      <w:r w:rsidRPr="00EF65B2">
        <w:rPr>
          <w:rFonts w:ascii="Georgia" w:eastAsia="Times New Roman" w:hAnsi="Georgia" w:cs="Times New Roman"/>
          <w:color w:val="007BFF"/>
          <w:sz w:val="24"/>
          <w:szCs w:val="24"/>
          <w:highlight w:val="cyan"/>
          <w:lang w:eastAsia="en-GB"/>
        </w:rPr>
        <w:t>821 S.W.2d 470</w:t>
      </w:r>
      <w:r w:rsidRPr="00E07D1B">
        <w:rPr>
          <w:rFonts w:ascii="Georgia" w:eastAsia="Times New Roman" w:hAnsi="Georgia" w:cs="Times New Roman"/>
          <w:sz w:val="24"/>
          <w:szCs w:val="24"/>
          <w:highlight w:val="cyan"/>
          <w:lang w:eastAsia="en-GB"/>
        </w:rPr>
        <w:t> (1991).</w:t>
      </w:r>
      <w:r w:rsidRPr="00E07D1B">
        <w:rPr>
          <w:rFonts w:ascii="Georgia" w:eastAsia="Times New Roman" w:hAnsi="Georgia" w:cs="Times New Roman"/>
          <w:sz w:val="24"/>
          <w:szCs w:val="24"/>
          <w:lang w:eastAsia="en-GB"/>
        </w:rPr>
        <w:t xml:space="preserve"> The duty owed by a landowner to a licensee is to refrain from wantonly or wilfully causing injury. </w:t>
      </w:r>
      <w:r w:rsidRPr="00EF65B2">
        <w:rPr>
          <w:rFonts w:ascii="Georgia" w:eastAsia="Times New Roman" w:hAnsi="Georgia" w:cs="Times New Roman"/>
          <w:i/>
          <w:iCs/>
          <w:sz w:val="24"/>
          <w:szCs w:val="24"/>
          <w:highlight w:val="cyan"/>
          <w:lang w:eastAsia="en-GB"/>
        </w:rPr>
        <w:t>Guthrie v. Tyson Foods, Inc., </w:t>
      </w:r>
      <w:hyperlink r:id="rId13" w:history="1">
        <w:r w:rsidRPr="00EF65B2">
          <w:rPr>
            <w:rFonts w:ascii="Georgia" w:eastAsia="Times New Roman" w:hAnsi="Georgia" w:cs="Times New Roman"/>
            <w:color w:val="007BFF"/>
            <w:sz w:val="24"/>
            <w:szCs w:val="24"/>
            <w:highlight w:val="cyan"/>
            <w:lang w:eastAsia="en-GB"/>
          </w:rPr>
          <w:t xml:space="preserve">285 Ark. </w:t>
        </w:r>
        <w:r w:rsidRPr="00EF65B2">
          <w:rPr>
            <w:rFonts w:ascii="Georgia" w:eastAsia="Times New Roman" w:hAnsi="Georgia" w:cs="Times New Roman"/>
            <w:color w:val="007BFF"/>
            <w:sz w:val="24"/>
            <w:szCs w:val="24"/>
            <w:highlight w:val="cyan"/>
            <w:lang w:eastAsia="en-GB"/>
          </w:rPr>
          <w:lastRenderedPageBreak/>
          <w:t>95</w:t>
        </w:r>
      </w:hyperlink>
      <w:r w:rsidRPr="00E07D1B">
        <w:rPr>
          <w:rFonts w:ascii="Georgia" w:eastAsia="Times New Roman" w:hAnsi="Georgia" w:cs="Times New Roman"/>
          <w:sz w:val="24"/>
          <w:szCs w:val="24"/>
          <w:highlight w:val="cyan"/>
          <w:lang w:eastAsia="en-GB"/>
        </w:rPr>
        <w:t>, </w:t>
      </w:r>
      <w:r w:rsidRPr="00EF65B2">
        <w:rPr>
          <w:rFonts w:ascii="Georgia" w:eastAsia="Times New Roman" w:hAnsi="Georgia" w:cs="Times New Roman"/>
          <w:color w:val="007BFF"/>
          <w:sz w:val="24"/>
          <w:szCs w:val="24"/>
          <w:highlight w:val="cyan"/>
          <w:lang w:eastAsia="en-GB"/>
        </w:rPr>
        <w:t>685 S.W.2d 164</w:t>
      </w:r>
      <w:r w:rsidRPr="00E07D1B">
        <w:rPr>
          <w:rFonts w:ascii="Georgia" w:eastAsia="Times New Roman" w:hAnsi="Georgia" w:cs="Times New Roman"/>
          <w:sz w:val="24"/>
          <w:szCs w:val="24"/>
          <w:highlight w:val="cyan"/>
          <w:lang w:eastAsia="en-GB"/>
        </w:rPr>
        <w:t> (1985).</w:t>
      </w:r>
      <w:r w:rsidRPr="00E07D1B">
        <w:rPr>
          <w:rFonts w:ascii="Georgia" w:eastAsia="Times New Roman" w:hAnsi="Georgia" w:cs="Times New Roman"/>
          <w:sz w:val="24"/>
          <w:szCs w:val="24"/>
          <w:lang w:eastAsia="en-GB"/>
        </w:rPr>
        <w:t xml:space="preserve"> To constitute willful or wanton conduct there must be a course of action that shows a deliberate intention to harm or that shows utter indifference to, or conscious disregard of, the safety of others. </w:t>
      </w:r>
      <w:r w:rsidRPr="00EF65B2">
        <w:rPr>
          <w:rFonts w:ascii="Georgia" w:eastAsia="Times New Roman" w:hAnsi="Georgia" w:cs="Times New Roman"/>
          <w:i/>
          <w:iCs/>
          <w:sz w:val="24"/>
          <w:szCs w:val="24"/>
          <w:highlight w:val="cyan"/>
          <w:lang w:eastAsia="en-GB"/>
        </w:rPr>
        <w:t>Lively v. Libbey Memorial Physical Medicine Ctr., Inc., </w:t>
      </w:r>
      <w:hyperlink r:id="rId14" w:history="1">
        <w:r w:rsidRPr="00EF65B2">
          <w:rPr>
            <w:rFonts w:ascii="Georgia" w:eastAsia="Times New Roman" w:hAnsi="Georgia" w:cs="Times New Roman"/>
            <w:color w:val="007BFF"/>
            <w:sz w:val="24"/>
            <w:szCs w:val="24"/>
            <w:highlight w:val="cyan"/>
            <w:lang w:eastAsia="en-GB"/>
          </w:rPr>
          <w:t>311 Ark. 41</w:t>
        </w:r>
      </w:hyperlink>
      <w:r w:rsidRPr="00E07D1B">
        <w:rPr>
          <w:rFonts w:ascii="Georgia" w:eastAsia="Times New Roman" w:hAnsi="Georgia" w:cs="Times New Roman"/>
          <w:sz w:val="24"/>
          <w:szCs w:val="24"/>
          <w:highlight w:val="cyan"/>
          <w:lang w:eastAsia="en-GB"/>
        </w:rPr>
        <w:t>, </w:t>
      </w:r>
      <w:r w:rsidRPr="00EF65B2">
        <w:rPr>
          <w:rFonts w:ascii="Georgia" w:eastAsia="Times New Roman" w:hAnsi="Georgia" w:cs="Times New Roman"/>
          <w:color w:val="007BFF"/>
          <w:sz w:val="24"/>
          <w:szCs w:val="24"/>
          <w:highlight w:val="cyan"/>
          <w:lang w:eastAsia="en-GB"/>
        </w:rPr>
        <w:t>841 S.W.2d 609</w:t>
      </w:r>
      <w:r w:rsidRPr="00E07D1B">
        <w:rPr>
          <w:rFonts w:ascii="Georgia" w:eastAsia="Times New Roman" w:hAnsi="Georgia" w:cs="Times New Roman"/>
          <w:sz w:val="24"/>
          <w:szCs w:val="24"/>
          <w:highlight w:val="cyan"/>
          <w:lang w:eastAsia="en-GB"/>
        </w:rPr>
        <w:t> (1992).</w:t>
      </w:r>
      <w:r w:rsidRPr="00E07D1B">
        <w:rPr>
          <w:rFonts w:ascii="Georgia" w:eastAsia="Times New Roman" w:hAnsi="Georgia" w:cs="Times New Roman"/>
          <w:sz w:val="24"/>
          <w:szCs w:val="24"/>
          <w:lang w:eastAsia="en-GB"/>
        </w:rPr>
        <w:t xml:space="preserve"> While the owner of property owes no duty to make the premises safe for licensees, nor is he required to warn them of obvious or patent dangers, there should be a duty to warn such person of hidden dangers known to the owner. </w:t>
      </w:r>
      <w:r w:rsidRPr="00EF65B2">
        <w:rPr>
          <w:rFonts w:ascii="Georgia" w:eastAsia="Times New Roman" w:hAnsi="Georgia" w:cs="Times New Roman"/>
          <w:i/>
          <w:iCs/>
          <w:sz w:val="24"/>
          <w:szCs w:val="24"/>
          <w:highlight w:val="cyan"/>
          <w:lang w:eastAsia="en-GB"/>
        </w:rPr>
        <w:t>Dorton v. Francisco, </w:t>
      </w:r>
      <w:hyperlink r:id="rId15" w:history="1">
        <w:r w:rsidRPr="00EF65B2">
          <w:rPr>
            <w:rFonts w:ascii="Georgia" w:eastAsia="Times New Roman" w:hAnsi="Georgia" w:cs="Times New Roman"/>
            <w:color w:val="007BFF"/>
            <w:sz w:val="24"/>
            <w:szCs w:val="24"/>
            <w:highlight w:val="cyan"/>
            <w:lang w:eastAsia="en-GB"/>
          </w:rPr>
          <w:t>309 Ark. 472</w:t>
        </w:r>
      </w:hyperlink>
      <w:r w:rsidRPr="00E07D1B">
        <w:rPr>
          <w:rFonts w:ascii="Georgia" w:eastAsia="Times New Roman" w:hAnsi="Georgia" w:cs="Times New Roman"/>
          <w:sz w:val="24"/>
          <w:szCs w:val="24"/>
          <w:highlight w:val="cyan"/>
          <w:lang w:eastAsia="en-GB"/>
        </w:rPr>
        <w:t>, </w:t>
      </w:r>
      <w:r w:rsidRPr="00EF65B2">
        <w:rPr>
          <w:rFonts w:ascii="Georgia" w:eastAsia="Times New Roman" w:hAnsi="Georgia" w:cs="Times New Roman"/>
          <w:color w:val="007BFF"/>
          <w:sz w:val="24"/>
          <w:szCs w:val="24"/>
          <w:highlight w:val="cyan"/>
          <w:lang w:eastAsia="en-GB"/>
        </w:rPr>
        <w:t>833 S.W.2d 362</w:t>
      </w:r>
      <w:r w:rsidRPr="00E07D1B">
        <w:rPr>
          <w:rFonts w:ascii="Georgia" w:eastAsia="Times New Roman" w:hAnsi="Georgia" w:cs="Times New Roman"/>
          <w:sz w:val="24"/>
          <w:szCs w:val="24"/>
          <w:highlight w:val="cyan"/>
          <w:lang w:eastAsia="en-GB"/>
        </w:rPr>
        <w:t> (1992).</w:t>
      </w:r>
      <w:r w:rsidRPr="00E07D1B">
        <w:rPr>
          <w:rFonts w:ascii="Georgia" w:eastAsia="Times New Roman" w:hAnsi="Georgia" w:cs="Times New Roman"/>
          <w:sz w:val="24"/>
          <w:szCs w:val="24"/>
          <w:lang w:eastAsia="en-GB"/>
        </w:rPr>
        <w:t xml:space="preserve"> The duty to warn does not extend to dangers or risks that the trespasser or licensee should have been expected to recognize. </w:t>
      </w:r>
      <w:r w:rsidRPr="00E07D1B">
        <w:rPr>
          <w:rFonts w:ascii="Georgia" w:eastAsia="Times New Roman" w:hAnsi="Georgia" w:cs="Times New Roman"/>
          <w:i/>
          <w:iCs/>
          <w:sz w:val="24"/>
          <w:szCs w:val="24"/>
          <w:lang w:eastAsia="en-GB"/>
        </w:rPr>
        <w:t xml:space="preserve">Id.; </w:t>
      </w:r>
      <w:r w:rsidRPr="00EF65B2">
        <w:rPr>
          <w:rFonts w:ascii="Georgia" w:eastAsia="Times New Roman" w:hAnsi="Georgia" w:cs="Times New Roman"/>
          <w:i/>
          <w:iCs/>
          <w:sz w:val="24"/>
          <w:szCs w:val="24"/>
          <w:highlight w:val="cyan"/>
          <w:lang w:eastAsia="en-GB"/>
        </w:rPr>
        <w:t>King v. Jackson, </w:t>
      </w:r>
      <w:hyperlink r:id="rId16" w:history="1">
        <w:r w:rsidRPr="00EF65B2">
          <w:rPr>
            <w:rFonts w:ascii="Georgia" w:eastAsia="Times New Roman" w:hAnsi="Georgia" w:cs="Times New Roman"/>
            <w:color w:val="007BFF"/>
            <w:sz w:val="24"/>
            <w:szCs w:val="24"/>
            <w:highlight w:val="cyan"/>
            <w:lang w:eastAsia="en-GB"/>
          </w:rPr>
          <w:t>302 Ark. 540</w:t>
        </w:r>
      </w:hyperlink>
      <w:r w:rsidRPr="00E07D1B">
        <w:rPr>
          <w:rFonts w:ascii="Georgia" w:eastAsia="Times New Roman" w:hAnsi="Georgia" w:cs="Times New Roman"/>
          <w:sz w:val="24"/>
          <w:szCs w:val="24"/>
          <w:highlight w:val="cyan"/>
          <w:lang w:eastAsia="en-GB"/>
        </w:rPr>
        <w:t>, </w:t>
      </w:r>
      <w:r w:rsidRPr="00EF65B2">
        <w:rPr>
          <w:rFonts w:ascii="Georgia" w:eastAsia="Times New Roman" w:hAnsi="Georgia" w:cs="Times New Roman"/>
          <w:color w:val="007BFF"/>
          <w:sz w:val="24"/>
          <w:szCs w:val="24"/>
          <w:highlight w:val="cyan"/>
          <w:lang w:eastAsia="en-GB"/>
        </w:rPr>
        <w:t>790 S.W.2d 904</w:t>
      </w:r>
      <w:r w:rsidRPr="00E07D1B">
        <w:rPr>
          <w:rFonts w:ascii="Georgia" w:eastAsia="Times New Roman" w:hAnsi="Georgia" w:cs="Times New Roman"/>
          <w:sz w:val="24"/>
          <w:szCs w:val="24"/>
          <w:highlight w:val="cyan"/>
          <w:lang w:eastAsia="en-GB"/>
        </w:rPr>
        <w:t> (1990).</w:t>
      </w:r>
    </w:p>
    <w:p w14:paraId="314506D5" w14:textId="14590F40" w:rsidR="00E07D1B" w:rsidRPr="00E07D1B" w:rsidRDefault="00E07D1B" w:rsidP="00E07D1B">
      <w:pPr>
        <w:spacing w:before="100" w:beforeAutospacing="1" w:after="225" w:line="240" w:lineRule="auto"/>
        <w:rPr>
          <w:rFonts w:ascii="Georgia" w:eastAsia="Times New Roman" w:hAnsi="Georgia" w:cs="Times New Roman"/>
          <w:sz w:val="24"/>
          <w:szCs w:val="24"/>
          <w:lang w:eastAsia="en-GB"/>
        </w:rPr>
      </w:pPr>
      <w:r w:rsidRPr="00E07D1B">
        <w:rPr>
          <w:rFonts w:ascii="Georgia" w:eastAsia="Times New Roman" w:hAnsi="Georgia" w:cs="Times New Roman"/>
          <w:sz w:val="24"/>
          <w:szCs w:val="24"/>
          <w:lang w:eastAsia="en-GB"/>
        </w:rPr>
        <w:t>Tucker argues that the case involves not only the question of a landowner’s duty to a social guest but also the Maneths’ legal duty as parents to supervise their children. Tucker concedes that the family-purpose doctrine has not been accepted in Arkansas and that the Arkansas Supreme Court has held that the negligence of a child cannot be imputed to the parent merely because of the parental relationship. </w:t>
      </w:r>
      <w:r w:rsidRPr="00EF65B2">
        <w:rPr>
          <w:rFonts w:ascii="Georgia" w:eastAsia="Times New Roman" w:hAnsi="Georgia" w:cs="Times New Roman"/>
          <w:i/>
          <w:iCs/>
          <w:sz w:val="24"/>
          <w:szCs w:val="24"/>
          <w:highlight w:val="cyan"/>
          <w:lang w:eastAsia="en-GB"/>
        </w:rPr>
        <w:t>Bieker v. Owens, </w:t>
      </w:r>
      <w:hyperlink r:id="rId17" w:history="1">
        <w:r w:rsidRPr="00EF65B2">
          <w:rPr>
            <w:rFonts w:ascii="Georgia" w:eastAsia="Times New Roman" w:hAnsi="Georgia" w:cs="Times New Roman"/>
            <w:color w:val="007BFF"/>
            <w:sz w:val="24"/>
            <w:szCs w:val="24"/>
            <w:highlight w:val="cyan"/>
            <w:lang w:eastAsia="en-GB"/>
          </w:rPr>
          <w:t>234 Ark. 97</w:t>
        </w:r>
      </w:hyperlink>
      <w:r w:rsidRPr="00E07D1B">
        <w:rPr>
          <w:rFonts w:ascii="Georgia" w:eastAsia="Times New Roman" w:hAnsi="Georgia" w:cs="Times New Roman"/>
          <w:sz w:val="24"/>
          <w:szCs w:val="24"/>
          <w:highlight w:val="cyan"/>
          <w:lang w:eastAsia="en-GB"/>
        </w:rPr>
        <w:t>, </w:t>
      </w:r>
      <w:r w:rsidRPr="00EF65B2">
        <w:rPr>
          <w:rFonts w:ascii="Georgia" w:eastAsia="Times New Roman" w:hAnsi="Georgia" w:cs="Times New Roman"/>
          <w:color w:val="007BFF"/>
          <w:sz w:val="24"/>
          <w:szCs w:val="24"/>
          <w:highlight w:val="cyan"/>
          <w:lang w:eastAsia="en-GB"/>
        </w:rPr>
        <w:t>350 S.W.2d 522</w:t>
      </w:r>
      <w:r w:rsidRPr="00E07D1B">
        <w:rPr>
          <w:rFonts w:ascii="Georgia" w:eastAsia="Times New Roman" w:hAnsi="Georgia" w:cs="Times New Roman"/>
          <w:sz w:val="24"/>
          <w:szCs w:val="24"/>
          <w:highlight w:val="cyan"/>
          <w:lang w:eastAsia="en-GB"/>
        </w:rPr>
        <w:t> (1961).</w:t>
      </w:r>
      <w:r w:rsidRPr="00E07D1B">
        <w:rPr>
          <w:rFonts w:ascii="Georgia" w:eastAsia="Times New Roman" w:hAnsi="Georgia" w:cs="Times New Roman"/>
          <w:sz w:val="24"/>
          <w:szCs w:val="24"/>
          <w:lang w:eastAsia="en-GB"/>
        </w:rPr>
        <w:t> </w:t>
      </w:r>
      <w:hyperlink r:id="rId18" w:anchor="p146" w:history="1">
        <w:r w:rsidRPr="00E07D1B">
          <w:rPr>
            <w:rFonts w:ascii="Georgia" w:eastAsia="Times New Roman" w:hAnsi="Georgia" w:cs="Times New Roman"/>
            <w:i/>
            <w:iCs/>
            <w:color w:val="979797"/>
            <w:sz w:val="19"/>
            <w:szCs w:val="19"/>
            <w:lang w:eastAsia="en-GB"/>
          </w:rPr>
          <w:t>*146</w:t>
        </w:r>
      </w:hyperlink>
      <w:r w:rsidRPr="00E07D1B">
        <w:rPr>
          <w:rFonts w:ascii="Georgia" w:eastAsia="Times New Roman" w:hAnsi="Georgia" w:cs="Times New Roman"/>
          <w:sz w:val="24"/>
          <w:szCs w:val="24"/>
          <w:lang w:eastAsia="en-GB"/>
        </w:rPr>
        <w:t>However, citing </w:t>
      </w:r>
      <w:r w:rsidRPr="00EF65B2">
        <w:rPr>
          <w:rFonts w:ascii="Georgia" w:eastAsia="Times New Roman" w:hAnsi="Georgia" w:cs="Times New Roman"/>
          <w:i/>
          <w:iCs/>
          <w:sz w:val="24"/>
          <w:szCs w:val="24"/>
          <w:highlight w:val="cyan"/>
          <w:lang w:eastAsia="en-GB"/>
        </w:rPr>
        <w:t>Bieker</w:t>
      </w:r>
      <w:r w:rsidRPr="00E07D1B">
        <w:rPr>
          <w:rFonts w:ascii="Georgia" w:eastAsia="Times New Roman" w:hAnsi="Georgia" w:cs="Times New Roman"/>
          <w:i/>
          <w:iCs/>
          <w:sz w:val="24"/>
          <w:szCs w:val="24"/>
          <w:lang w:eastAsia="en-GB"/>
        </w:rPr>
        <w:t>, supra, </w:t>
      </w:r>
      <w:r w:rsidRPr="00E07D1B">
        <w:rPr>
          <w:rFonts w:ascii="Georgia" w:eastAsia="Times New Roman" w:hAnsi="Georgia" w:cs="Times New Roman"/>
          <w:sz w:val="24"/>
          <w:szCs w:val="24"/>
          <w:lang w:eastAsia="en-GB"/>
        </w:rPr>
        <w:t>Tucker asserts that the question is whether the Maneths permitted their children to commit acts that could reasonably be expected to cause injury to another. In </w:t>
      </w:r>
      <w:r w:rsidRPr="00EF65B2">
        <w:rPr>
          <w:rFonts w:ascii="Georgia" w:eastAsia="Times New Roman" w:hAnsi="Georgia" w:cs="Times New Roman"/>
          <w:i/>
          <w:iCs/>
          <w:sz w:val="24"/>
          <w:szCs w:val="24"/>
          <w:highlight w:val="cyan"/>
          <w:lang w:eastAsia="en-GB"/>
        </w:rPr>
        <w:t>Farm Bureau Mutual Insurance Co. of Arkansas v. Henley, </w:t>
      </w:r>
      <w:r w:rsidRPr="00EF65B2">
        <w:rPr>
          <w:rFonts w:ascii="Georgia" w:eastAsia="Times New Roman" w:hAnsi="Georgia" w:cs="Times New Roman"/>
          <w:color w:val="007BFF"/>
          <w:sz w:val="24"/>
          <w:szCs w:val="24"/>
          <w:highlight w:val="cyan"/>
          <w:lang w:eastAsia="en-GB"/>
        </w:rPr>
        <w:t>275 Ark. 122</w:t>
      </w:r>
      <w:r w:rsidRPr="00E07D1B">
        <w:rPr>
          <w:rFonts w:ascii="Georgia" w:eastAsia="Times New Roman" w:hAnsi="Georgia" w:cs="Times New Roman"/>
          <w:sz w:val="24"/>
          <w:szCs w:val="24"/>
          <w:highlight w:val="cyan"/>
          <w:lang w:eastAsia="en-GB"/>
        </w:rPr>
        <w:t>, 124, </w:t>
      </w:r>
      <w:hyperlink r:id="rId19" w:history="1">
        <w:r w:rsidRPr="00EF65B2">
          <w:rPr>
            <w:rFonts w:ascii="Georgia" w:eastAsia="Times New Roman" w:hAnsi="Georgia" w:cs="Times New Roman"/>
            <w:color w:val="007BFF"/>
            <w:sz w:val="24"/>
            <w:szCs w:val="24"/>
            <w:highlight w:val="cyan"/>
            <w:lang w:eastAsia="en-GB"/>
          </w:rPr>
          <w:t>628 S.W.2d 301</w:t>
        </w:r>
      </w:hyperlink>
      <w:r w:rsidRPr="00E07D1B">
        <w:rPr>
          <w:rFonts w:ascii="Georgia" w:eastAsia="Times New Roman" w:hAnsi="Georgia" w:cs="Times New Roman"/>
          <w:sz w:val="24"/>
          <w:szCs w:val="24"/>
          <w:highlight w:val="cyan"/>
          <w:lang w:eastAsia="en-GB"/>
        </w:rPr>
        <w:t>, 302 (1982),</w:t>
      </w:r>
      <w:r w:rsidRPr="00E07D1B">
        <w:rPr>
          <w:rFonts w:ascii="Georgia" w:eastAsia="Times New Roman" w:hAnsi="Georgia" w:cs="Times New Roman"/>
          <w:sz w:val="24"/>
          <w:szCs w:val="24"/>
          <w:lang w:eastAsia="en-GB"/>
        </w:rPr>
        <w:t xml:space="preserve"> our supreme court discussed the requirements of parents as set forth in </w:t>
      </w:r>
      <w:r w:rsidRPr="00EF65B2">
        <w:rPr>
          <w:rFonts w:ascii="Georgia" w:eastAsia="Times New Roman" w:hAnsi="Georgia" w:cs="Times New Roman"/>
          <w:i/>
          <w:iCs/>
          <w:sz w:val="24"/>
          <w:szCs w:val="24"/>
          <w:highlight w:val="cyan"/>
          <w:lang w:eastAsia="en-GB"/>
        </w:rPr>
        <w:t>Bieker</w:t>
      </w:r>
      <w:r w:rsidRPr="00E07D1B">
        <w:rPr>
          <w:rFonts w:ascii="Georgia" w:eastAsia="Times New Roman" w:hAnsi="Georgia" w:cs="Times New Roman"/>
          <w:i/>
          <w:iCs/>
          <w:sz w:val="24"/>
          <w:szCs w:val="24"/>
          <w:lang w:eastAsia="en-GB"/>
        </w:rPr>
        <w:t>. </w:t>
      </w:r>
      <w:r w:rsidRPr="00E07D1B">
        <w:rPr>
          <w:rFonts w:ascii="Georgia" w:eastAsia="Times New Roman" w:hAnsi="Georgia" w:cs="Times New Roman"/>
          <w:sz w:val="24"/>
          <w:szCs w:val="24"/>
          <w:lang w:eastAsia="en-GB"/>
        </w:rPr>
        <w:t>The court stated:</w:t>
      </w:r>
    </w:p>
    <w:p w14:paraId="314506D6" w14:textId="2E9EBED4" w:rsidR="00E07D1B" w:rsidRPr="00E07D1B" w:rsidRDefault="00E07D1B" w:rsidP="00E07D1B">
      <w:pPr>
        <w:spacing w:after="100" w:line="240" w:lineRule="auto"/>
        <w:rPr>
          <w:rFonts w:ascii="Georgia" w:eastAsia="Times New Roman" w:hAnsi="Georgia" w:cs="Times New Roman"/>
          <w:color w:val="004FB3"/>
          <w:sz w:val="24"/>
          <w:szCs w:val="24"/>
          <w:lang w:eastAsia="en-GB"/>
        </w:rPr>
      </w:pPr>
      <w:r w:rsidRPr="00E07D1B">
        <w:rPr>
          <w:rFonts w:ascii="Georgia" w:eastAsia="Times New Roman" w:hAnsi="Georgia" w:cs="Times New Roman"/>
          <w:color w:val="004FB3"/>
          <w:sz w:val="24"/>
          <w:szCs w:val="24"/>
          <w:lang w:eastAsia="en-GB"/>
        </w:rPr>
        <w:t>The issue of negligent supervision was thoroughly discussed in </w:t>
      </w:r>
      <w:r w:rsidRPr="00EF65B2">
        <w:rPr>
          <w:rFonts w:ascii="Georgia" w:eastAsia="Times New Roman" w:hAnsi="Georgia" w:cs="Times New Roman"/>
          <w:i/>
          <w:iCs/>
          <w:color w:val="004FB3"/>
          <w:sz w:val="24"/>
          <w:szCs w:val="24"/>
          <w:highlight w:val="cyan"/>
          <w:lang w:eastAsia="en-GB"/>
        </w:rPr>
        <w:t>Bieker v. Owens, </w:t>
      </w:r>
      <w:r w:rsidRPr="00EF65B2">
        <w:rPr>
          <w:rFonts w:ascii="Georgia" w:eastAsia="Times New Roman" w:hAnsi="Georgia" w:cs="Times New Roman"/>
          <w:color w:val="007BFF"/>
          <w:sz w:val="24"/>
          <w:szCs w:val="24"/>
          <w:highlight w:val="cyan"/>
          <w:lang w:eastAsia="en-GB"/>
        </w:rPr>
        <w:t>234 Ark. 97</w:t>
      </w:r>
      <w:r w:rsidRPr="00E07D1B">
        <w:rPr>
          <w:rFonts w:ascii="Georgia" w:eastAsia="Times New Roman" w:hAnsi="Georgia" w:cs="Times New Roman"/>
          <w:color w:val="004FB3"/>
          <w:sz w:val="24"/>
          <w:szCs w:val="24"/>
          <w:highlight w:val="cyan"/>
          <w:lang w:eastAsia="en-GB"/>
        </w:rPr>
        <w:t>, </w:t>
      </w:r>
      <w:hyperlink r:id="rId20" w:history="1">
        <w:r w:rsidRPr="00EF65B2">
          <w:rPr>
            <w:rFonts w:ascii="Georgia" w:eastAsia="Times New Roman" w:hAnsi="Georgia" w:cs="Times New Roman"/>
            <w:color w:val="007BFF"/>
            <w:sz w:val="24"/>
            <w:szCs w:val="24"/>
            <w:highlight w:val="cyan"/>
            <w:lang w:eastAsia="en-GB"/>
          </w:rPr>
          <w:t>350 S.W.2d 522</w:t>
        </w:r>
      </w:hyperlink>
      <w:r w:rsidRPr="00E07D1B">
        <w:rPr>
          <w:rFonts w:ascii="Georgia" w:eastAsia="Times New Roman" w:hAnsi="Georgia" w:cs="Times New Roman"/>
          <w:color w:val="004FB3"/>
          <w:sz w:val="24"/>
          <w:szCs w:val="24"/>
          <w:highlight w:val="cyan"/>
          <w:lang w:eastAsia="en-GB"/>
        </w:rPr>
        <w:t> (1961)</w:t>
      </w:r>
      <w:r w:rsidRPr="00E07D1B">
        <w:rPr>
          <w:rFonts w:ascii="Georgia" w:eastAsia="Times New Roman" w:hAnsi="Georgia" w:cs="Times New Roman"/>
          <w:color w:val="004FB3"/>
          <w:sz w:val="24"/>
          <w:szCs w:val="24"/>
          <w:lang w:eastAsia="en-GB"/>
        </w:rPr>
        <w:t xml:space="preserve"> where we stated:</w:t>
      </w:r>
    </w:p>
    <w:p w14:paraId="314506D7" w14:textId="77777777" w:rsidR="00E07D1B" w:rsidRPr="00E07D1B" w:rsidRDefault="00E07D1B" w:rsidP="00E07D1B">
      <w:pPr>
        <w:spacing w:after="100" w:line="240" w:lineRule="auto"/>
        <w:rPr>
          <w:rFonts w:ascii="Georgia" w:eastAsia="Times New Roman" w:hAnsi="Georgia" w:cs="Times New Roman"/>
          <w:color w:val="004FB3"/>
          <w:sz w:val="24"/>
          <w:szCs w:val="24"/>
          <w:lang w:eastAsia="en-GB"/>
        </w:rPr>
      </w:pPr>
      <w:r w:rsidRPr="00E07D1B">
        <w:rPr>
          <w:rFonts w:ascii="Georgia" w:eastAsia="Times New Roman" w:hAnsi="Georgia" w:cs="Times New Roman"/>
          <w:color w:val="004FB3"/>
          <w:sz w:val="24"/>
          <w:szCs w:val="24"/>
          <w:lang w:eastAsia="en-GB"/>
        </w:rPr>
        <w:t>Since each human mind and personality is exclusively that of the individual possessing it, it would be unreasonable to place an absolute responsibility for the acts of another on any person. But where the parent (1) has the opportunity and ability to control a minor, and (2) has knowledge of the tendency or proclivity of the minor to commit acts which could normally be expected to cause injury to others, and (3) after having such opportunity, ability and knowledge has failed to exercise reasonable means of controlling the minor or appreciably reduce the likelihood of injury to others because of the minor’s acts, the parent should be made to respond to those who have been injured by such acts of the minor....</w:t>
      </w:r>
    </w:p>
    <w:p w14:paraId="314506D8" w14:textId="77777777" w:rsidR="00E07D1B" w:rsidRPr="00E07D1B" w:rsidRDefault="00E07D1B" w:rsidP="00E07D1B">
      <w:pPr>
        <w:spacing w:after="100" w:line="240" w:lineRule="auto"/>
        <w:rPr>
          <w:rFonts w:ascii="Georgia" w:eastAsia="Times New Roman" w:hAnsi="Georgia" w:cs="Times New Roman"/>
          <w:color w:val="004FB3"/>
          <w:sz w:val="24"/>
          <w:szCs w:val="24"/>
          <w:lang w:eastAsia="en-GB"/>
        </w:rPr>
      </w:pPr>
      <w:r w:rsidRPr="00E07D1B">
        <w:rPr>
          <w:rFonts w:ascii="Georgia" w:eastAsia="Times New Roman" w:hAnsi="Georgia" w:cs="Times New Roman"/>
          <w:color w:val="004FB3"/>
          <w:sz w:val="24"/>
          <w:szCs w:val="24"/>
          <w:lang w:eastAsia="en-GB"/>
        </w:rPr>
        <w:t>We then stated that the parent is not liable when there is nothing to show any knowledge by the parent of a line of conduct on the part of the child.</w:t>
      </w:r>
    </w:p>
    <w:p w14:paraId="314506D9" w14:textId="243CAB39" w:rsidR="00E07D1B" w:rsidRPr="00E07D1B" w:rsidRDefault="00E07D1B" w:rsidP="00E07D1B">
      <w:pPr>
        <w:spacing w:before="100" w:beforeAutospacing="1" w:after="225" w:line="240" w:lineRule="auto"/>
        <w:rPr>
          <w:rFonts w:ascii="Georgia" w:eastAsia="Times New Roman" w:hAnsi="Georgia" w:cs="Times New Roman"/>
          <w:sz w:val="24"/>
          <w:szCs w:val="24"/>
          <w:lang w:eastAsia="en-GB"/>
        </w:rPr>
      </w:pPr>
      <w:r w:rsidRPr="00E07D1B">
        <w:rPr>
          <w:rFonts w:ascii="Georgia" w:eastAsia="Times New Roman" w:hAnsi="Georgia" w:cs="Times New Roman"/>
          <w:sz w:val="24"/>
          <w:szCs w:val="24"/>
          <w:lang w:eastAsia="en-GB"/>
        </w:rPr>
        <w:t xml:space="preserve">Tucker asserts that the Maneths had notice that at least eleven teenagers would be unsupervised at their home for a party on a weekend; that they knew there were more teenagers at their home than what was originally planned; and that they learned through a phone call to Darcy that the Saturday night party had “gotten out of hand.” Tucker asserts that the Maneths had this knowledge prior to his injury and took no steps to protect him and others who were guests that Saturday night. He argues that it was foreseeable that Tucker would be in danger given the numbers of teenagers at the party, the fact that the party was unsupervised, and the fact that alcohol was present at the party. His arguments are unavailing based on the evidence in the record. </w:t>
      </w:r>
      <w:r w:rsidRPr="00E07D1B">
        <w:rPr>
          <w:rFonts w:ascii="Georgia" w:eastAsia="Times New Roman" w:hAnsi="Georgia" w:cs="Times New Roman"/>
          <w:sz w:val="24"/>
          <w:szCs w:val="24"/>
          <w:highlight w:val="green"/>
          <w:lang w:eastAsia="en-GB"/>
        </w:rPr>
        <w:t>Under </w:t>
      </w:r>
      <w:r w:rsidRPr="00EF65B2">
        <w:rPr>
          <w:rFonts w:ascii="Georgia" w:eastAsia="Times New Roman" w:hAnsi="Georgia" w:cs="Times New Roman"/>
          <w:i/>
          <w:iCs/>
          <w:sz w:val="24"/>
          <w:szCs w:val="24"/>
          <w:highlight w:val="cyan"/>
          <w:lang w:eastAsia="en-GB"/>
        </w:rPr>
        <w:t>Bieker</w:t>
      </w:r>
      <w:r w:rsidRPr="00EF65B2">
        <w:rPr>
          <w:rFonts w:ascii="Georgia" w:eastAsia="Times New Roman" w:hAnsi="Georgia" w:cs="Times New Roman"/>
          <w:i/>
          <w:iCs/>
          <w:sz w:val="24"/>
          <w:szCs w:val="24"/>
          <w:highlight w:val="green"/>
          <w:lang w:eastAsia="en-GB"/>
        </w:rPr>
        <w:t>, </w:t>
      </w:r>
      <w:r w:rsidRPr="00E07D1B">
        <w:rPr>
          <w:rFonts w:ascii="Georgia" w:eastAsia="Times New Roman" w:hAnsi="Georgia" w:cs="Times New Roman"/>
          <w:sz w:val="24"/>
          <w:szCs w:val="24"/>
          <w:highlight w:val="green"/>
          <w:lang w:eastAsia="en-GB"/>
        </w:rPr>
        <w:t xml:space="preserve">there is no basis to find the Maneths liable for negligent supervision. The parent is not liable when there is nothing to show any knowledge by the parent of a line of conduct on the part of the child. </w:t>
      </w:r>
      <w:r w:rsidRPr="00E07D1B">
        <w:rPr>
          <w:rFonts w:ascii="Georgia" w:eastAsia="Times New Roman" w:hAnsi="Georgia" w:cs="Times New Roman"/>
          <w:sz w:val="24"/>
          <w:szCs w:val="24"/>
          <w:lang w:eastAsia="en-GB"/>
        </w:rPr>
        <w:t xml:space="preserve">Here, testimony was uncontradicted that </w:t>
      </w:r>
      <w:r w:rsidRPr="00E07D1B">
        <w:rPr>
          <w:rFonts w:ascii="Georgia" w:eastAsia="Times New Roman" w:hAnsi="Georgia" w:cs="Times New Roman"/>
          <w:sz w:val="24"/>
          <w:szCs w:val="24"/>
          <w:highlight w:val="yellow"/>
          <w:lang w:eastAsia="en-GB"/>
        </w:rPr>
        <w:t>Darcy, the only person under eighteen, had not engaged in throwing parties or even been in any </w:t>
      </w:r>
      <w:r w:rsidRPr="00EF65B2">
        <w:rPr>
          <w:rFonts w:ascii="Georgia" w:eastAsia="Times New Roman" w:hAnsi="Georgia" w:cs="Times New Roman"/>
          <w:i/>
          <w:iCs/>
          <w:color w:val="979797"/>
          <w:sz w:val="19"/>
          <w:szCs w:val="19"/>
          <w:highlight w:val="yellow"/>
          <w:lang w:eastAsia="en-GB"/>
        </w:rPr>
        <w:t>*147</w:t>
      </w:r>
      <w:r w:rsidRPr="00E07D1B">
        <w:rPr>
          <w:rFonts w:ascii="Georgia" w:eastAsia="Times New Roman" w:hAnsi="Georgia" w:cs="Times New Roman"/>
          <w:sz w:val="24"/>
          <w:szCs w:val="24"/>
          <w:highlight w:val="yellow"/>
          <w:lang w:eastAsia="en-GB"/>
        </w:rPr>
        <w:t>trouble before. The same is true for her eighteen-year-old brother.</w:t>
      </w:r>
      <w:r w:rsidRPr="00E07D1B">
        <w:rPr>
          <w:rFonts w:ascii="Georgia" w:eastAsia="Times New Roman" w:hAnsi="Georgia" w:cs="Times New Roman"/>
          <w:sz w:val="24"/>
          <w:szCs w:val="24"/>
          <w:lang w:eastAsia="en-GB"/>
        </w:rPr>
        <w:t xml:space="preserve"> </w:t>
      </w:r>
      <w:r w:rsidRPr="00E07D1B">
        <w:rPr>
          <w:rFonts w:ascii="Georgia" w:eastAsia="Times New Roman" w:hAnsi="Georgia" w:cs="Times New Roman"/>
          <w:sz w:val="24"/>
          <w:szCs w:val="24"/>
          <w:highlight w:val="green"/>
          <w:lang w:eastAsia="en-GB"/>
        </w:rPr>
        <w:t>There is no evidence that the Maneths had knowledge of the tendency or proclivity of Darcy to commit acts which could normally be expected to cause injury to others. In fact, neither Darcy nor Jeff caused injury to anyone in this case.</w:t>
      </w:r>
    </w:p>
    <w:p w14:paraId="314506DA" w14:textId="77777777" w:rsidR="00E07D1B" w:rsidRPr="00E07D1B" w:rsidRDefault="00E07D1B" w:rsidP="00E07D1B">
      <w:pPr>
        <w:spacing w:before="100" w:beforeAutospacing="1" w:after="225" w:line="240" w:lineRule="auto"/>
        <w:rPr>
          <w:rFonts w:ascii="Georgia" w:eastAsia="Times New Roman" w:hAnsi="Georgia" w:cs="Times New Roman"/>
          <w:sz w:val="24"/>
          <w:szCs w:val="24"/>
          <w:lang w:eastAsia="en-GB"/>
        </w:rPr>
      </w:pPr>
      <w:r w:rsidRPr="00E07D1B">
        <w:rPr>
          <w:rFonts w:ascii="Georgia" w:eastAsia="Times New Roman" w:hAnsi="Georgia" w:cs="Times New Roman"/>
          <w:sz w:val="24"/>
          <w:szCs w:val="24"/>
          <w:highlight w:val="green"/>
          <w:lang w:eastAsia="en-GB"/>
        </w:rPr>
        <w:t>The case against the Maneths should not have gone to the jury.</w:t>
      </w:r>
      <w:r w:rsidRPr="00E07D1B">
        <w:rPr>
          <w:rFonts w:ascii="Georgia" w:eastAsia="Times New Roman" w:hAnsi="Georgia" w:cs="Times New Roman"/>
          <w:sz w:val="24"/>
          <w:szCs w:val="24"/>
          <w:lang w:eastAsia="en-GB"/>
        </w:rPr>
        <w:t xml:space="preserve"> There was no evidence of willful or wanton behavior by the Maneths; </w:t>
      </w:r>
      <w:r w:rsidRPr="00E07D1B">
        <w:rPr>
          <w:rFonts w:ascii="Georgia" w:eastAsia="Times New Roman" w:hAnsi="Georgia" w:cs="Times New Roman"/>
          <w:sz w:val="24"/>
          <w:szCs w:val="24"/>
          <w:highlight w:val="green"/>
          <w:lang w:eastAsia="en-GB"/>
        </w:rPr>
        <w:t>it was not reasonably foreseeable that their children would host, and Tucker would attend, an out-of-control beer party at their house or that Tucker would get injured in a fight with two other individuals at that party; there was no substantial evidence that the Maneths knew or should have known of the danger to Tucker; and Tucker should have been aware of the likely consequences of intervening in a heated argument involving a young man who had been drinking alcoholic beverages and who, according to Tucker, had a reputation for getting into fights.</w:t>
      </w:r>
      <w:r w:rsidRPr="00E07D1B">
        <w:rPr>
          <w:rFonts w:ascii="Georgia" w:eastAsia="Times New Roman" w:hAnsi="Georgia" w:cs="Times New Roman"/>
          <w:sz w:val="24"/>
          <w:szCs w:val="24"/>
          <w:lang w:eastAsia="en-GB"/>
        </w:rPr>
        <w:t xml:space="preserve"> Because </w:t>
      </w:r>
      <w:r w:rsidRPr="00E07D1B">
        <w:rPr>
          <w:rFonts w:ascii="Georgia" w:eastAsia="Times New Roman" w:hAnsi="Georgia" w:cs="Times New Roman"/>
          <w:sz w:val="24"/>
          <w:szCs w:val="24"/>
          <w:highlight w:val="green"/>
          <w:lang w:eastAsia="en-GB"/>
        </w:rPr>
        <w:t>the circuit judge erred in refusing to direct a verdict for the Maneths</w:t>
      </w:r>
      <w:r w:rsidRPr="00E07D1B">
        <w:rPr>
          <w:rFonts w:ascii="Georgia" w:eastAsia="Times New Roman" w:hAnsi="Georgia" w:cs="Times New Roman"/>
          <w:sz w:val="24"/>
          <w:szCs w:val="24"/>
          <w:lang w:eastAsia="en-GB"/>
        </w:rPr>
        <w:t>, we need not address the remaining issues on appeal concerning the erroneous jury instructions.</w:t>
      </w:r>
    </w:p>
    <w:p w14:paraId="314506DB" w14:textId="77777777" w:rsidR="00E07D1B" w:rsidRPr="00E07D1B" w:rsidRDefault="00E07D1B" w:rsidP="00E07D1B">
      <w:pPr>
        <w:spacing w:before="100" w:beforeAutospacing="1" w:after="225" w:line="240" w:lineRule="auto"/>
        <w:rPr>
          <w:rFonts w:ascii="Georgia" w:eastAsia="Times New Roman" w:hAnsi="Georgia" w:cs="Times New Roman"/>
          <w:sz w:val="24"/>
          <w:szCs w:val="24"/>
          <w:lang w:eastAsia="en-GB"/>
        </w:rPr>
      </w:pPr>
      <w:r w:rsidRPr="00E07D1B">
        <w:rPr>
          <w:rFonts w:ascii="Times New Roman" w:eastAsia="Times New Roman" w:hAnsi="Times New Roman" w:cs="Times New Roman"/>
          <w:sz w:val="24"/>
          <w:szCs w:val="24"/>
          <w:lang w:eastAsia="en-GB"/>
        </w:rPr>
        <w:t>■</w:t>
      </w:r>
      <w:r w:rsidRPr="00E07D1B">
        <w:rPr>
          <w:rFonts w:ascii="Georgia" w:eastAsia="Times New Roman" w:hAnsi="Georgia" w:cs="Times New Roman"/>
          <w:sz w:val="24"/>
          <w:szCs w:val="24"/>
          <w:highlight w:val="red"/>
          <w:lang w:eastAsia="en-GB"/>
        </w:rPr>
        <w:t>Reversed and dismissed as to the Maneths.</w:t>
      </w:r>
    </w:p>
    <w:p w14:paraId="314506DC" w14:textId="77777777" w:rsidR="00E07D1B" w:rsidRPr="00E07D1B" w:rsidRDefault="00E07D1B" w:rsidP="00E07D1B">
      <w:pPr>
        <w:spacing w:before="100" w:beforeAutospacing="1" w:after="225" w:line="240" w:lineRule="auto"/>
        <w:rPr>
          <w:rFonts w:ascii="Georgia" w:eastAsia="Times New Roman" w:hAnsi="Georgia" w:cs="Times New Roman"/>
          <w:sz w:val="24"/>
          <w:szCs w:val="24"/>
          <w:lang w:eastAsia="en-GB"/>
        </w:rPr>
      </w:pPr>
      <w:r w:rsidRPr="00E07D1B">
        <w:rPr>
          <w:rFonts w:ascii="Georgia" w:eastAsia="Times New Roman" w:hAnsi="Georgia" w:cs="Times New Roman"/>
          <w:sz w:val="24"/>
          <w:szCs w:val="24"/>
          <w:lang w:eastAsia="en-GB"/>
        </w:rPr>
        <w:t>PITTMAN and Griffen, JJ., agree.</w:t>
      </w:r>
    </w:p>
    <w:p w14:paraId="314506DD" w14:textId="77777777" w:rsidR="003C7770" w:rsidRDefault="003C7770"/>
    <w:p w14:paraId="314506DE" w14:textId="77777777" w:rsidR="00806A0A" w:rsidRPr="009456D4" w:rsidRDefault="00806A0A" w:rsidP="00806A0A">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14506DF" w14:textId="77777777" w:rsidR="00806A0A" w:rsidRPr="008962AD" w:rsidRDefault="00806A0A" w:rsidP="00806A0A">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Parents left state, leaving their eighteen-year-old son and seventeen-year-old daughter. The children hosted a party, at which a third party was injured. The third party sued the parents for negligent supervision. The parents’ motion for a directed verdict was rejected, and the jury found the parents 5% responsible for the negligence. The parents appealed. The court found there was no evidence of negligent supervision, so the motion for directed verdict should have been granted. </w:t>
      </w:r>
    </w:p>
    <w:p w14:paraId="314506E0" w14:textId="77777777" w:rsidR="00806A0A" w:rsidRDefault="00806A0A"/>
    <w:sectPr w:rsidR="00806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7D1B"/>
    <w:rsid w:val="0036748D"/>
    <w:rsid w:val="003C7770"/>
    <w:rsid w:val="00413817"/>
    <w:rsid w:val="00775330"/>
    <w:rsid w:val="00806A0A"/>
    <w:rsid w:val="00A16A04"/>
    <w:rsid w:val="00E07D1B"/>
    <w:rsid w:val="00EF6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06C1"/>
  <w15:docId w15:val="{FC4117C2-21D9-4A18-B4B1-B3257B80E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7D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D1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E07D1B"/>
  </w:style>
  <w:style w:type="character" w:customStyle="1" w:styleId="court-name">
    <w:name w:val="court-name"/>
    <w:basedOn w:val="DefaultParagraphFont"/>
    <w:rsid w:val="00E07D1B"/>
  </w:style>
  <w:style w:type="character" w:customStyle="1" w:styleId="docket-number">
    <w:name w:val="docket-number"/>
    <w:basedOn w:val="DefaultParagraphFont"/>
    <w:rsid w:val="00E07D1B"/>
  </w:style>
  <w:style w:type="character" w:customStyle="1" w:styleId="case-name-v">
    <w:name w:val="case-name-v"/>
    <w:basedOn w:val="DefaultParagraphFont"/>
    <w:rsid w:val="00E07D1B"/>
  </w:style>
  <w:style w:type="paragraph" w:customStyle="1" w:styleId="citation">
    <w:name w:val="citation"/>
    <w:basedOn w:val="Normal"/>
    <w:rsid w:val="00E07D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E07D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E07D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07D1B"/>
    <w:rPr>
      <w:color w:val="0000FF"/>
      <w:u w:val="single"/>
    </w:rPr>
  </w:style>
  <w:style w:type="character" w:styleId="Emphasis">
    <w:name w:val="Emphasis"/>
    <w:basedOn w:val="DefaultParagraphFont"/>
    <w:uiPriority w:val="20"/>
    <w:qFormat/>
    <w:rsid w:val="00E07D1B"/>
    <w:rPr>
      <w:i/>
      <w:iCs/>
    </w:rPr>
  </w:style>
  <w:style w:type="paragraph" w:customStyle="1" w:styleId="author">
    <w:name w:val="author"/>
    <w:basedOn w:val="Normal"/>
    <w:rsid w:val="00E07D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07D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E07D1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664416">
      <w:bodyDiv w:val="1"/>
      <w:marLeft w:val="0"/>
      <w:marRight w:val="0"/>
      <w:marTop w:val="0"/>
      <w:marBottom w:val="0"/>
      <w:divBdr>
        <w:top w:val="none" w:sz="0" w:space="0" w:color="auto"/>
        <w:left w:val="none" w:sz="0" w:space="0" w:color="auto"/>
        <w:bottom w:val="none" w:sz="0" w:space="0" w:color="auto"/>
        <w:right w:val="none" w:sz="0" w:space="0" w:color="auto"/>
      </w:divBdr>
      <w:divsChild>
        <w:div w:id="1997807319">
          <w:marLeft w:val="0"/>
          <w:marRight w:val="0"/>
          <w:marTop w:val="0"/>
          <w:marBottom w:val="0"/>
          <w:divBdr>
            <w:top w:val="none" w:sz="0" w:space="0" w:color="auto"/>
            <w:left w:val="none" w:sz="0" w:space="0" w:color="auto"/>
            <w:bottom w:val="none" w:sz="0" w:space="0" w:color="auto"/>
            <w:right w:val="none" w:sz="0" w:space="0" w:color="auto"/>
          </w:divBdr>
        </w:div>
        <w:div w:id="700593147">
          <w:marLeft w:val="0"/>
          <w:marRight w:val="0"/>
          <w:marTop w:val="0"/>
          <w:marBottom w:val="0"/>
          <w:divBdr>
            <w:top w:val="none" w:sz="0" w:space="0" w:color="auto"/>
            <w:left w:val="none" w:sz="0" w:space="0" w:color="auto"/>
            <w:bottom w:val="none" w:sz="0" w:space="0" w:color="auto"/>
            <w:right w:val="none" w:sz="0" w:space="0" w:color="auto"/>
          </w:divBdr>
        </w:div>
        <w:div w:id="1196692152">
          <w:marLeft w:val="0"/>
          <w:marRight w:val="0"/>
          <w:marTop w:val="0"/>
          <w:marBottom w:val="0"/>
          <w:divBdr>
            <w:top w:val="none" w:sz="0" w:space="0" w:color="auto"/>
            <w:left w:val="none" w:sz="0" w:space="0" w:color="auto"/>
            <w:bottom w:val="none" w:sz="0" w:space="0" w:color="auto"/>
            <w:right w:val="none" w:sz="0" w:space="0" w:color="auto"/>
          </w:divBdr>
          <w:divsChild>
            <w:div w:id="887958162">
              <w:marLeft w:val="1417"/>
              <w:marRight w:val="0"/>
              <w:marTop w:val="0"/>
              <w:marBottom w:val="0"/>
              <w:divBdr>
                <w:top w:val="none" w:sz="0" w:space="0" w:color="auto"/>
                <w:left w:val="none" w:sz="0" w:space="0" w:color="auto"/>
                <w:bottom w:val="none" w:sz="0" w:space="0" w:color="auto"/>
                <w:right w:val="none" w:sz="0" w:space="0" w:color="auto"/>
              </w:divBdr>
            </w:div>
          </w:divsChild>
        </w:div>
        <w:div w:id="8652125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6556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317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7076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085624">
          <w:blockQuote w:val="1"/>
          <w:marLeft w:val="720"/>
          <w:marRight w:val="720"/>
          <w:marTop w:val="100"/>
          <w:marBottom w:val="100"/>
          <w:divBdr>
            <w:top w:val="none" w:sz="0" w:space="0" w:color="auto"/>
            <w:left w:val="none" w:sz="0" w:space="0" w:color="auto"/>
            <w:bottom w:val="none" w:sz="0" w:space="0" w:color="auto"/>
            <w:right w:val="none" w:sz="0" w:space="0" w:color="auto"/>
          </w:divBdr>
        </w:div>
        <w:div w:id="982002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29/405/" TargetMode="External"/><Relationship Id="rId13" Type="http://schemas.openxmlformats.org/officeDocument/2006/relationships/hyperlink" Target="https://cite.case.law/ark/285/95/" TargetMode="External"/><Relationship Id="rId18" Type="http://schemas.openxmlformats.org/officeDocument/2006/relationships/hyperlink" Target="https://cite.case.law/ark-app/72/141/"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ite.case.law/ark-app/63/221/" TargetMode="External"/><Relationship Id="rId12" Type="http://schemas.openxmlformats.org/officeDocument/2006/relationships/hyperlink" Target="https://cite.case.law/ark/307/440/" TargetMode="External"/><Relationship Id="rId17" Type="http://schemas.openxmlformats.org/officeDocument/2006/relationships/hyperlink" Target="https://cite.case.law/ark/234/97/" TargetMode="External"/><Relationship Id="rId2" Type="http://schemas.openxmlformats.org/officeDocument/2006/relationships/settings" Target="settings.xml"/><Relationship Id="rId16" Type="http://schemas.openxmlformats.org/officeDocument/2006/relationships/hyperlink" Target="https://cite.case.law/ark/302/540/" TargetMode="External"/><Relationship Id="rId20" Type="http://schemas.openxmlformats.org/officeDocument/2006/relationships/hyperlink" Target="https://cite.case.law/ark/234/97/" TargetMode="External"/><Relationship Id="rId1" Type="http://schemas.openxmlformats.org/officeDocument/2006/relationships/styles" Target="styles.xml"/><Relationship Id="rId6" Type="http://schemas.openxmlformats.org/officeDocument/2006/relationships/hyperlink" Target="https://cite.case.law/ark/341/157/" TargetMode="External"/><Relationship Id="rId11" Type="http://schemas.openxmlformats.org/officeDocument/2006/relationships/hyperlink" Target="https://cite.case.law/ark/332/315/" TargetMode="External"/><Relationship Id="rId5" Type="http://schemas.openxmlformats.org/officeDocument/2006/relationships/hyperlink" Target="https://cite.case.law/ark-app/63/131/" TargetMode="External"/><Relationship Id="rId15" Type="http://schemas.openxmlformats.org/officeDocument/2006/relationships/hyperlink" Target="https://cite.case.law/ark/309/472/" TargetMode="External"/><Relationship Id="rId10" Type="http://schemas.openxmlformats.org/officeDocument/2006/relationships/hyperlink" Target="https://cite.case.law/ark/329/143/" TargetMode="External"/><Relationship Id="rId19" Type="http://schemas.openxmlformats.org/officeDocument/2006/relationships/hyperlink" Target="https://cite.case.law/ark/275/122/" TargetMode="External"/><Relationship Id="rId4" Type="http://schemas.openxmlformats.org/officeDocument/2006/relationships/hyperlink" Target="https://cite.case.law/ark-app/72/141/" TargetMode="External"/><Relationship Id="rId9" Type="http://schemas.openxmlformats.org/officeDocument/2006/relationships/hyperlink" Target="https://cite.case.law/ark/279/294/" TargetMode="External"/><Relationship Id="rId14" Type="http://schemas.openxmlformats.org/officeDocument/2006/relationships/hyperlink" Target="https://cite.case.law/ark/311/4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2024-09-17T13:31:00Z</dcterms:created>
  <dcterms:modified xsi:type="dcterms:W3CDTF">2024-09-17T13:31:00Z</dcterms:modified>
</cp:coreProperties>
</file>