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5B840" w14:textId="77777777" w:rsidR="006F547A" w:rsidRPr="006F547A" w:rsidRDefault="006F547A" w:rsidP="006F547A">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6F547A">
        <w:rPr>
          <w:rFonts w:ascii="Times New Roman" w:eastAsia="Times New Roman" w:hAnsi="Times New Roman" w:cs="Times New Roman"/>
          <w:b/>
          <w:bCs/>
          <w:kern w:val="36"/>
          <w:sz w:val="48"/>
          <w:szCs w:val="48"/>
          <w:lang w:eastAsia="en-AU"/>
        </w:rPr>
        <w:t>Davis v. Schneider National, Inc., 431 S.W.3d 321, 2013 Ark. App. 737 (2013)</w:t>
      </w:r>
    </w:p>
    <w:p w14:paraId="543A5BAC" w14:textId="77777777" w:rsidR="006F547A" w:rsidRPr="006F547A" w:rsidRDefault="006F547A" w:rsidP="006F547A">
      <w:pPr>
        <w:spacing w:after="0" w:line="240" w:lineRule="auto"/>
        <w:jc w:val="left"/>
        <w:rPr>
          <w:rFonts w:ascii="Times New Roman" w:eastAsia="Times New Roman" w:hAnsi="Times New Roman" w:cs="Times New Roman"/>
          <w:sz w:val="24"/>
          <w:szCs w:val="24"/>
          <w:lang w:eastAsia="en-AU"/>
        </w:rPr>
      </w:pPr>
      <w:r w:rsidRPr="006F547A">
        <w:rPr>
          <w:rFonts w:ascii="Times New Roman" w:eastAsia="Times New Roman" w:hAnsi="Times New Roman" w:cs="Times New Roman"/>
          <w:sz w:val="24"/>
          <w:szCs w:val="24"/>
          <w:lang w:eastAsia="en-AU"/>
        </w:rPr>
        <w:t xml:space="preserve">Dec. 11, 2013 · Arkansas Court of Appeals · No. CV-12-536 </w:t>
      </w:r>
    </w:p>
    <w:p w14:paraId="5DDBA907" w14:textId="77777777" w:rsidR="006F547A" w:rsidRPr="006F547A" w:rsidRDefault="006F547A" w:rsidP="006F547A">
      <w:pPr>
        <w:spacing w:after="0" w:line="240" w:lineRule="auto"/>
        <w:jc w:val="left"/>
        <w:rPr>
          <w:rFonts w:ascii="Times New Roman" w:eastAsia="Times New Roman" w:hAnsi="Times New Roman" w:cs="Times New Roman"/>
          <w:sz w:val="24"/>
          <w:szCs w:val="24"/>
          <w:lang w:eastAsia="en-AU"/>
        </w:rPr>
      </w:pPr>
      <w:r w:rsidRPr="006F547A">
        <w:rPr>
          <w:rFonts w:ascii="Times New Roman" w:eastAsia="Times New Roman" w:hAnsi="Times New Roman" w:cs="Times New Roman"/>
          <w:sz w:val="24"/>
          <w:szCs w:val="24"/>
          <w:lang w:eastAsia="en-AU"/>
        </w:rPr>
        <w:t xml:space="preserve">431 S.W.3d 321, 2013 Ark. App. 737 </w:t>
      </w:r>
    </w:p>
    <w:p w14:paraId="4EF05FB0" w14:textId="77777777" w:rsidR="006F547A" w:rsidRPr="006F547A" w:rsidRDefault="006F547A" w:rsidP="006F547A">
      <w:pPr>
        <w:spacing w:after="0" w:line="240" w:lineRule="auto"/>
        <w:jc w:val="left"/>
        <w:rPr>
          <w:rFonts w:ascii="Times New Roman" w:eastAsia="Times New Roman" w:hAnsi="Times New Roman" w:cs="Times New Roman"/>
          <w:sz w:val="24"/>
          <w:szCs w:val="24"/>
          <w:lang w:eastAsia="en-AU"/>
        </w:rPr>
      </w:pPr>
      <w:r w:rsidRPr="006F547A">
        <w:rPr>
          <w:rFonts w:ascii="Times New Roman" w:eastAsia="Times New Roman" w:hAnsi="Times New Roman" w:cs="Times New Roman"/>
          <w:sz w:val="24"/>
          <w:szCs w:val="24"/>
          <w:lang w:eastAsia="en-AU"/>
        </w:rPr>
        <w:t xml:space="preserve">Debra DAVIS, Appellant v. SCHNEIDER NATIONAL, INC.; Schneider National Carriers, Inc.; and Paul Turner, Appellees </w:t>
      </w:r>
    </w:p>
    <w:p w14:paraId="7693BD39" w14:textId="77777777" w:rsidR="006F547A" w:rsidRPr="006F547A" w:rsidRDefault="006F547A" w:rsidP="006F54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547A">
        <w:rPr>
          <w:rFonts w:ascii="Times New Roman" w:eastAsia="Times New Roman" w:hAnsi="Times New Roman" w:cs="Times New Roman"/>
          <w:sz w:val="24"/>
          <w:szCs w:val="24"/>
          <w:lang w:eastAsia="en-AU"/>
        </w:rPr>
        <w:t>2013 Ark. App. 737</w:t>
      </w:r>
    </w:p>
    <w:p w14:paraId="1CCF2F31" w14:textId="77777777" w:rsidR="006F547A" w:rsidRPr="006F547A" w:rsidRDefault="006F547A" w:rsidP="006F54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547A">
        <w:rPr>
          <w:rFonts w:ascii="Times New Roman" w:eastAsia="Times New Roman" w:hAnsi="Times New Roman" w:cs="Times New Roman"/>
          <w:sz w:val="24"/>
          <w:szCs w:val="24"/>
          <w:lang w:eastAsia="en-AU"/>
        </w:rPr>
        <w:t>Court of Appeals of Arkansas.</w:t>
      </w:r>
    </w:p>
    <w:p w14:paraId="53522B77" w14:textId="77777777" w:rsidR="006F547A" w:rsidRPr="006F547A" w:rsidRDefault="006F547A" w:rsidP="006F54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547A">
        <w:rPr>
          <w:rFonts w:ascii="Times New Roman" w:eastAsia="Times New Roman" w:hAnsi="Times New Roman" w:cs="Times New Roman"/>
          <w:sz w:val="24"/>
          <w:szCs w:val="24"/>
          <w:lang w:eastAsia="en-AU"/>
        </w:rPr>
        <w:t>Rehearing Denied Jan. 15, 2014.</w:t>
      </w:r>
    </w:p>
    <w:p w14:paraId="125A44B5" w14:textId="6613F679" w:rsidR="006F547A" w:rsidRPr="006F547A" w:rsidRDefault="006F547A" w:rsidP="006F54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547A">
        <w:rPr>
          <w:rFonts w:ascii="Times New Roman" w:eastAsia="Times New Roman" w:hAnsi="Times New Roman" w:cs="Times New Roman"/>
          <w:color w:val="0000FF"/>
          <w:sz w:val="24"/>
          <w:szCs w:val="24"/>
          <w:u w:val="single"/>
          <w:lang w:eastAsia="en-AU"/>
        </w:rPr>
        <w:t>*322</w:t>
      </w:r>
      <w:r w:rsidRPr="006F547A">
        <w:rPr>
          <w:rFonts w:ascii="Times New Roman" w:eastAsia="Times New Roman" w:hAnsi="Times New Roman" w:cs="Times New Roman"/>
          <w:sz w:val="24"/>
          <w:szCs w:val="24"/>
          <w:lang w:eastAsia="en-AU"/>
        </w:rPr>
        <w:t>Langdon &amp; Emison, by J. Kent Emison and Brian G. Brooks, Attorney at Law, PLLC, by Brian G. Brooks, for appellant.</w:t>
      </w:r>
    </w:p>
    <w:p w14:paraId="2C0A8A61" w14:textId="77777777" w:rsidR="006F547A" w:rsidRPr="006F547A" w:rsidRDefault="006F547A" w:rsidP="006F54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547A">
        <w:rPr>
          <w:rFonts w:ascii="Times New Roman" w:eastAsia="Times New Roman" w:hAnsi="Times New Roman" w:cs="Times New Roman"/>
          <w:sz w:val="24"/>
          <w:szCs w:val="24"/>
          <w:lang w:eastAsia="en-AU"/>
        </w:rPr>
        <w:t>Dennis, Corry, Porter &amp; Smith, L.L.P., by R. Clay Porter and Wright, Lindsey &amp; Jennings LLP, Little Rock, by Gregory T. Jones, for appellees.</w:t>
      </w:r>
    </w:p>
    <w:p w14:paraId="2B6B6EAD" w14:textId="77777777" w:rsidR="006F547A" w:rsidRPr="006F547A" w:rsidRDefault="006F547A" w:rsidP="006F54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547A">
        <w:rPr>
          <w:rFonts w:ascii="Times New Roman" w:eastAsia="Times New Roman" w:hAnsi="Times New Roman" w:cs="Times New Roman"/>
          <w:sz w:val="24"/>
          <w:szCs w:val="24"/>
          <w:lang w:eastAsia="en-AU"/>
        </w:rPr>
        <w:t>PHILLIP T. WHITEAKER, Judge.</w:t>
      </w:r>
    </w:p>
    <w:p w14:paraId="5381A89B" w14:textId="6E152239" w:rsidR="006F547A" w:rsidRPr="006F547A" w:rsidRDefault="006F547A" w:rsidP="006F54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547A">
        <w:rPr>
          <w:rFonts w:ascii="Times New Roman" w:eastAsia="Times New Roman" w:hAnsi="Times New Roman" w:cs="Times New Roman"/>
          <w:sz w:val="24"/>
          <w:szCs w:val="24"/>
          <w:lang w:eastAsia="en-AU"/>
        </w:rPr>
        <w:t xml:space="preserve">1, </w:t>
      </w:r>
      <w:r w:rsidRPr="006F547A">
        <w:rPr>
          <w:rFonts w:ascii="Times New Roman" w:eastAsia="Times New Roman" w:hAnsi="Times New Roman" w:cs="Times New Roman"/>
          <w:sz w:val="24"/>
          <w:szCs w:val="24"/>
          <w:highlight w:val="magenta"/>
          <w:lang w:eastAsia="en-AU"/>
        </w:rPr>
        <w:t>Debra Davis appeals an order of the Jefferson County Circuit Court granting summary judgment dismissing her claims against appellees Schneider National Carriers, Inc.; Schneider National, Inc.; and Paul Turner</w:t>
      </w:r>
      <w:r w:rsidRPr="006F547A">
        <w:rPr>
          <w:rFonts w:ascii="Times New Roman" w:eastAsia="Times New Roman" w:hAnsi="Times New Roman" w:cs="Times New Roman"/>
          <w:sz w:val="24"/>
          <w:szCs w:val="24"/>
          <w:lang w:eastAsia="en-AU"/>
        </w:rPr>
        <w:t xml:space="preserve"> arising out of a </w:t>
      </w:r>
      <w:r w:rsidRPr="006F547A">
        <w:rPr>
          <w:rFonts w:ascii="Times New Roman" w:eastAsia="Times New Roman" w:hAnsi="Times New Roman" w:cs="Times New Roman"/>
          <w:sz w:val="24"/>
          <w:szCs w:val="24"/>
          <w:highlight w:val="yellow"/>
          <w:lang w:eastAsia="en-AU"/>
        </w:rPr>
        <w:t>motor-vehicle accident</w:t>
      </w:r>
      <w:r w:rsidRPr="006F547A">
        <w:rPr>
          <w:rFonts w:ascii="Times New Roman" w:eastAsia="Times New Roman" w:hAnsi="Times New Roman" w:cs="Times New Roman"/>
          <w:sz w:val="24"/>
          <w:szCs w:val="24"/>
          <w:lang w:eastAsia="en-AU"/>
        </w:rPr>
        <w:t>.</w:t>
      </w:r>
      <w:hyperlink r:id="rId5" w:anchor="footnote_1_1" w:history="1">
        <w:r w:rsidRPr="006F547A">
          <w:rPr>
            <w:rFonts w:ascii="Times New Roman" w:eastAsia="Times New Roman" w:hAnsi="Times New Roman" w:cs="Times New Roman"/>
            <w:color w:val="0000FF"/>
            <w:sz w:val="24"/>
            <w:szCs w:val="24"/>
            <w:u w:val="single"/>
            <w:lang w:eastAsia="en-AU"/>
          </w:rPr>
          <w:t>1</w:t>
        </w:r>
      </w:hyperlink>
      <w:r w:rsidRPr="006F547A">
        <w:rPr>
          <w:rFonts w:ascii="Times New Roman" w:eastAsia="Times New Roman" w:hAnsi="Times New Roman" w:cs="Times New Roman"/>
          <w:sz w:val="24"/>
          <w:szCs w:val="24"/>
          <w:lang w:eastAsia="en-AU"/>
        </w:rPr>
        <w:t xml:space="preserve"> </w:t>
      </w:r>
      <w:r w:rsidRPr="006F547A">
        <w:rPr>
          <w:rFonts w:ascii="Times New Roman" w:eastAsia="Times New Roman" w:hAnsi="Times New Roman" w:cs="Times New Roman"/>
          <w:sz w:val="24"/>
          <w:szCs w:val="24"/>
          <w:highlight w:val="red"/>
          <w:lang w:eastAsia="en-AU"/>
        </w:rPr>
        <w:t>We affirm</w:t>
      </w:r>
      <w:r w:rsidRPr="006F547A">
        <w:rPr>
          <w:rFonts w:ascii="Times New Roman" w:eastAsia="Times New Roman" w:hAnsi="Times New Roman" w:cs="Times New Roman"/>
          <w:sz w:val="24"/>
          <w:szCs w:val="24"/>
          <w:lang w:eastAsia="en-AU"/>
        </w:rPr>
        <w:t>.</w:t>
      </w:r>
    </w:p>
    <w:p w14:paraId="302E2045" w14:textId="77777777" w:rsidR="006F547A" w:rsidRPr="006F547A" w:rsidRDefault="006F547A" w:rsidP="006F54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547A">
        <w:rPr>
          <w:rFonts w:ascii="Times New Roman" w:eastAsia="Times New Roman" w:hAnsi="Times New Roman" w:cs="Times New Roman"/>
          <w:sz w:val="24"/>
          <w:szCs w:val="24"/>
          <w:highlight w:val="yellow"/>
          <w:lang w:eastAsia="en-AU"/>
        </w:rPr>
        <w:t>A collision occurred at approximately 7:00 a.m. on November 13, 2008, in Jefferson County. Davis was traveling east on a county road that intersected with Highway 79. The intersection is controlled by a stop sign. Traffic traveling east on the county road must come to a stop and yield before proceeding onto Highway 79. A Schneider tractor-trailer driven |2by Turner was traveling south on Highway 79 between fifty and fifty-five miles per hour. As Davis attempted to make a left turn to travel north on Highway 79, she collided with the Schneider tractor-trailer. The Davis vehicle struck the Schneider trailer at its approximate midpoint. Fog was a contributing weather condition to the collision. Davis was knocked unconscious during the accident and had no memory of the events.</w:t>
      </w:r>
    </w:p>
    <w:p w14:paraId="7498C85C" w14:textId="77777777" w:rsidR="006F547A" w:rsidRPr="006F547A" w:rsidRDefault="006F547A" w:rsidP="006F54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F70ED">
        <w:rPr>
          <w:rFonts w:ascii="Times New Roman" w:eastAsia="Times New Roman" w:hAnsi="Times New Roman" w:cs="Times New Roman"/>
          <w:sz w:val="24"/>
          <w:szCs w:val="24"/>
          <w:highlight w:val="magenta"/>
          <w:lang w:eastAsia="en-AU"/>
        </w:rPr>
        <w:t>Davis filed suit against Schneider and Turner</w:t>
      </w:r>
      <w:r w:rsidRPr="006F547A">
        <w:rPr>
          <w:rFonts w:ascii="Times New Roman" w:eastAsia="Times New Roman" w:hAnsi="Times New Roman" w:cs="Times New Roman"/>
          <w:sz w:val="24"/>
          <w:szCs w:val="24"/>
          <w:lang w:eastAsia="en-AU"/>
        </w:rPr>
        <w:t xml:space="preserve"> for the severe and permanent injuries she received as a result of the collision. The complaint alleged negligence and negligence per se against Turner and Schneider. The claims against Schneider were based on both vicarious liability for the acts of Turner and direct allegations of negligence. Davis sought both compensatory and punitive damages. Schneider and Turner jointly answered, denying the material allegations of the complaint.</w:t>
      </w:r>
    </w:p>
    <w:p w14:paraId="244B74B3" w14:textId="77777777" w:rsidR="006F547A" w:rsidRPr="006F547A" w:rsidRDefault="006F547A" w:rsidP="006F54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547A">
        <w:rPr>
          <w:rFonts w:ascii="Times New Roman" w:eastAsia="Times New Roman" w:hAnsi="Times New Roman" w:cs="Times New Roman"/>
          <w:sz w:val="24"/>
          <w:szCs w:val="24"/>
          <w:lang w:eastAsia="en-AU"/>
        </w:rPr>
        <w:t xml:space="preserve">The defendants moved for summary judgment on all of Davis’s claims, arguing that her alleged failure to stop and yield the right of way was the sole proximate cause of the collision. They also filed a separate motion for partial summary judgment on Davis’s claim </w:t>
      </w:r>
      <w:r w:rsidRPr="006F547A">
        <w:rPr>
          <w:rFonts w:ascii="Times New Roman" w:eastAsia="Times New Roman" w:hAnsi="Times New Roman" w:cs="Times New Roman"/>
          <w:sz w:val="24"/>
          <w:szCs w:val="24"/>
          <w:lang w:eastAsia="en-AU"/>
        </w:rPr>
        <w:lastRenderedPageBreak/>
        <w:t>for punitive damages, arguing that she could not establish that their acts or omissions met the standard for the imposition of punitive damages.</w:t>
      </w:r>
    </w:p>
    <w:p w14:paraId="7DC8B37E" w14:textId="7E29140D" w:rsidR="006F547A" w:rsidRPr="006F547A" w:rsidRDefault="006F547A" w:rsidP="006F54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547A">
        <w:rPr>
          <w:rFonts w:ascii="Times New Roman" w:eastAsia="Times New Roman" w:hAnsi="Times New Roman" w:cs="Times New Roman"/>
          <w:sz w:val="24"/>
          <w:szCs w:val="24"/>
          <w:lang w:eastAsia="en-AU"/>
        </w:rPr>
        <w:t>Following a hearing on the motion for summary judgment but prior to the court’s order granting summary judgment, Davis amended her complaint. She contended that Turner’s negligent and reckless driving and Schneider’s negligent and reckless failure to inform Turner of his sleep apnea condition were the proximate causes of her injuries and ^sought compensatory and punitive damages.</w:t>
      </w:r>
      <w:r w:rsidRPr="006F547A">
        <w:rPr>
          <w:rFonts w:ascii="Times New Roman" w:eastAsia="Times New Roman" w:hAnsi="Times New Roman" w:cs="Times New Roman"/>
          <w:color w:val="0000FF"/>
          <w:sz w:val="24"/>
          <w:szCs w:val="24"/>
          <w:u w:val="single"/>
          <w:lang w:eastAsia="en-AU"/>
        </w:rPr>
        <w:t>2</w:t>
      </w:r>
      <w:r w:rsidRPr="006F547A">
        <w:rPr>
          <w:rFonts w:ascii="Times New Roman" w:eastAsia="Times New Roman" w:hAnsi="Times New Roman" w:cs="Times New Roman"/>
          <w:sz w:val="24"/>
          <w:szCs w:val="24"/>
          <w:lang w:eastAsia="en-AU"/>
        </w:rPr>
        <w:t xml:space="preserve"> Schneider and Turner filed a motion to strike the amended complaint. As the basis for their motion, they asserted that trial was already scheduled and that Davis was raising new allegations to which Schneider and Turner did not have sufficient time to respond or to conduct discovery.</w:t>
      </w:r>
    </w:p>
    <w:p w14:paraId="179AD905" w14:textId="3E28FF92" w:rsidR="006F547A" w:rsidRPr="006F547A" w:rsidRDefault="006F547A" w:rsidP="006F54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26670">
        <w:rPr>
          <w:rFonts w:ascii="Times New Roman" w:eastAsia="Times New Roman" w:hAnsi="Times New Roman" w:cs="Times New Roman"/>
          <w:sz w:val="24"/>
          <w:szCs w:val="24"/>
          <w:highlight w:val="magenta"/>
          <w:lang w:eastAsia="en-AU"/>
        </w:rPr>
        <w:t>On April 10, 2012, the circuit court entered its order granting summary judgment in favor of the defendants on all of Davis’s claims. The court found that Davis could not establish proximate cause</w:t>
      </w:r>
      <w:r w:rsidRPr="006F547A">
        <w:rPr>
          <w:rFonts w:ascii="Times New Roman" w:eastAsia="Times New Roman" w:hAnsi="Times New Roman" w:cs="Times New Roman"/>
          <w:sz w:val="24"/>
          <w:szCs w:val="24"/>
          <w:lang w:eastAsia="en-AU"/>
        </w:rPr>
        <w:t xml:space="preserve"> because </w:t>
      </w:r>
      <w:r w:rsidRPr="00326670">
        <w:rPr>
          <w:rFonts w:ascii="Times New Roman" w:eastAsia="Times New Roman" w:hAnsi="Times New Roman" w:cs="Times New Roman"/>
          <w:sz w:val="24"/>
          <w:szCs w:val="24"/>
          <w:highlight w:val="yellow"/>
          <w:lang w:eastAsia="en-AU"/>
        </w:rPr>
        <w:t>she either failed to stop at the stop sign or failed to yield the right of way.</w:t>
      </w:r>
      <w:r w:rsidRPr="006F547A">
        <w:rPr>
          <w:rFonts w:ascii="Times New Roman" w:eastAsia="Times New Roman" w:hAnsi="Times New Roman" w:cs="Times New Roman"/>
          <w:sz w:val="24"/>
          <w:szCs w:val="24"/>
          <w:lang w:eastAsia="en-AU"/>
        </w:rPr>
        <w:t xml:space="preserve"> </w:t>
      </w:r>
      <w:r w:rsidRPr="00326670">
        <w:rPr>
          <w:rFonts w:ascii="Times New Roman" w:eastAsia="Times New Roman" w:hAnsi="Times New Roman" w:cs="Times New Roman"/>
          <w:sz w:val="24"/>
          <w:szCs w:val="24"/>
          <w:highlight w:val="magenta"/>
          <w:lang w:eastAsia="en-AU"/>
        </w:rPr>
        <w:t>The court also rejected Davis’s independent claims against Schneider, finding such claims would create a new area of law to govern the commercial trucking industry</w:t>
      </w:r>
      <w:r w:rsidRPr="006F547A">
        <w:rPr>
          <w:rFonts w:ascii="Times New Roman" w:eastAsia="Times New Roman" w:hAnsi="Times New Roman" w:cs="Times New Roman"/>
          <w:sz w:val="24"/>
          <w:szCs w:val="24"/>
          <w:lang w:eastAsia="en-AU"/>
        </w:rPr>
        <w:t>. At the hearing, the circuit court had orally granted the defendants’ motion for summary judgment on Davis’s claim for punitive damages; however, the court did not address that ruling in its written order. After the court denied Davis’s motion seeking reconsideration, this appeal followed.</w:t>
      </w:r>
    </w:p>
    <w:p w14:paraId="2A844C31" w14:textId="6D65310C" w:rsidR="006F547A" w:rsidRPr="006F547A" w:rsidRDefault="006F547A" w:rsidP="006F54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547A">
        <w:rPr>
          <w:rFonts w:ascii="Times New Roman" w:eastAsia="Times New Roman" w:hAnsi="Times New Roman" w:cs="Times New Roman"/>
          <w:sz w:val="24"/>
          <w:szCs w:val="24"/>
          <w:lang w:eastAsia="en-AU"/>
        </w:rPr>
        <w:t xml:space="preserve">The law is well settled that summary judgment is to be granted by a circuit court only when it is clear that there are no genuine issues of material fact to be litigated, and the party is entitled to judgment as a matter of law. </w:t>
      </w:r>
      <w:r w:rsidRPr="006F547A">
        <w:rPr>
          <w:rFonts w:ascii="Times New Roman" w:eastAsia="Times New Roman" w:hAnsi="Times New Roman" w:cs="Times New Roman"/>
          <w:i/>
          <w:iCs/>
          <w:sz w:val="24"/>
          <w:szCs w:val="24"/>
          <w:lang w:eastAsia="en-AU"/>
        </w:rPr>
        <w:t xml:space="preserve">Harrisburg Sch. Dist. No. 6 v. Neal, </w:t>
      </w:r>
      <w:hyperlink r:id="rId6" w:history="1">
        <w:r w:rsidRPr="006F547A">
          <w:rPr>
            <w:rFonts w:ascii="Times New Roman" w:eastAsia="Times New Roman" w:hAnsi="Times New Roman" w:cs="Times New Roman"/>
            <w:color w:val="0000FF"/>
            <w:sz w:val="24"/>
            <w:szCs w:val="24"/>
            <w:u w:val="single"/>
            <w:lang w:eastAsia="en-AU"/>
          </w:rPr>
          <w:t>2011 Ark. 233</w:t>
        </w:r>
      </w:hyperlink>
      <w:r w:rsidRPr="006F547A">
        <w:rPr>
          <w:rFonts w:ascii="Times New Roman" w:eastAsia="Times New Roman" w:hAnsi="Times New Roman" w:cs="Times New Roman"/>
          <w:sz w:val="24"/>
          <w:szCs w:val="24"/>
          <w:lang w:eastAsia="en-AU"/>
        </w:rPr>
        <w:t xml:space="preserve">, </w:t>
      </w:r>
      <w:r w:rsidRPr="006F547A">
        <w:rPr>
          <w:rFonts w:ascii="Times New Roman" w:eastAsia="Times New Roman" w:hAnsi="Times New Roman" w:cs="Times New Roman"/>
          <w:color w:val="0000FF"/>
          <w:sz w:val="24"/>
          <w:szCs w:val="24"/>
          <w:u w:val="single"/>
          <w:lang w:eastAsia="en-AU"/>
        </w:rPr>
        <w:t>381 S.W.3d 811</w:t>
      </w:r>
      <w:r w:rsidRPr="006F547A">
        <w:rPr>
          <w:rFonts w:ascii="Times New Roman" w:eastAsia="Times New Roman" w:hAnsi="Times New Roman" w:cs="Times New Roman"/>
          <w:sz w:val="24"/>
          <w:szCs w:val="24"/>
          <w:lang w:eastAsia="en-AU"/>
        </w:rPr>
        <w:t xml:space="preserve">. Once the moving party has established a prima facie entitlement to summary judgment, the opposing party must meet proof with proof and demonstrate the existence of a material issue of fact. </w:t>
      </w:r>
      <w:hyperlink r:id="rId7" w:history="1">
        <w:r w:rsidRPr="006F547A">
          <w:rPr>
            <w:rFonts w:ascii="Times New Roman" w:eastAsia="Times New Roman" w:hAnsi="Times New Roman" w:cs="Times New Roman"/>
            <w:i/>
            <w:iCs/>
            <w:color w:val="0000FF"/>
            <w:sz w:val="24"/>
            <w:szCs w:val="24"/>
            <w:u w:val="single"/>
            <w:lang w:eastAsia="en-AU"/>
          </w:rPr>
          <w:t>Id.</w:t>
        </w:r>
      </w:hyperlink>
      <w:r w:rsidRPr="006F547A">
        <w:rPr>
          <w:rFonts w:ascii="Times New Roman" w:eastAsia="Times New Roman" w:hAnsi="Times New Roman" w:cs="Times New Roman"/>
          <w:i/>
          <w:iCs/>
          <w:sz w:val="24"/>
          <w:szCs w:val="24"/>
          <w:lang w:eastAsia="en-AU"/>
        </w:rPr>
        <w:t xml:space="preserve"> </w:t>
      </w:r>
      <w:r w:rsidRPr="006F547A">
        <w:rPr>
          <w:rFonts w:ascii="Times New Roman" w:eastAsia="Times New Roman" w:hAnsi="Times New Roman" w:cs="Times New Roman"/>
          <w:sz w:val="24"/>
          <w:szCs w:val="24"/>
          <w:lang w:eastAsia="en-AU"/>
        </w:rPr>
        <w:t xml:space="preserve">On appellate review, we determine if summary | ¿judgment was appropriate based on whether the evidentiary items presented by the moving party in support of the motion leave a material fact unanswered. </w:t>
      </w:r>
      <w:r w:rsidRPr="006F547A">
        <w:rPr>
          <w:rFonts w:ascii="Times New Roman" w:eastAsia="Times New Roman" w:hAnsi="Times New Roman" w:cs="Times New Roman"/>
          <w:i/>
          <w:iCs/>
          <w:sz w:val="24"/>
          <w:szCs w:val="24"/>
          <w:lang w:eastAsia="en-AU"/>
        </w:rPr>
        <w:t xml:space="preserve">Campbell v. Asbury Auto., Inc., </w:t>
      </w:r>
      <w:r w:rsidRPr="006F547A">
        <w:rPr>
          <w:rFonts w:ascii="Times New Roman" w:eastAsia="Times New Roman" w:hAnsi="Times New Roman" w:cs="Times New Roman"/>
          <w:color w:val="0000FF"/>
          <w:sz w:val="24"/>
          <w:szCs w:val="24"/>
          <w:u w:val="single"/>
          <w:lang w:eastAsia="en-AU"/>
        </w:rPr>
        <w:t>2011 Ark. 157</w:t>
      </w:r>
      <w:r w:rsidRPr="006F547A">
        <w:rPr>
          <w:rFonts w:ascii="Times New Roman" w:eastAsia="Times New Roman" w:hAnsi="Times New Roman" w:cs="Times New Roman"/>
          <w:sz w:val="24"/>
          <w:szCs w:val="24"/>
          <w:lang w:eastAsia="en-AU"/>
        </w:rPr>
        <w:t xml:space="preserve">, </w:t>
      </w:r>
      <w:hyperlink r:id="rId8" w:history="1">
        <w:r w:rsidRPr="006F547A">
          <w:rPr>
            <w:rFonts w:ascii="Times New Roman" w:eastAsia="Times New Roman" w:hAnsi="Times New Roman" w:cs="Times New Roman"/>
            <w:color w:val="0000FF"/>
            <w:sz w:val="24"/>
            <w:szCs w:val="24"/>
            <w:u w:val="single"/>
            <w:lang w:eastAsia="en-AU"/>
          </w:rPr>
          <w:t>381 S.W.3d 21</w:t>
        </w:r>
      </w:hyperlink>
      <w:r w:rsidRPr="006F547A">
        <w:rPr>
          <w:rFonts w:ascii="Times New Roman" w:eastAsia="Times New Roman" w:hAnsi="Times New Roman" w:cs="Times New Roman"/>
          <w:sz w:val="24"/>
          <w:szCs w:val="24"/>
          <w:lang w:eastAsia="en-AU"/>
        </w:rPr>
        <w:t xml:space="preserve">. We view the evidence in the light most favorable to the party against whom the motion was filed, resolving all doubts and inferences against the moving party. </w:t>
      </w:r>
      <w:r w:rsidRPr="006F547A">
        <w:rPr>
          <w:rFonts w:ascii="Times New Roman" w:eastAsia="Times New Roman" w:hAnsi="Times New Roman" w:cs="Times New Roman"/>
          <w:i/>
          <w:iCs/>
          <w:color w:val="0000FF"/>
          <w:sz w:val="24"/>
          <w:szCs w:val="24"/>
          <w:u w:val="single"/>
          <w:lang w:eastAsia="en-AU"/>
        </w:rPr>
        <w:t>Id.</w:t>
      </w:r>
      <w:r w:rsidRPr="006F547A">
        <w:rPr>
          <w:rFonts w:ascii="Times New Roman" w:eastAsia="Times New Roman" w:hAnsi="Times New Roman" w:cs="Times New Roman"/>
          <w:i/>
          <w:iCs/>
          <w:sz w:val="24"/>
          <w:szCs w:val="24"/>
          <w:lang w:eastAsia="en-AU"/>
        </w:rPr>
        <w:t xml:space="preserve"> </w:t>
      </w:r>
      <w:r w:rsidRPr="006F547A">
        <w:rPr>
          <w:rFonts w:ascii="Times New Roman" w:eastAsia="Times New Roman" w:hAnsi="Times New Roman" w:cs="Times New Roman"/>
          <w:sz w:val="24"/>
          <w:szCs w:val="24"/>
          <w:lang w:eastAsia="en-AU"/>
        </w:rPr>
        <w:t xml:space="preserve">Our review focuses not only on the pleadings, but also on the affidavits and documents filed by the parties. </w:t>
      </w:r>
      <w:r w:rsidRPr="006F547A">
        <w:rPr>
          <w:rFonts w:ascii="Times New Roman" w:eastAsia="Times New Roman" w:hAnsi="Times New Roman" w:cs="Times New Roman"/>
          <w:i/>
          <w:iCs/>
          <w:sz w:val="24"/>
          <w:szCs w:val="24"/>
          <w:lang w:eastAsia="en-AU"/>
        </w:rPr>
        <w:t xml:space="preserve">Cent. Okla. Pipeline, Inc. v. Hawk Field Servs., LLC, </w:t>
      </w:r>
      <w:hyperlink r:id="rId9" w:history="1">
        <w:r w:rsidRPr="006F547A">
          <w:rPr>
            <w:rFonts w:ascii="Times New Roman" w:eastAsia="Times New Roman" w:hAnsi="Times New Roman" w:cs="Times New Roman"/>
            <w:color w:val="0000FF"/>
            <w:sz w:val="24"/>
            <w:szCs w:val="24"/>
            <w:u w:val="single"/>
            <w:lang w:eastAsia="en-AU"/>
          </w:rPr>
          <w:t>2012 Ark. 157</w:t>
        </w:r>
      </w:hyperlink>
      <w:r w:rsidRPr="006F547A">
        <w:rPr>
          <w:rFonts w:ascii="Times New Roman" w:eastAsia="Times New Roman" w:hAnsi="Times New Roman" w:cs="Times New Roman"/>
          <w:sz w:val="24"/>
          <w:szCs w:val="24"/>
          <w:lang w:eastAsia="en-AU"/>
        </w:rPr>
        <w:t xml:space="preserve">, </w:t>
      </w:r>
      <w:r w:rsidRPr="006F547A">
        <w:rPr>
          <w:rFonts w:ascii="Times New Roman" w:eastAsia="Times New Roman" w:hAnsi="Times New Roman" w:cs="Times New Roman"/>
          <w:color w:val="0000FF"/>
          <w:sz w:val="24"/>
          <w:szCs w:val="24"/>
          <w:u w:val="single"/>
          <w:lang w:eastAsia="en-AU"/>
        </w:rPr>
        <w:t>400 S.W.3d 701</w:t>
      </w:r>
      <w:r w:rsidRPr="006F547A">
        <w:rPr>
          <w:rFonts w:ascii="Times New Roman" w:eastAsia="Times New Roman" w:hAnsi="Times New Roman" w:cs="Times New Roman"/>
          <w:sz w:val="24"/>
          <w:szCs w:val="24"/>
          <w:lang w:eastAsia="en-AU"/>
        </w:rPr>
        <w:t xml:space="preserve">. The purpose of summary judgment is not to try the issues, but to determine whether there are any issues to be tried. </w:t>
      </w:r>
      <w:r w:rsidRPr="006F547A">
        <w:rPr>
          <w:rFonts w:ascii="Times New Roman" w:eastAsia="Times New Roman" w:hAnsi="Times New Roman" w:cs="Times New Roman"/>
          <w:i/>
          <w:iCs/>
          <w:sz w:val="24"/>
          <w:szCs w:val="24"/>
          <w:lang w:eastAsia="en-AU"/>
        </w:rPr>
        <w:t xml:space="preserve">Elam v. First Unum Life Ins. Co., </w:t>
      </w:r>
      <w:hyperlink r:id="rId10" w:history="1">
        <w:r w:rsidRPr="006F547A">
          <w:rPr>
            <w:rFonts w:ascii="Times New Roman" w:eastAsia="Times New Roman" w:hAnsi="Times New Roman" w:cs="Times New Roman"/>
            <w:color w:val="0000FF"/>
            <w:sz w:val="24"/>
            <w:szCs w:val="24"/>
            <w:u w:val="single"/>
            <w:lang w:eastAsia="en-AU"/>
          </w:rPr>
          <w:t>346 Ark. 291</w:t>
        </w:r>
      </w:hyperlink>
      <w:r w:rsidRPr="006F547A">
        <w:rPr>
          <w:rFonts w:ascii="Times New Roman" w:eastAsia="Times New Roman" w:hAnsi="Times New Roman" w:cs="Times New Roman"/>
          <w:sz w:val="24"/>
          <w:szCs w:val="24"/>
          <w:lang w:eastAsia="en-AU"/>
        </w:rPr>
        <w:t xml:space="preserve">, </w:t>
      </w:r>
      <w:r w:rsidRPr="006F547A">
        <w:rPr>
          <w:rFonts w:ascii="Times New Roman" w:eastAsia="Times New Roman" w:hAnsi="Times New Roman" w:cs="Times New Roman"/>
          <w:color w:val="0000FF"/>
          <w:sz w:val="24"/>
          <w:szCs w:val="24"/>
          <w:u w:val="single"/>
          <w:lang w:eastAsia="en-AU"/>
        </w:rPr>
        <w:t>57 S.W.3d 165</w:t>
      </w:r>
      <w:r w:rsidRPr="006F547A">
        <w:rPr>
          <w:rFonts w:ascii="Times New Roman" w:eastAsia="Times New Roman" w:hAnsi="Times New Roman" w:cs="Times New Roman"/>
          <w:sz w:val="24"/>
          <w:szCs w:val="24"/>
          <w:lang w:eastAsia="en-AU"/>
        </w:rPr>
        <w:t xml:space="preserve"> (2001).</w:t>
      </w:r>
    </w:p>
    <w:p w14:paraId="306BB032" w14:textId="77777777" w:rsidR="006F547A" w:rsidRPr="006F547A" w:rsidRDefault="006F547A" w:rsidP="006F54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547A">
        <w:rPr>
          <w:rFonts w:ascii="Times New Roman" w:eastAsia="Times New Roman" w:hAnsi="Times New Roman" w:cs="Times New Roman"/>
          <w:sz w:val="24"/>
          <w:szCs w:val="24"/>
          <w:lang w:eastAsia="en-AU"/>
        </w:rPr>
        <w:t>Davis contends that the circuit court erred in granting summary judgment because there were genuine issues of material fact remaining. Specifically, she argues that genuine issues of fact exist as to the visibility conditions and as to whether Turner’s speed in foggy conditions was a proximate cause of her injuries. The issue of visibility immediately prior to the time of the accident was crucial.</w:t>
      </w:r>
    </w:p>
    <w:p w14:paraId="2E533114" w14:textId="375BF709" w:rsidR="006F547A" w:rsidRPr="006F547A" w:rsidRDefault="006F547A" w:rsidP="006F54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547A">
        <w:rPr>
          <w:rFonts w:ascii="Times New Roman" w:eastAsia="Times New Roman" w:hAnsi="Times New Roman" w:cs="Times New Roman"/>
          <w:sz w:val="24"/>
          <w:szCs w:val="24"/>
          <w:lang w:eastAsia="en-AU"/>
        </w:rPr>
        <w:t xml:space="preserve">The defendants sought summary judgment contending that no issues of material fact existed concerning visibility immediately prior to the accident. As proof in support of this position, they referred to the deposition testimony of the driver, Turner. Turner testified that </w:t>
      </w:r>
      <w:r w:rsidRPr="00513B21">
        <w:rPr>
          <w:rFonts w:ascii="Times New Roman" w:eastAsia="Times New Roman" w:hAnsi="Times New Roman" w:cs="Times New Roman"/>
          <w:sz w:val="24"/>
          <w:szCs w:val="24"/>
          <w:highlight w:val="yellow"/>
          <w:lang w:eastAsia="en-AU"/>
        </w:rPr>
        <w:t>immediately prior to the time of the accident, the fog was above his truck and that there were no problems with visibility</w:t>
      </w:r>
      <w:r w:rsidRPr="006F547A">
        <w:rPr>
          <w:rFonts w:ascii="Times New Roman" w:eastAsia="Times New Roman" w:hAnsi="Times New Roman" w:cs="Times New Roman"/>
          <w:sz w:val="24"/>
          <w:szCs w:val="24"/>
          <w:lang w:eastAsia="en-AU"/>
        </w:rPr>
        <w:t xml:space="preserve">. He reported that </w:t>
      </w:r>
      <w:r w:rsidRPr="00513B21">
        <w:rPr>
          <w:rFonts w:ascii="Times New Roman" w:eastAsia="Times New Roman" w:hAnsi="Times New Roman" w:cs="Times New Roman"/>
          <w:sz w:val="24"/>
          <w:szCs w:val="24"/>
          <w:highlight w:val="yellow"/>
          <w:lang w:eastAsia="en-AU"/>
        </w:rPr>
        <w:t xml:space="preserve">he could see the Davis vehicle approaching Highway 79 along a side road, and he stated that it appeared that Davis was slowing down </w:t>
      </w:r>
      <w:r w:rsidRPr="00513B21">
        <w:rPr>
          <w:rFonts w:ascii="Times New Roman" w:eastAsia="Times New Roman" w:hAnsi="Times New Roman" w:cs="Times New Roman"/>
          <w:sz w:val="24"/>
          <w:szCs w:val="24"/>
          <w:highlight w:val="yellow"/>
          <w:lang w:eastAsia="en-AU"/>
        </w:rPr>
        <w:lastRenderedPageBreak/>
        <w:t>prior to his entering the intersection. Turner saw Davis drive past the stop Sign, which was set back from the intersection, but did not see her enter the intersection because the cab of his truck had already passed the intersection by the time of the collision.</w:t>
      </w:r>
    </w:p>
    <w:p w14:paraId="488E879C" w14:textId="77777777" w:rsidR="006F547A" w:rsidRPr="006F547A" w:rsidRDefault="006F547A" w:rsidP="006F54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547A">
        <w:rPr>
          <w:rFonts w:ascii="Times New Roman" w:eastAsia="Times New Roman" w:hAnsi="Times New Roman" w:cs="Times New Roman"/>
          <w:sz w:val="24"/>
          <w:szCs w:val="24"/>
          <w:lang w:eastAsia="en-AU"/>
        </w:rPr>
        <w:t xml:space="preserve">The defense also presented testimony from their expert, Dr. Michael Brown. </w:t>
      </w:r>
      <w:r w:rsidRPr="009A5775">
        <w:rPr>
          <w:rFonts w:ascii="Times New Roman" w:eastAsia="Times New Roman" w:hAnsi="Times New Roman" w:cs="Times New Roman"/>
          <w:sz w:val="24"/>
          <w:szCs w:val="24"/>
          <w:highlight w:val="yellow"/>
          <w:lang w:eastAsia="en-AU"/>
        </w:rPr>
        <w:t>Brown said that he obtained data from the Pine Bluff and Stuttgart weather centers because of their proximity to the accident site. The Pine Bluff readings were taken at 6:53 a.m., some seven minutes prior to the accident. Brown opined that the data were consistent with Turner’s statement that he had 1000 feet of visibility. Brown also said that the data were consistent with Turner’s statement that the fog was above the cab of his truck. Brown further noted that meteorological phenomena such as fog can change very quickly over small spatial and temporal scales, so that without being there, there was no way to know the visibility at the time of the accident.</w:t>
      </w:r>
      <w:r w:rsidRPr="006F547A">
        <w:rPr>
          <w:rFonts w:ascii="Times New Roman" w:eastAsia="Times New Roman" w:hAnsi="Times New Roman" w:cs="Times New Roman"/>
          <w:sz w:val="24"/>
          <w:szCs w:val="24"/>
          <w:lang w:eastAsia="en-AU"/>
        </w:rPr>
        <w:t xml:space="preserve"> </w:t>
      </w:r>
      <w:r w:rsidRPr="009A5775">
        <w:rPr>
          <w:rFonts w:ascii="Times New Roman" w:eastAsia="Times New Roman" w:hAnsi="Times New Roman" w:cs="Times New Roman"/>
          <w:sz w:val="24"/>
          <w:szCs w:val="24"/>
          <w:highlight w:val="green"/>
          <w:lang w:eastAsia="en-AU"/>
        </w:rPr>
        <w:t>This proof was sufficient to establish prima facie entitlement to summary judgment</w:t>
      </w:r>
      <w:r w:rsidRPr="006F547A">
        <w:rPr>
          <w:rFonts w:ascii="Times New Roman" w:eastAsia="Times New Roman" w:hAnsi="Times New Roman" w:cs="Times New Roman"/>
          <w:sz w:val="24"/>
          <w:szCs w:val="24"/>
          <w:lang w:eastAsia="en-AU"/>
        </w:rPr>
        <w:t>, shifting the burden to Davis to meet proof with proof and demonstrate the existence of a material issue of fact.</w:t>
      </w:r>
    </w:p>
    <w:p w14:paraId="1EF5401E" w14:textId="3F195285" w:rsidR="006F547A" w:rsidRPr="006F547A" w:rsidRDefault="006F547A" w:rsidP="006F54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547A">
        <w:rPr>
          <w:rFonts w:ascii="Times New Roman" w:eastAsia="Times New Roman" w:hAnsi="Times New Roman" w:cs="Times New Roman"/>
          <w:sz w:val="24"/>
          <w:szCs w:val="24"/>
          <w:lang w:eastAsia="en-AU"/>
        </w:rPr>
        <w:t xml:space="preserve">In an attempt to meet proof with proof, Davis offered the testimony of </w:t>
      </w:r>
      <w:r w:rsidRPr="00C576D8">
        <w:rPr>
          <w:rFonts w:ascii="Times New Roman" w:eastAsia="Times New Roman" w:hAnsi="Times New Roman" w:cs="Times New Roman"/>
          <w:sz w:val="24"/>
          <w:szCs w:val="24"/>
          <w:highlight w:val="yellow"/>
          <w:lang w:eastAsia="en-AU"/>
        </w:rPr>
        <w:t>Arkansas State Police Trooper Charles Spurlin. Spurlin described the fog and its impediment upon his travel to the accident scene. However, his description of the fog is from a different location and time. He did not arrive at the accident scene until 7:31 a.m., twenty-six minutes after receiving the call.</w:t>
      </w:r>
      <w:r w:rsidRPr="006F547A">
        <w:rPr>
          <w:rFonts w:ascii="Times New Roman" w:eastAsia="Times New Roman" w:hAnsi="Times New Roman" w:cs="Times New Roman"/>
          <w:sz w:val="24"/>
          <w:szCs w:val="24"/>
          <w:lang w:eastAsia="en-AU"/>
        </w:rPr>
        <w:t xml:space="preserve"> </w:t>
      </w:r>
      <w:r w:rsidRPr="00C576D8">
        <w:rPr>
          <w:rFonts w:ascii="Times New Roman" w:eastAsia="Times New Roman" w:hAnsi="Times New Roman" w:cs="Times New Roman"/>
          <w:sz w:val="24"/>
          <w:szCs w:val="24"/>
          <w:highlight w:val="green"/>
          <w:lang w:eastAsia="en-AU"/>
        </w:rPr>
        <w:t xml:space="preserve">His description of the fog upon arrival does not create an issue of fact concerning the visibility of the fog immediately prior to the accident. Davis also submitted the deposition excerpts of six independent witnesses describing the fog upon their arrival at the accident scene. Those witness, however, were also not present at the time of the </w:t>
      </w:r>
      <w:r w:rsidRPr="00A43D8D">
        <w:rPr>
          <w:rFonts w:ascii="Times New Roman" w:eastAsia="Times New Roman" w:hAnsi="Times New Roman" w:cs="Times New Roman"/>
          <w:sz w:val="24"/>
          <w:szCs w:val="24"/>
          <w:highlight w:val="green"/>
          <w:lang w:eastAsia="en-AU"/>
        </w:rPr>
        <w:t xml:space="preserve">accident. Moreover, the excerpts failed to contain any references from which the circuit court could determine the proximity of the witnesses’ observations to the time of the accident. By not submitting evidence that was specific as to the time and place of the accident, Davis failed to meet proof with proof and to show </w:t>
      </w:r>
      <w:r w:rsidRPr="00A43D8D">
        <w:rPr>
          <w:rFonts w:ascii="Times New Roman" w:eastAsia="Times New Roman" w:hAnsi="Times New Roman" w:cs="Times New Roman"/>
          <w:i/>
          <w:iCs/>
          <w:sz w:val="24"/>
          <w:szCs w:val="24"/>
          <w:highlight w:val="green"/>
          <w:lang w:eastAsia="en-AU"/>
        </w:rPr>
        <w:t xml:space="preserve">specific </w:t>
      </w:r>
      <w:r w:rsidRPr="00A43D8D">
        <w:rPr>
          <w:rFonts w:ascii="Times New Roman" w:eastAsia="Times New Roman" w:hAnsi="Times New Roman" w:cs="Times New Roman"/>
          <w:sz w:val="24"/>
          <w:szCs w:val="24"/>
          <w:highlight w:val="green"/>
          <w:lang w:eastAsia="en-AU"/>
        </w:rPr>
        <w:t>issues that remained for trial</w:t>
      </w:r>
      <w:r w:rsidRPr="006F547A">
        <w:rPr>
          <w:rFonts w:ascii="Times New Roman" w:eastAsia="Times New Roman" w:hAnsi="Times New Roman" w:cs="Times New Roman"/>
          <w:sz w:val="24"/>
          <w:szCs w:val="24"/>
          <w:lang w:eastAsia="en-AU"/>
        </w:rPr>
        <w:t>. Ark. R. Civ. P. 56(e).</w:t>
      </w:r>
    </w:p>
    <w:p w14:paraId="41A98D93" w14:textId="7FA0A7BE" w:rsidR="006F547A" w:rsidRPr="006F547A" w:rsidRDefault="006F547A" w:rsidP="006F54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547A">
        <w:rPr>
          <w:rFonts w:ascii="Times New Roman" w:eastAsia="Times New Roman" w:hAnsi="Times New Roman" w:cs="Times New Roman"/>
          <w:sz w:val="24"/>
          <w:szCs w:val="24"/>
          <w:lang w:eastAsia="en-AU"/>
        </w:rPr>
        <w:t xml:space="preserve">Davis filed a motion for reconsideration from the circuit court’s summary-judgment order, submitting the full deposition transcripts of the six witnesses. In the full deposition transcripts, there is testimony from which inferences can be made as to the proximity to the time of the accident. This proffer, however, was too late. Unless the court reduces or enlarges the periods upon a showing of good cause, the party against whom a motion for summary judgment has been made must serve a response and any supporting materials within twenty-one days after service of the motion. </w:t>
      </w:r>
      <w:r w:rsidRPr="006F547A">
        <w:rPr>
          <w:rFonts w:ascii="Times New Roman" w:eastAsia="Times New Roman" w:hAnsi="Times New Roman" w:cs="Times New Roman"/>
          <w:i/>
          <w:iCs/>
          <w:sz w:val="24"/>
          <w:szCs w:val="24"/>
          <w:lang w:eastAsia="en-AU"/>
        </w:rPr>
        <w:t xml:space="preserve">US Fuel Int’l, Inc. v. Murphy Oil USA, Inc., </w:t>
      </w:r>
      <w:hyperlink r:id="rId11" w:history="1">
        <w:r w:rsidRPr="006F547A">
          <w:rPr>
            <w:rFonts w:ascii="Times New Roman" w:eastAsia="Times New Roman" w:hAnsi="Times New Roman" w:cs="Times New Roman"/>
            <w:color w:val="0000FF"/>
            <w:sz w:val="24"/>
            <w:szCs w:val="24"/>
            <w:u w:val="single"/>
            <w:lang w:eastAsia="en-AU"/>
          </w:rPr>
          <w:t>2012 Ark. App. 367</w:t>
        </w:r>
      </w:hyperlink>
      <w:r w:rsidRPr="006F547A">
        <w:rPr>
          <w:rFonts w:ascii="Times New Roman" w:eastAsia="Times New Roman" w:hAnsi="Times New Roman" w:cs="Times New Roman"/>
          <w:sz w:val="24"/>
          <w:szCs w:val="24"/>
          <w:lang w:eastAsia="en-AU"/>
        </w:rPr>
        <w:t xml:space="preserve">, </w:t>
      </w:r>
      <w:r w:rsidRPr="006F547A">
        <w:rPr>
          <w:rFonts w:ascii="Times New Roman" w:eastAsia="Times New Roman" w:hAnsi="Times New Roman" w:cs="Times New Roman"/>
          <w:color w:val="0000FF"/>
          <w:sz w:val="24"/>
          <w:szCs w:val="24"/>
          <w:u w:val="single"/>
          <w:lang w:eastAsia="en-AU"/>
        </w:rPr>
        <w:t>417 S.W.3d 228</w:t>
      </w:r>
      <w:r w:rsidRPr="006F547A">
        <w:rPr>
          <w:rFonts w:ascii="Times New Roman" w:eastAsia="Times New Roman" w:hAnsi="Times New Roman" w:cs="Times New Roman"/>
          <w:sz w:val="24"/>
          <w:szCs w:val="24"/>
          <w:lang w:eastAsia="en-AU"/>
        </w:rPr>
        <w:t xml:space="preserve">; Ark. R. Civ. P. 56(c)(1). Supplemental supporting materials may not be submitted after the time for serving a reply, unless the court orders otherwise. </w:t>
      </w:r>
      <w:r w:rsidRPr="006F547A">
        <w:rPr>
          <w:rFonts w:ascii="Times New Roman" w:eastAsia="Times New Roman" w:hAnsi="Times New Roman" w:cs="Times New Roman"/>
          <w:i/>
          <w:iCs/>
          <w:sz w:val="24"/>
          <w:szCs w:val="24"/>
          <w:lang w:eastAsia="en-AU"/>
        </w:rPr>
        <w:t xml:space="preserve">US Fuel Int’l, supra; see also Foscue v. McDaniel, </w:t>
      </w:r>
      <w:hyperlink r:id="rId12" w:history="1">
        <w:r w:rsidRPr="006F547A">
          <w:rPr>
            <w:rFonts w:ascii="Times New Roman" w:eastAsia="Times New Roman" w:hAnsi="Times New Roman" w:cs="Times New Roman"/>
            <w:color w:val="0000FF"/>
            <w:sz w:val="24"/>
            <w:szCs w:val="24"/>
            <w:u w:val="single"/>
            <w:lang w:eastAsia="en-AU"/>
          </w:rPr>
          <w:t>2009 Ark. 223</w:t>
        </w:r>
      </w:hyperlink>
      <w:r w:rsidRPr="006F547A">
        <w:rPr>
          <w:rFonts w:ascii="Times New Roman" w:eastAsia="Times New Roman" w:hAnsi="Times New Roman" w:cs="Times New Roman"/>
          <w:sz w:val="24"/>
          <w:szCs w:val="24"/>
          <w:lang w:eastAsia="en-AU"/>
        </w:rPr>
        <w:t xml:space="preserve">, </w:t>
      </w:r>
      <w:r w:rsidRPr="006F547A">
        <w:rPr>
          <w:rFonts w:ascii="Times New Roman" w:eastAsia="Times New Roman" w:hAnsi="Times New Roman" w:cs="Times New Roman"/>
          <w:color w:val="0000FF"/>
          <w:sz w:val="24"/>
          <w:szCs w:val="24"/>
          <w:u w:val="single"/>
          <w:lang w:eastAsia="en-AU"/>
        </w:rPr>
        <w:t>308 S.W.3d 122</w:t>
      </w:r>
      <w:r w:rsidRPr="006F547A">
        <w:rPr>
          <w:rFonts w:ascii="Times New Roman" w:eastAsia="Times New Roman" w:hAnsi="Times New Roman" w:cs="Times New Roman"/>
          <w:sz w:val="24"/>
          <w:szCs w:val="24"/>
          <w:lang w:eastAsia="en-AU"/>
        </w:rPr>
        <w:t xml:space="preserve">. If a response or reply is untimely, the circuit court need not consider it. </w:t>
      </w:r>
      <w:r w:rsidRPr="006F547A">
        <w:rPr>
          <w:rFonts w:ascii="Times New Roman" w:eastAsia="Times New Roman" w:hAnsi="Times New Roman" w:cs="Times New Roman"/>
          <w:i/>
          <w:iCs/>
          <w:sz w:val="24"/>
          <w:szCs w:val="24"/>
          <w:lang w:eastAsia="en-AU"/>
        </w:rPr>
        <w:t xml:space="preserve">Servewell Plumbing, LLC v. Summit Contractors, Inc., </w:t>
      </w:r>
      <w:hyperlink r:id="rId13" w:history="1">
        <w:r w:rsidRPr="006F547A">
          <w:rPr>
            <w:rFonts w:ascii="Times New Roman" w:eastAsia="Times New Roman" w:hAnsi="Times New Roman" w:cs="Times New Roman"/>
            <w:color w:val="0000FF"/>
            <w:sz w:val="24"/>
            <w:szCs w:val="24"/>
            <w:u w:val="single"/>
            <w:lang w:eastAsia="en-AU"/>
          </w:rPr>
          <w:t>362 Ark. 598</w:t>
        </w:r>
      </w:hyperlink>
      <w:r w:rsidRPr="006F547A">
        <w:rPr>
          <w:rFonts w:ascii="Times New Roman" w:eastAsia="Times New Roman" w:hAnsi="Times New Roman" w:cs="Times New Roman"/>
          <w:sz w:val="24"/>
          <w:szCs w:val="24"/>
          <w:lang w:eastAsia="en-AU"/>
        </w:rPr>
        <w:t xml:space="preserve">, </w:t>
      </w:r>
      <w:r w:rsidRPr="006F547A">
        <w:rPr>
          <w:rFonts w:ascii="Times New Roman" w:eastAsia="Times New Roman" w:hAnsi="Times New Roman" w:cs="Times New Roman"/>
          <w:color w:val="0000FF"/>
          <w:sz w:val="24"/>
          <w:szCs w:val="24"/>
          <w:u w:val="single"/>
          <w:lang w:eastAsia="en-AU"/>
        </w:rPr>
        <w:t>210 S.W.3d 101</w:t>
      </w:r>
      <w:r w:rsidRPr="006F547A">
        <w:rPr>
          <w:rFonts w:ascii="Times New Roman" w:eastAsia="Times New Roman" w:hAnsi="Times New Roman" w:cs="Times New Roman"/>
          <w:sz w:val="24"/>
          <w:szCs w:val="24"/>
          <w:lang w:eastAsia="en-AU"/>
        </w:rPr>
        <w:t xml:space="preserve"> (2005). It has long been the rule that a motion for a new trial cannot be used to bring into the record that which does not otherwise appear in the record. </w:t>
      </w:r>
      <w:r w:rsidRPr="006F547A">
        <w:rPr>
          <w:rFonts w:ascii="Times New Roman" w:eastAsia="Times New Roman" w:hAnsi="Times New Roman" w:cs="Times New Roman"/>
          <w:i/>
          <w:iCs/>
          <w:sz w:val="24"/>
          <w:szCs w:val="24"/>
          <w:lang w:eastAsia="en-AU"/>
        </w:rPr>
        <w:t xml:space="preserve">Horton v. Horton, </w:t>
      </w:r>
      <w:hyperlink r:id="rId14" w:history="1">
        <w:r w:rsidRPr="006F547A">
          <w:rPr>
            <w:rFonts w:ascii="Times New Roman" w:eastAsia="Times New Roman" w:hAnsi="Times New Roman" w:cs="Times New Roman"/>
            <w:color w:val="0000FF"/>
            <w:sz w:val="24"/>
            <w:szCs w:val="24"/>
            <w:u w:val="single"/>
            <w:lang w:eastAsia="en-AU"/>
          </w:rPr>
          <w:t>2011 Ark. App. 361</w:t>
        </w:r>
      </w:hyperlink>
      <w:r w:rsidRPr="006F547A">
        <w:rPr>
          <w:rFonts w:ascii="Times New Roman" w:eastAsia="Times New Roman" w:hAnsi="Times New Roman" w:cs="Times New Roman"/>
          <w:sz w:val="24"/>
          <w:szCs w:val="24"/>
          <w:lang w:eastAsia="en-AU"/>
        </w:rPr>
        <w:t xml:space="preserve">, </w:t>
      </w:r>
      <w:r w:rsidRPr="006F547A">
        <w:rPr>
          <w:rFonts w:ascii="Times New Roman" w:eastAsia="Times New Roman" w:hAnsi="Times New Roman" w:cs="Times New Roman"/>
          <w:color w:val="0000FF"/>
          <w:sz w:val="24"/>
          <w:szCs w:val="24"/>
          <w:u w:val="single"/>
          <w:lang w:eastAsia="en-AU"/>
        </w:rPr>
        <w:t>384 S.W.3d 61</w:t>
      </w:r>
      <w:r w:rsidRPr="006F547A">
        <w:rPr>
          <w:rFonts w:ascii="Times New Roman" w:eastAsia="Times New Roman" w:hAnsi="Times New Roman" w:cs="Times New Roman"/>
          <w:sz w:val="24"/>
          <w:szCs w:val="24"/>
          <w:lang w:eastAsia="en-AU"/>
        </w:rPr>
        <w:t>.</w:t>
      </w:r>
      <w:hyperlink r:id="rId15" w:anchor="footnote_1_3" w:history="1">
        <w:r w:rsidRPr="006F547A">
          <w:rPr>
            <w:rFonts w:ascii="Times New Roman" w:eastAsia="Times New Roman" w:hAnsi="Times New Roman" w:cs="Times New Roman"/>
            <w:color w:val="0000FF"/>
            <w:sz w:val="24"/>
            <w:szCs w:val="24"/>
            <w:u w:val="single"/>
            <w:lang w:eastAsia="en-AU"/>
          </w:rPr>
          <w:t>3</w:t>
        </w:r>
      </w:hyperlink>
      <w:r w:rsidRPr="006F547A">
        <w:rPr>
          <w:rFonts w:ascii="Times New Roman" w:eastAsia="Times New Roman" w:hAnsi="Times New Roman" w:cs="Times New Roman"/>
          <w:sz w:val="24"/>
          <w:szCs w:val="24"/>
          <w:lang w:eastAsia="en-AU"/>
        </w:rPr>
        <w:t xml:space="preserve"> As such, Davis 17failed to meet proof with proof to overcome the defendants’ prima facie case of entitlement to summary judgment.</w:t>
      </w:r>
    </w:p>
    <w:p w14:paraId="20A90F9B" w14:textId="26EF9952" w:rsidR="006F547A" w:rsidRPr="006F547A" w:rsidRDefault="006F547A" w:rsidP="006F54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547A">
        <w:rPr>
          <w:rFonts w:ascii="Times New Roman" w:eastAsia="Times New Roman" w:hAnsi="Times New Roman" w:cs="Times New Roman"/>
          <w:sz w:val="24"/>
          <w:szCs w:val="24"/>
          <w:lang w:eastAsia="en-AU"/>
        </w:rPr>
        <w:t xml:space="preserve">Davis next contends that Turner’s testimony should not have been considered because the testimony of an interested party is controverted as a matter of law. The cases she cites are inapplicable to the present case, however, in that they do not involve materials in support of a motion for summary judgment. Moreover, we have held that Arkansas Rule of Civil Procedure 56(e) does not prohibit or limit the filing of self-serving affidavits. </w:t>
      </w:r>
      <w:r w:rsidRPr="006F547A">
        <w:rPr>
          <w:rFonts w:ascii="Times New Roman" w:eastAsia="Times New Roman" w:hAnsi="Times New Roman" w:cs="Times New Roman"/>
          <w:i/>
          <w:iCs/>
          <w:sz w:val="24"/>
          <w:szCs w:val="24"/>
          <w:lang w:eastAsia="en-AU"/>
        </w:rPr>
        <w:t xml:space="preserve">Wilson v. Pulaski Bank &amp; Trust, </w:t>
      </w:r>
      <w:r w:rsidRPr="006F547A">
        <w:rPr>
          <w:rFonts w:ascii="Times New Roman" w:eastAsia="Times New Roman" w:hAnsi="Times New Roman" w:cs="Times New Roman"/>
          <w:color w:val="0000FF"/>
          <w:sz w:val="24"/>
          <w:szCs w:val="24"/>
          <w:u w:val="single"/>
          <w:lang w:eastAsia="en-AU"/>
        </w:rPr>
        <w:t>2011 Ark. App. 383</w:t>
      </w:r>
      <w:r w:rsidRPr="006F547A">
        <w:rPr>
          <w:rFonts w:ascii="Times New Roman" w:eastAsia="Times New Roman" w:hAnsi="Times New Roman" w:cs="Times New Roman"/>
          <w:sz w:val="24"/>
          <w:szCs w:val="24"/>
          <w:lang w:eastAsia="en-AU"/>
        </w:rPr>
        <w:t xml:space="preserve">, </w:t>
      </w:r>
      <w:hyperlink r:id="rId16" w:history="1">
        <w:r w:rsidRPr="006F547A">
          <w:rPr>
            <w:rFonts w:ascii="Times New Roman" w:eastAsia="Times New Roman" w:hAnsi="Times New Roman" w:cs="Times New Roman"/>
            <w:color w:val="0000FF"/>
            <w:sz w:val="24"/>
            <w:szCs w:val="24"/>
            <w:u w:val="single"/>
            <w:lang w:eastAsia="en-AU"/>
          </w:rPr>
          <w:t>383 S.W.3d 919</w:t>
        </w:r>
      </w:hyperlink>
      <w:r w:rsidRPr="006F547A">
        <w:rPr>
          <w:rFonts w:ascii="Times New Roman" w:eastAsia="Times New Roman" w:hAnsi="Times New Roman" w:cs="Times New Roman"/>
          <w:sz w:val="24"/>
          <w:szCs w:val="24"/>
          <w:lang w:eastAsia="en-AU"/>
        </w:rPr>
        <w:t xml:space="preserve">; </w:t>
      </w:r>
      <w:r w:rsidRPr="006F547A">
        <w:rPr>
          <w:rFonts w:ascii="Times New Roman" w:eastAsia="Times New Roman" w:hAnsi="Times New Roman" w:cs="Times New Roman"/>
          <w:i/>
          <w:iCs/>
          <w:sz w:val="24"/>
          <w:szCs w:val="24"/>
          <w:lang w:eastAsia="en-AU"/>
        </w:rPr>
        <w:t xml:space="preserve">Mathews v. Garner, </w:t>
      </w:r>
      <w:r w:rsidRPr="006F547A">
        <w:rPr>
          <w:rFonts w:ascii="Times New Roman" w:eastAsia="Times New Roman" w:hAnsi="Times New Roman" w:cs="Times New Roman"/>
          <w:color w:val="0000FF"/>
          <w:sz w:val="24"/>
          <w:szCs w:val="24"/>
          <w:u w:val="single"/>
          <w:lang w:eastAsia="en-AU"/>
        </w:rPr>
        <w:t>25 Ark. App. 27</w:t>
      </w:r>
      <w:r w:rsidRPr="006F547A">
        <w:rPr>
          <w:rFonts w:ascii="Times New Roman" w:eastAsia="Times New Roman" w:hAnsi="Times New Roman" w:cs="Times New Roman"/>
          <w:sz w:val="24"/>
          <w:szCs w:val="24"/>
          <w:lang w:eastAsia="en-AU"/>
        </w:rPr>
        <w:t xml:space="preserve">, </w:t>
      </w:r>
      <w:hyperlink r:id="rId17" w:history="1">
        <w:r w:rsidRPr="006F547A">
          <w:rPr>
            <w:rFonts w:ascii="Times New Roman" w:eastAsia="Times New Roman" w:hAnsi="Times New Roman" w:cs="Times New Roman"/>
            <w:color w:val="0000FF"/>
            <w:sz w:val="24"/>
            <w:szCs w:val="24"/>
            <w:u w:val="single"/>
            <w:lang w:eastAsia="en-AU"/>
          </w:rPr>
          <w:t>751 S.W.2d 359</w:t>
        </w:r>
      </w:hyperlink>
      <w:r w:rsidRPr="006F547A">
        <w:rPr>
          <w:rFonts w:ascii="Times New Roman" w:eastAsia="Times New Roman" w:hAnsi="Times New Roman" w:cs="Times New Roman"/>
          <w:sz w:val="24"/>
          <w:szCs w:val="24"/>
          <w:lang w:eastAsia="en-AU"/>
        </w:rPr>
        <w:t xml:space="preserve"> (1988). Rule 56(c) and (e) allow consideration of affidavits, depositions, admissions, and answers to interrogatories in summary-judgment proceedings. </w:t>
      </w:r>
      <w:r w:rsidRPr="006F547A">
        <w:rPr>
          <w:rFonts w:ascii="Times New Roman" w:eastAsia="Times New Roman" w:hAnsi="Times New Roman" w:cs="Times New Roman"/>
          <w:i/>
          <w:iCs/>
          <w:sz w:val="24"/>
          <w:szCs w:val="24"/>
          <w:lang w:eastAsia="en-AU"/>
        </w:rPr>
        <w:t xml:space="preserve">UMLIC 2 Funding Corp. v. Butcher, </w:t>
      </w:r>
      <w:r w:rsidRPr="006F547A">
        <w:rPr>
          <w:rFonts w:ascii="Times New Roman" w:eastAsia="Times New Roman" w:hAnsi="Times New Roman" w:cs="Times New Roman"/>
          <w:color w:val="0000FF"/>
          <w:sz w:val="24"/>
          <w:szCs w:val="24"/>
          <w:u w:val="single"/>
          <w:lang w:eastAsia="en-AU"/>
        </w:rPr>
        <w:t>333 Ark. 442</w:t>
      </w:r>
      <w:r w:rsidRPr="006F547A">
        <w:rPr>
          <w:rFonts w:ascii="Times New Roman" w:eastAsia="Times New Roman" w:hAnsi="Times New Roman" w:cs="Times New Roman"/>
          <w:sz w:val="24"/>
          <w:szCs w:val="24"/>
          <w:lang w:eastAsia="en-AU"/>
        </w:rPr>
        <w:t xml:space="preserve">, </w:t>
      </w:r>
      <w:hyperlink r:id="rId18" w:history="1">
        <w:r w:rsidRPr="006F547A">
          <w:rPr>
            <w:rFonts w:ascii="Times New Roman" w:eastAsia="Times New Roman" w:hAnsi="Times New Roman" w:cs="Times New Roman"/>
            <w:color w:val="0000FF"/>
            <w:sz w:val="24"/>
            <w:szCs w:val="24"/>
            <w:u w:val="single"/>
            <w:lang w:eastAsia="en-AU"/>
          </w:rPr>
          <w:t>970 S.W.2d 211</w:t>
        </w:r>
      </w:hyperlink>
      <w:r w:rsidRPr="006F547A">
        <w:rPr>
          <w:rFonts w:ascii="Times New Roman" w:eastAsia="Times New Roman" w:hAnsi="Times New Roman" w:cs="Times New Roman"/>
          <w:sz w:val="24"/>
          <w:szCs w:val="24"/>
          <w:lang w:eastAsia="en-AU"/>
        </w:rPr>
        <w:t xml:space="preserve"> (1998). All evidence submitted in the course of summary-judgment proceedings must be under oath. Ark. R. Civ. P. 56(e). Turner’s deposition satisfied these conditions, and thus, Davis has not argued a proper basis for ignoring Turner’s deposition testimony.</w:t>
      </w:r>
    </w:p>
    <w:p w14:paraId="10C86090" w14:textId="2D9A50F5" w:rsidR="006F547A" w:rsidRPr="006F547A" w:rsidRDefault="006F547A" w:rsidP="006F54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547A">
        <w:rPr>
          <w:rFonts w:ascii="Times New Roman" w:eastAsia="Times New Roman" w:hAnsi="Times New Roman" w:cs="Times New Roman"/>
          <w:sz w:val="24"/>
          <w:szCs w:val="24"/>
          <w:lang w:eastAsia="en-AU"/>
        </w:rPr>
        <w:t xml:space="preserve">To establish a prima facie case of negligence, the plaintiff must demonstrate that the defendant breached a standard of care, that damages were sustained, and that the defendant’s actions were a proximate cause of those damages. </w:t>
      </w:r>
      <w:r w:rsidRPr="006F547A">
        <w:rPr>
          <w:rFonts w:ascii="Times New Roman" w:eastAsia="Times New Roman" w:hAnsi="Times New Roman" w:cs="Times New Roman"/>
          <w:i/>
          <w:iCs/>
          <w:sz w:val="24"/>
          <w:szCs w:val="24"/>
          <w:lang w:eastAsia="en-AU"/>
        </w:rPr>
        <w:t xml:space="preserve">Neal v. Sparks Reg’l Med. Ctr., </w:t>
      </w:r>
      <w:r w:rsidRPr="006F547A">
        <w:rPr>
          <w:rFonts w:ascii="Times New Roman" w:eastAsia="Times New Roman" w:hAnsi="Times New Roman" w:cs="Times New Roman"/>
          <w:color w:val="0000FF"/>
          <w:sz w:val="24"/>
          <w:szCs w:val="24"/>
          <w:u w:val="single"/>
          <w:lang w:eastAsia="en-AU"/>
        </w:rPr>
        <w:t>2012 Ark. 328</w:t>
      </w:r>
      <w:r w:rsidRPr="006F547A">
        <w:rPr>
          <w:rFonts w:ascii="Times New Roman" w:eastAsia="Times New Roman" w:hAnsi="Times New Roman" w:cs="Times New Roman"/>
          <w:sz w:val="24"/>
          <w:szCs w:val="24"/>
          <w:lang w:eastAsia="en-AU"/>
        </w:rPr>
        <w:t xml:space="preserve">, </w:t>
      </w:r>
      <w:hyperlink r:id="rId19" w:history="1">
        <w:r w:rsidRPr="006F547A">
          <w:rPr>
            <w:rFonts w:ascii="Times New Roman" w:eastAsia="Times New Roman" w:hAnsi="Times New Roman" w:cs="Times New Roman"/>
            <w:color w:val="0000FF"/>
            <w:sz w:val="24"/>
            <w:szCs w:val="24"/>
            <w:u w:val="single"/>
            <w:lang w:eastAsia="en-AU"/>
          </w:rPr>
          <w:t>422 S.W.3d 116</w:t>
        </w:r>
      </w:hyperlink>
      <w:r w:rsidRPr="006F547A">
        <w:rPr>
          <w:rFonts w:ascii="Times New Roman" w:eastAsia="Times New Roman" w:hAnsi="Times New Roman" w:cs="Times New Roman"/>
          <w:sz w:val="24"/>
          <w:szCs w:val="24"/>
          <w:lang w:eastAsia="en-AU"/>
        </w:rPr>
        <w:t xml:space="preserve">. Proximate causation is an essential element for a cause of action in negligence. </w:t>
      </w:r>
      <w:r w:rsidRPr="006F547A">
        <w:rPr>
          <w:rFonts w:ascii="Times New Roman" w:eastAsia="Times New Roman" w:hAnsi="Times New Roman" w:cs="Times New Roman"/>
          <w:i/>
          <w:iCs/>
          <w:color w:val="0000FF"/>
          <w:sz w:val="24"/>
          <w:szCs w:val="24"/>
          <w:u w:val="single"/>
          <w:lang w:eastAsia="en-AU"/>
        </w:rPr>
        <w:t>Id.</w:t>
      </w:r>
      <w:r w:rsidRPr="006F547A">
        <w:rPr>
          <w:rFonts w:ascii="Times New Roman" w:eastAsia="Times New Roman" w:hAnsi="Times New Roman" w:cs="Times New Roman"/>
          <w:i/>
          <w:iCs/>
          <w:sz w:val="24"/>
          <w:szCs w:val="24"/>
          <w:lang w:eastAsia="en-AU"/>
        </w:rPr>
        <w:t xml:space="preserve"> </w:t>
      </w:r>
      <w:r w:rsidRPr="006F547A">
        <w:rPr>
          <w:rFonts w:ascii="Times New Roman" w:eastAsia="Times New Roman" w:hAnsi="Times New Roman" w:cs="Times New Roman"/>
          <w:sz w:val="24"/>
          <w:szCs w:val="24"/>
          <w:lang w:eastAsia="en-AU"/>
        </w:rPr>
        <w:t xml:space="preserve">“Proximate cause” is defined, for negligence purposes, as that which in a ^natural and continuous sequence, unbroken by any efficient intervening cause, produces the injury, and without which the result would not have occurred. </w:t>
      </w:r>
      <w:hyperlink r:id="rId20" w:history="1">
        <w:r w:rsidRPr="006F547A">
          <w:rPr>
            <w:rFonts w:ascii="Times New Roman" w:eastAsia="Times New Roman" w:hAnsi="Times New Roman" w:cs="Times New Roman"/>
            <w:i/>
            <w:iCs/>
            <w:color w:val="0000FF"/>
            <w:sz w:val="24"/>
            <w:szCs w:val="24"/>
            <w:u w:val="single"/>
            <w:lang w:eastAsia="en-AU"/>
          </w:rPr>
          <w:t>Id.</w:t>
        </w:r>
      </w:hyperlink>
      <w:r w:rsidRPr="006F547A">
        <w:rPr>
          <w:rFonts w:ascii="Times New Roman" w:eastAsia="Times New Roman" w:hAnsi="Times New Roman" w:cs="Times New Roman"/>
          <w:i/>
          <w:iCs/>
          <w:sz w:val="24"/>
          <w:szCs w:val="24"/>
          <w:lang w:eastAsia="en-AU"/>
        </w:rPr>
        <w:t xml:space="preserve"> </w:t>
      </w:r>
      <w:r w:rsidRPr="006F547A">
        <w:rPr>
          <w:rFonts w:ascii="Times New Roman" w:eastAsia="Times New Roman" w:hAnsi="Times New Roman" w:cs="Times New Roman"/>
          <w:sz w:val="24"/>
          <w:szCs w:val="24"/>
          <w:lang w:eastAsia="en-AU"/>
        </w:rPr>
        <w:t xml:space="preserve">Although proximate causation is usually a question of fact for a jury, where reasonable minds cannot differ, a question of law is presented for determination by the court. </w:t>
      </w:r>
      <w:r w:rsidRPr="006F547A">
        <w:rPr>
          <w:rFonts w:ascii="Times New Roman" w:eastAsia="Times New Roman" w:hAnsi="Times New Roman" w:cs="Times New Roman"/>
          <w:i/>
          <w:iCs/>
          <w:sz w:val="24"/>
          <w:szCs w:val="24"/>
          <w:lang w:eastAsia="en-AU"/>
        </w:rPr>
        <w:t xml:space="preserve">Id.; Cragar v. Jones, </w:t>
      </w:r>
      <w:r w:rsidRPr="006F547A">
        <w:rPr>
          <w:rFonts w:ascii="Times New Roman" w:eastAsia="Times New Roman" w:hAnsi="Times New Roman" w:cs="Times New Roman"/>
          <w:color w:val="0000FF"/>
          <w:sz w:val="24"/>
          <w:szCs w:val="24"/>
          <w:u w:val="single"/>
          <w:lang w:eastAsia="en-AU"/>
        </w:rPr>
        <w:t>280 Ark. 549</w:t>
      </w:r>
      <w:r w:rsidRPr="006F547A">
        <w:rPr>
          <w:rFonts w:ascii="Times New Roman" w:eastAsia="Times New Roman" w:hAnsi="Times New Roman" w:cs="Times New Roman"/>
          <w:sz w:val="24"/>
          <w:szCs w:val="24"/>
          <w:lang w:eastAsia="en-AU"/>
        </w:rPr>
        <w:t xml:space="preserve">, </w:t>
      </w:r>
      <w:hyperlink r:id="rId21" w:history="1">
        <w:r w:rsidRPr="006F547A">
          <w:rPr>
            <w:rFonts w:ascii="Times New Roman" w:eastAsia="Times New Roman" w:hAnsi="Times New Roman" w:cs="Times New Roman"/>
            <w:color w:val="0000FF"/>
            <w:sz w:val="24"/>
            <w:szCs w:val="24"/>
            <w:u w:val="single"/>
            <w:lang w:eastAsia="en-AU"/>
          </w:rPr>
          <w:t>660 S.W.2d 168</w:t>
        </w:r>
      </w:hyperlink>
      <w:r w:rsidRPr="006F547A">
        <w:rPr>
          <w:rFonts w:ascii="Times New Roman" w:eastAsia="Times New Roman" w:hAnsi="Times New Roman" w:cs="Times New Roman"/>
          <w:sz w:val="24"/>
          <w:szCs w:val="24"/>
          <w:lang w:eastAsia="en-AU"/>
        </w:rPr>
        <w:t xml:space="preserve"> (1983). When a party cannot present proof on an essential element of his claim, the moving party is entitled to summary judgment as a matter of law. </w:t>
      </w:r>
      <w:r w:rsidRPr="006F547A">
        <w:rPr>
          <w:rFonts w:ascii="Times New Roman" w:eastAsia="Times New Roman" w:hAnsi="Times New Roman" w:cs="Times New Roman"/>
          <w:i/>
          <w:iCs/>
          <w:sz w:val="24"/>
          <w:szCs w:val="24"/>
          <w:lang w:eastAsia="en-AU"/>
        </w:rPr>
        <w:t>Neal, supra.</w:t>
      </w:r>
      <w:r w:rsidRPr="006F547A">
        <w:rPr>
          <w:rFonts w:ascii="Times New Roman" w:eastAsia="Times New Roman" w:hAnsi="Times New Roman" w:cs="Times New Roman"/>
          <w:sz w:val="24"/>
          <w:szCs w:val="24"/>
          <w:lang w:eastAsia="en-AU"/>
        </w:rPr>
        <w:t xml:space="preserve"> </w:t>
      </w:r>
    </w:p>
    <w:p w14:paraId="722D3114" w14:textId="490CBC75" w:rsidR="006F547A" w:rsidRPr="006F547A" w:rsidRDefault="006F547A" w:rsidP="006F54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547A">
        <w:rPr>
          <w:rFonts w:ascii="Times New Roman" w:eastAsia="Times New Roman" w:hAnsi="Times New Roman" w:cs="Times New Roman"/>
          <w:sz w:val="24"/>
          <w:szCs w:val="24"/>
          <w:lang w:eastAsia="en-AU"/>
        </w:rPr>
        <w:t xml:space="preserve">The Arkansas Supreme Court has long held that </w:t>
      </w:r>
      <w:r w:rsidRPr="00656B8A">
        <w:rPr>
          <w:rFonts w:ascii="Times New Roman" w:eastAsia="Times New Roman" w:hAnsi="Times New Roman" w:cs="Times New Roman"/>
          <w:sz w:val="24"/>
          <w:szCs w:val="24"/>
          <w:highlight w:val="green"/>
          <w:lang w:eastAsia="en-AU"/>
        </w:rPr>
        <w:t>a driver using a through street or highway has a right to assume, until the contrary is or reasonably should be apparent, that another driver will obey a stop sign</w:t>
      </w:r>
      <w:r w:rsidRPr="006F547A">
        <w:rPr>
          <w:rFonts w:ascii="Times New Roman" w:eastAsia="Times New Roman" w:hAnsi="Times New Roman" w:cs="Times New Roman"/>
          <w:sz w:val="24"/>
          <w:szCs w:val="24"/>
          <w:lang w:eastAsia="en-AU"/>
        </w:rPr>
        <w:t xml:space="preserve">. </w:t>
      </w:r>
      <w:r w:rsidRPr="00656B8A">
        <w:rPr>
          <w:rFonts w:ascii="Times New Roman" w:eastAsia="Times New Roman" w:hAnsi="Times New Roman" w:cs="Times New Roman"/>
          <w:i/>
          <w:iCs/>
          <w:sz w:val="24"/>
          <w:szCs w:val="24"/>
          <w:highlight w:val="cyan"/>
          <w:lang w:eastAsia="en-AU"/>
        </w:rPr>
        <w:t xml:space="preserve">Lawson v. Stephens, </w:t>
      </w:r>
      <w:r w:rsidRPr="00656B8A">
        <w:rPr>
          <w:rFonts w:ascii="Times New Roman" w:eastAsia="Times New Roman" w:hAnsi="Times New Roman" w:cs="Times New Roman"/>
          <w:color w:val="0000FF"/>
          <w:sz w:val="24"/>
          <w:szCs w:val="24"/>
          <w:highlight w:val="cyan"/>
          <w:u w:val="single"/>
          <w:lang w:eastAsia="en-AU"/>
        </w:rPr>
        <w:t>241 Ark. 407</w:t>
      </w:r>
      <w:r w:rsidRPr="00656B8A">
        <w:rPr>
          <w:rFonts w:ascii="Times New Roman" w:eastAsia="Times New Roman" w:hAnsi="Times New Roman" w:cs="Times New Roman"/>
          <w:sz w:val="24"/>
          <w:szCs w:val="24"/>
          <w:highlight w:val="cyan"/>
          <w:lang w:eastAsia="en-AU"/>
        </w:rPr>
        <w:t xml:space="preserve">, </w:t>
      </w:r>
      <w:hyperlink r:id="rId22" w:history="1">
        <w:r w:rsidRPr="00656B8A">
          <w:rPr>
            <w:rFonts w:ascii="Times New Roman" w:eastAsia="Times New Roman" w:hAnsi="Times New Roman" w:cs="Times New Roman"/>
            <w:color w:val="0000FF"/>
            <w:sz w:val="24"/>
            <w:szCs w:val="24"/>
            <w:highlight w:val="cyan"/>
            <w:u w:val="single"/>
            <w:lang w:eastAsia="en-AU"/>
          </w:rPr>
          <w:t>407 S.W.2d 917</w:t>
        </w:r>
      </w:hyperlink>
      <w:r w:rsidRPr="00656B8A">
        <w:rPr>
          <w:rFonts w:ascii="Times New Roman" w:eastAsia="Times New Roman" w:hAnsi="Times New Roman" w:cs="Times New Roman"/>
          <w:sz w:val="24"/>
          <w:szCs w:val="24"/>
          <w:highlight w:val="cyan"/>
          <w:lang w:eastAsia="en-AU"/>
        </w:rPr>
        <w:t xml:space="preserve"> (1966); </w:t>
      </w:r>
      <w:r w:rsidRPr="00656B8A">
        <w:rPr>
          <w:rFonts w:ascii="Times New Roman" w:eastAsia="Times New Roman" w:hAnsi="Times New Roman" w:cs="Times New Roman"/>
          <w:i/>
          <w:iCs/>
          <w:sz w:val="24"/>
          <w:szCs w:val="24"/>
          <w:highlight w:val="cyan"/>
          <w:lang w:eastAsia="en-AU"/>
        </w:rPr>
        <w:t xml:space="preserve">Shroeder v. Johnson, </w:t>
      </w:r>
      <w:r w:rsidRPr="00656B8A">
        <w:rPr>
          <w:rFonts w:ascii="Times New Roman" w:eastAsia="Times New Roman" w:hAnsi="Times New Roman" w:cs="Times New Roman"/>
          <w:color w:val="0000FF"/>
          <w:sz w:val="24"/>
          <w:szCs w:val="24"/>
          <w:highlight w:val="cyan"/>
          <w:u w:val="single"/>
          <w:lang w:eastAsia="en-AU"/>
        </w:rPr>
        <w:t>234 Ark. 443</w:t>
      </w:r>
      <w:r w:rsidRPr="00656B8A">
        <w:rPr>
          <w:rFonts w:ascii="Times New Roman" w:eastAsia="Times New Roman" w:hAnsi="Times New Roman" w:cs="Times New Roman"/>
          <w:sz w:val="24"/>
          <w:szCs w:val="24"/>
          <w:highlight w:val="cyan"/>
          <w:lang w:eastAsia="en-AU"/>
        </w:rPr>
        <w:t xml:space="preserve">, </w:t>
      </w:r>
      <w:hyperlink r:id="rId23" w:history="1">
        <w:r w:rsidRPr="00656B8A">
          <w:rPr>
            <w:rFonts w:ascii="Times New Roman" w:eastAsia="Times New Roman" w:hAnsi="Times New Roman" w:cs="Times New Roman"/>
            <w:color w:val="0000FF"/>
            <w:sz w:val="24"/>
            <w:szCs w:val="24"/>
            <w:highlight w:val="cyan"/>
            <w:u w:val="single"/>
            <w:lang w:eastAsia="en-AU"/>
          </w:rPr>
          <w:t>352 S.W.2d 570</w:t>
        </w:r>
      </w:hyperlink>
      <w:r w:rsidRPr="00656B8A">
        <w:rPr>
          <w:rFonts w:ascii="Times New Roman" w:eastAsia="Times New Roman" w:hAnsi="Times New Roman" w:cs="Times New Roman"/>
          <w:sz w:val="24"/>
          <w:szCs w:val="24"/>
          <w:highlight w:val="cyan"/>
          <w:lang w:eastAsia="en-AU"/>
        </w:rPr>
        <w:t xml:space="preserve"> (1962); </w:t>
      </w:r>
      <w:r w:rsidRPr="00656B8A">
        <w:rPr>
          <w:rFonts w:ascii="Times New Roman" w:eastAsia="Times New Roman" w:hAnsi="Times New Roman" w:cs="Times New Roman"/>
          <w:i/>
          <w:iCs/>
          <w:sz w:val="24"/>
          <w:szCs w:val="24"/>
          <w:highlight w:val="cyan"/>
          <w:lang w:eastAsia="en-AU"/>
        </w:rPr>
        <w:t xml:space="preserve">Rexer v. Carter, </w:t>
      </w:r>
      <w:r w:rsidRPr="00656B8A">
        <w:rPr>
          <w:rFonts w:ascii="Times New Roman" w:eastAsia="Times New Roman" w:hAnsi="Times New Roman" w:cs="Times New Roman"/>
          <w:color w:val="0000FF"/>
          <w:sz w:val="24"/>
          <w:szCs w:val="24"/>
          <w:highlight w:val="cyan"/>
          <w:u w:val="single"/>
          <w:lang w:eastAsia="en-AU"/>
        </w:rPr>
        <w:t>208 Ark. 342</w:t>
      </w:r>
      <w:r w:rsidRPr="00656B8A">
        <w:rPr>
          <w:rFonts w:ascii="Times New Roman" w:eastAsia="Times New Roman" w:hAnsi="Times New Roman" w:cs="Times New Roman"/>
          <w:sz w:val="24"/>
          <w:szCs w:val="24"/>
          <w:highlight w:val="cyan"/>
          <w:lang w:eastAsia="en-AU"/>
        </w:rPr>
        <w:t xml:space="preserve">, </w:t>
      </w:r>
      <w:hyperlink r:id="rId24" w:history="1">
        <w:r w:rsidRPr="00656B8A">
          <w:rPr>
            <w:rFonts w:ascii="Times New Roman" w:eastAsia="Times New Roman" w:hAnsi="Times New Roman" w:cs="Times New Roman"/>
            <w:color w:val="0000FF"/>
            <w:sz w:val="24"/>
            <w:szCs w:val="24"/>
            <w:highlight w:val="cyan"/>
            <w:u w:val="single"/>
            <w:lang w:eastAsia="en-AU"/>
          </w:rPr>
          <w:t>186 S.W.2d 147</w:t>
        </w:r>
      </w:hyperlink>
      <w:r w:rsidRPr="00656B8A">
        <w:rPr>
          <w:rFonts w:ascii="Times New Roman" w:eastAsia="Times New Roman" w:hAnsi="Times New Roman" w:cs="Times New Roman"/>
          <w:sz w:val="24"/>
          <w:szCs w:val="24"/>
          <w:highlight w:val="cyan"/>
          <w:lang w:eastAsia="en-AU"/>
        </w:rPr>
        <w:t xml:space="preserve"> (1945).</w:t>
      </w:r>
      <w:r w:rsidRPr="006F547A">
        <w:rPr>
          <w:rFonts w:ascii="Times New Roman" w:eastAsia="Times New Roman" w:hAnsi="Times New Roman" w:cs="Times New Roman"/>
          <w:sz w:val="24"/>
          <w:szCs w:val="24"/>
          <w:lang w:eastAsia="en-AU"/>
        </w:rPr>
        <w:t xml:space="preserve"> The holdings in these cases have been embodied in AMI 905, which provides that the driver with the right of way can assume that the disfavored driver will comply with the stop sign </w:t>
      </w:r>
      <w:r w:rsidRPr="006F547A">
        <w:rPr>
          <w:rFonts w:ascii="Times New Roman" w:eastAsia="Times New Roman" w:hAnsi="Times New Roman" w:cs="Times New Roman"/>
          <w:i/>
          <w:iCs/>
          <w:sz w:val="24"/>
          <w:szCs w:val="24"/>
          <w:lang w:eastAsia="en-AU"/>
        </w:rPr>
        <w:t xml:space="preserve">until the contrary is or reasonably should be apparent. </w:t>
      </w:r>
      <w:r w:rsidRPr="006F547A">
        <w:rPr>
          <w:rFonts w:ascii="Times New Roman" w:eastAsia="Times New Roman" w:hAnsi="Times New Roman" w:cs="Times New Roman"/>
          <w:sz w:val="24"/>
          <w:szCs w:val="24"/>
          <w:lang w:eastAsia="en-AU"/>
        </w:rPr>
        <w:t xml:space="preserve">Admittedly, the right of way is not absolute and all drivers, regardless of who has the right of way, have a duty to maintain a proper lookout and to use every precaution to avoid a collision. </w:t>
      </w:r>
      <w:r w:rsidRPr="006F547A">
        <w:rPr>
          <w:rFonts w:ascii="Times New Roman" w:eastAsia="Times New Roman" w:hAnsi="Times New Roman" w:cs="Times New Roman"/>
          <w:i/>
          <w:iCs/>
          <w:sz w:val="24"/>
          <w:szCs w:val="24"/>
          <w:lang w:eastAsia="en-AU"/>
        </w:rPr>
        <w:t xml:space="preserve">Olson v. Ortiz, </w:t>
      </w:r>
      <w:r w:rsidRPr="006F547A">
        <w:rPr>
          <w:rFonts w:ascii="Times New Roman" w:eastAsia="Times New Roman" w:hAnsi="Times New Roman" w:cs="Times New Roman"/>
          <w:color w:val="0000FF"/>
          <w:sz w:val="24"/>
          <w:szCs w:val="24"/>
          <w:u w:val="single"/>
          <w:lang w:eastAsia="en-AU"/>
        </w:rPr>
        <w:t>60 Ill.App.3d 787</w:t>
      </w:r>
      <w:r w:rsidRPr="006F547A">
        <w:rPr>
          <w:rFonts w:ascii="Times New Roman" w:eastAsia="Times New Roman" w:hAnsi="Times New Roman" w:cs="Times New Roman"/>
          <w:sz w:val="24"/>
          <w:szCs w:val="24"/>
          <w:lang w:eastAsia="en-AU"/>
        </w:rPr>
        <w:t xml:space="preserve">, </w:t>
      </w:r>
      <w:hyperlink r:id="rId25" w:history="1">
        <w:r w:rsidRPr="006F547A">
          <w:rPr>
            <w:rFonts w:ascii="Times New Roman" w:eastAsia="Times New Roman" w:hAnsi="Times New Roman" w:cs="Times New Roman"/>
            <w:color w:val="0000FF"/>
            <w:sz w:val="24"/>
            <w:szCs w:val="24"/>
            <w:u w:val="single"/>
            <w:lang w:eastAsia="en-AU"/>
          </w:rPr>
          <w:t>18 Ill.Dec. 197</w:t>
        </w:r>
      </w:hyperlink>
      <w:r w:rsidRPr="006F547A">
        <w:rPr>
          <w:rFonts w:ascii="Times New Roman" w:eastAsia="Times New Roman" w:hAnsi="Times New Roman" w:cs="Times New Roman"/>
          <w:sz w:val="24"/>
          <w:szCs w:val="24"/>
          <w:lang w:eastAsia="en-AU"/>
        </w:rPr>
        <w:t xml:space="preserve">, </w:t>
      </w:r>
      <w:r w:rsidRPr="006F547A">
        <w:rPr>
          <w:rFonts w:ascii="Times New Roman" w:eastAsia="Times New Roman" w:hAnsi="Times New Roman" w:cs="Times New Roman"/>
          <w:color w:val="0000FF"/>
          <w:sz w:val="24"/>
          <w:szCs w:val="24"/>
          <w:u w:val="single"/>
          <w:lang w:eastAsia="en-AU"/>
        </w:rPr>
        <w:t>377 N.E.2d 350</w:t>
      </w:r>
      <w:r w:rsidRPr="006F547A">
        <w:rPr>
          <w:rFonts w:ascii="Times New Roman" w:eastAsia="Times New Roman" w:hAnsi="Times New Roman" w:cs="Times New Roman"/>
          <w:sz w:val="24"/>
          <w:szCs w:val="24"/>
          <w:lang w:eastAsia="en-AU"/>
        </w:rPr>
        <w:t xml:space="preserve"> (1978); </w:t>
      </w:r>
      <w:r w:rsidRPr="006F547A">
        <w:rPr>
          <w:rFonts w:ascii="Times New Roman" w:eastAsia="Times New Roman" w:hAnsi="Times New Roman" w:cs="Times New Roman"/>
          <w:i/>
          <w:iCs/>
          <w:sz w:val="24"/>
          <w:szCs w:val="24"/>
          <w:lang w:eastAsia="en-AU"/>
        </w:rPr>
        <w:t xml:space="preserve">Piccone v. Stiles, </w:t>
      </w:r>
      <w:hyperlink r:id="rId26" w:history="1">
        <w:r w:rsidRPr="006F547A">
          <w:rPr>
            <w:rFonts w:ascii="Times New Roman" w:eastAsia="Times New Roman" w:hAnsi="Times New Roman" w:cs="Times New Roman"/>
            <w:color w:val="0000FF"/>
            <w:sz w:val="24"/>
            <w:szCs w:val="24"/>
            <w:u w:val="single"/>
            <w:lang w:eastAsia="en-AU"/>
          </w:rPr>
          <w:t>329 N.J.Super. 191</w:t>
        </w:r>
      </w:hyperlink>
      <w:r w:rsidRPr="006F547A">
        <w:rPr>
          <w:rFonts w:ascii="Times New Roman" w:eastAsia="Times New Roman" w:hAnsi="Times New Roman" w:cs="Times New Roman"/>
          <w:sz w:val="24"/>
          <w:szCs w:val="24"/>
          <w:lang w:eastAsia="en-AU"/>
        </w:rPr>
        <w:t xml:space="preserve">, </w:t>
      </w:r>
      <w:r w:rsidRPr="006F547A">
        <w:rPr>
          <w:rFonts w:ascii="Times New Roman" w:eastAsia="Times New Roman" w:hAnsi="Times New Roman" w:cs="Times New Roman"/>
          <w:color w:val="0000FF"/>
          <w:sz w:val="24"/>
          <w:szCs w:val="24"/>
          <w:u w:val="single"/>
          <w:lang w:eastAsia="en-AU"/>
        </w:rPr>
        <w:t>747 A.2d 296</w:t>
      </w:r>
      <w:r w:rsidRPr="006F547A">
        <w:rPr>
          <w:rFonts w:ascii="Times New Roman" w:eastAsia="Times New Roman" w:hAnsi="Times New Roman" w:cs="Times New Roman"/>
          <w:sz w:val="24"/>
          <w:szCs w:val="24"/>
          <w:lang w:eastAsia="en-AU"/>
        </w:rPr>
        <w:t xml:space="preserve"> (N.J.App. Div.2000); </w:t>
      </w:r>
      <w:r w:rsidRPr="006F547A">
        <w:rPr>
          <w:rFonts w:ascii="Times New Roman" w:eastAsia="Times New Roman" w:hAnsi="Times New Roman" w:cs="Times New Roman"/>
          <w:i/>
          <w:iCs/>
          <w:sz w:val="24"/>
          <w:szCs w:val="24"/>
          <w:lang w:eastAsia="en-AU"/>
        </w:rPr>
        <w:t xml:space="preserve">Ledford v. Fisher, </w:t>
      </w:r>
      <w:hyperlink r:id="rId27" w:history="1">
        <w:r w:rsidRPr="006F547A">
          <w:rPr>
            <w:rFonts w:ascii="Times New Roman" w:eastAsia="Times New Roman" w:hAnsi="Times New Roman" w:cs="Times New Roman"/>
            <w:color w:val="0000FF"/>
            <w:sz w:val="24"/>
            <w:szCs w:val="24"/>
            <w:u w:val="single"/>
            <w:lang w:eastAsia="en-AU"/>
          </w:rPr>
          <w:t>222 Tenn. 661</w:t>
        </w:r>
      </w:hyperlink>
      <w:r w:rsidRPr="006F547A">
        <w:rPr>
          <w:rFonts w:ascii="Times New Roman" w:eastAsia="Times New Roman" w:hAnsi="Times New Roman" w:cs="Times New Roman"/>
          <w:sz w:val="24"/>
          <w:szCs w:val="24"/>
          <w:lang w:eastAsia="en-AU"/>
        </w:rPr>
        <w:t xml:space="preserve">, </w:t>
      </w:r>
      <w:r w:rsidRPr="006F547A">
        <w:rPr>
          <w:rFonts w:ascii="Times New Roman" w:eastAsia="Times New Roman" w:hAnsi="Times New Roman" w:cs="Times New Roman"/>
          <w:color w:val="0000FF"/>
          <w:sz w:val="24"/>
          <w:szCs w:val="24"/>
          <w:u w:val="single"/>
          <w:lang w:eastAsia="en-AU"/>
        </w:rPr>
        <w:t>439 S.W.2d 781</w:t>
      </w:r>
      <w:r w:rsidRPr="006F547A">
        <w:rPr>
          <w:rFonts w:ascii="Times New Roman" w:eastAsia="Times New Roman" w:hAnsi="Times New Roman" w:cs="Times New Roman"/>
          <w:sz w:val="24"/>
          <w:szCs w:val="24"/>
          <w:lang w:eastAsia="en-AU"/>
        </w:rPr>
        <w:t xml:space="preserve"> (1969); </w:t>
      </w:r>
      <w:r w:rsidRPr="006F547A">
        <w:rPr>
          <w:rFonts w:ascii="Times New Roman" w:eastAsia="Times New Roman" w:hAnsi="Times New Roman" w:cs="Times New Roman"/>
          <w:i/>
          <w:iCs/>
          <w:sz w:val="24"/>
          <w:szCs w:val="24"/>
          <w:lang w:eastAsia="en-AU"/>
        </w:rPr>
        <w:t xml:space="preserve">Liles v. Employers Mut. Ins. of Wausau, </w:t>
      </w:r>
      <w:hyperlink r:id="rId28" w:history="1">
        <w:r w:rsidRPr="006F547A">
          <w:rPr>
            <w:rFonts w:ascii="Times New Roman" w:eastAsia="Times New Roman" w:hAnsi="Times New Roman" w:cs="Times New Roman"/>
            <w:color w:val="0000FF"/>
            <w:sz w:val="24"/>
            <w:szCs w:val="24"/>
            <w:u w:val="single"/>
            <w:lang w:eastAsia="en-AU"/>
          </w:rPr>
          <w:t>126 Wis.2d 492</w:t>
        </w:r>
      </w:hyperlink>
      <w:r w:rsidRPr="006F547A">
        <w:rPr>
          <w:rFonts w:ascii="Times New Roman" w:eastAsia="Times New Roman" w:hAnsi="Times New Roman" w:cs="Times New Roman"/>
          <w:sz w:val="24"/>
          <w:szCs w:val="24"/>
          <w:lang w:eastAsia="en-AU"/>
        </w:rPr>
        <w:t xml:space="preserve">, </w:t>
      </w:r>
      <w:r w:rsidRPr="006F547A">
        <w:rPr>
          <w:rFonts w:ascii="Times New Roman" w:eastAsia="Times New Roman" w:hAnsi="Times New Roman" w:cs="Times New Roman"/>
          <w:color w:val="0000FF"/>
          <w:sz w:val="24"/>
          <w:szCs w:val="24"/>
          <w:u w:val="single"/>
          <w:lang w:eastAsia="en-AU"/>
        </w:rPr>
        <w:t>377 N.W.2d 214</w:t>
      </w:r>
      <w:r w:rsidRPr="006F547A">
        <w:rPr>
          <w:rFonts w:ascii="Times New Roman" w:eastAsia="Times New Roman" w:hAnsi="Times New Roman" w:cs="Times New Roman"/>
          <w:sz w:val="24"/>
          <w:szCs w:val="24"/>
          <w:lang w:eastAsia="en-AU"/>
        </w:rPr>
        <w:t xml:space="preserve"> (Wis.App.1985).</w:t>
      </w:r>
    </w:p>
    <w:p w14:paraId="4AC0B205" w14:textId="7F5B420A" w:rsidR="006F547A" w:rsidRPr="006F547A" w:rsidRDefault="006F547A" w:rsidP="006F54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83EFA">
        <w:rPr>
          <w:rFonts w:ascii="Times New Roman" w:eastAsia="Times New Roman" w:hAnsi="Times New Roman" w:cs="Times New Roman"/>
          <w:sz w:val="24"/>
          <w:szCs w:val="24"/>
          <w:highlight w:val="green"/>
          <w:lang w:eastAsia="en-AU"/>
        </w:rPr>
        <w:t>Turner, as the favored driver, was not required to slow down or bring his vehicle under such control as to be able to stop in order to avoid a collision</w:t>
      </w:r>
      <w:r w:rsidRPr="006F547A">
        <w:rPr>
          <w:rFonts w:ascii="Times New Roman" w:eastAsia="Times New Roman" w:hAnsi="Times New Roman" w:cs="Times New Roman"/>
          <w:sz w:val="24"/>
          <w:szCs w:val="24"/>
          <w:lang w:eastAsia="en-AU"/>
        </w:rPr>
        <w:t xml:space="preserve">. </w:t>
      </w:r>
      <w:r w:rsidRPr="006F547A">
        <w:rPr>
          <w:rFonts w:ascii="Times New Roman" w:eastAsia="Times New Roman" w:hAnsi="Times New Roman" w:cs="Times New Roman"/>
          <w:i/>
          <w:iCs/>
          <w:sz w:val="24"/>
          <w:szCs w:val="24"/>
          <w:lang w:eastAsia="en-AU"/>
        </w:rPr>
        <w:t xml:space="preserve">Shroeder, </w:t>
      </w:r>
      <w:hyperlink r:id="rId29" w:history="1">
        <w:r w:rsidRPr="006F547A">
          <w:rPr>
            <w:rFonts w:ascii="Times New Roman" w:eastAsia="Times New Roman" w:hAnsi="Times New Roman" w:cs="Times New Roman"/>
            <w:i/>
            <w:iCs/>
            <w:color w:val="0000FF"/>
            <w:sz w:val="24"/>
            <w:szCs w:val="24"/>
            <w:u w:val="single"/>
            <w:lang w:eastAsia="en-AU"/>
          </w:rPr>
          <w:t>supra.</w:t>
        </w:r>
      </w:hyperlink>
      <w:r w:rsidRPr="006F547A">
        <w:rPr>
          <w:rFonts w:ascii="Times New Roman" w:eastAsia="Times New Roman" w:hAnsi="Times New Roman" w:cs="Times New Roman"/>
          <w:i/>
          <w:iCs/>
          <w:sz w:val="24"/>
          <w:szCs w:val="24"/>
          <w:lang w:eastAsia="en-AU"/>
        </w:rPr>
        <w:t xml:space="preserve"> </w:t>
      </w:r>
      <w:r w:rsidRPr="006F547A">
        <w:rPr>
          <w:rFonts w:ascii="Times New Roman" w:eastAsia="Times New Roman" w:hAnsi="Times New Roman" w:cs="Times New Roman"/>
          <w:sz w:val="24"/>
          <w:szCs w:val="24"/>
          <w:lang w:eastAsia="en-AU"/>
        </w:rPr>
        <w:t xml:space="preserve">Even so, Turner’s testimony and Trooper Spurlin’s report show that </w:t>
      </w:r>
      <w:r w:rsidRPr="00792AEF">
        <w:rPr>
          <w:rFonts w:ascii="Times New Roman" w:eastAsia="Times New Roman" w:hAnsi="Times New Roman" w:cs="Times New Roman"/>
          <w:sz w:val="24"/>
          <w:szCs w:val="24"/>
          <w:highlight w:val="yellow"/>
          <w:lang w:eastAsia="en-AU"/>
        </w:rPr>
        <w:t>Turner attempted to change lanes and move to the left to avoid a collision with Davis.</w:t>
      </w:r>
      <w:r w:rsidRPr="006F547A">
        <w:rPr>
          <w:rFonts w:ascii="Times New Roman" w:eastAsia="Times New Roman" w:hAnsi="Times New Roman" w:cs="Times New Roman"/>
          <w:sz w:val="24"/>
          <w:szCs w:val="24"/>
          <w:lang w:eastAsia="en-AU"/>
        </w:rPr>
        <w:t xml:space="preserve"> Here, </w:t>
      </w:r>
      <w:r w:rsidRPr="00792AEF">
        <w:rPr>
          <w:rFonts w:ascii="Times New Roman" w:eastAsia="Times New Roman" w:hAnsi="Times New Roman" w:cs="Times New Roman"/>
          <w:sz w:val="24"/>
          <w:szCs w:val="24"/>
          <w:highlight w:val="green"/>
          <w:lang w:eastAsia="en-AU"/>
        </w:rPr>
        <w:t>there is no material issue of fact that Turner was using a through highway and that Davis had the duty to yield at the intersection, which she failed to do</w:t>
      </w:r>
      <w:r w:rsidRPr="006F547A">
        <w:rPr>
          <w:rFonts w:ascii="Times New Roman" w:eastAsia="Times New Roman" w:hAnsi="Times New Roman" w:cs="Times New Roman"/>
          <w:sz w:val="24"/>
          <w:szCs w:val="24"/>
          <w:lang w:eastAsia="en-AU"/>
        </w:rPr>
        <w:t xml:space="preserve">. </w:t>
      </w:r>
      <w:r w:rsidRPr="00792AEF">
        <w:rPr>
          <w:rFonts w:ascii="Times New Roman" w:eastAsia="Times New Roman" w:hAnsi="Times New Roman" w:cs="Times New Roman"/>
          <w:sz w:val="24"/>
          <w:szCs w:val="24"/>
          <w:highlight w:val="yellow"/>
          <w:lang w:eastAsia="en-AU"/>
        </w:rPr>
        <w:t>Turner had already entered the intersection when he was struck broadside by Davis.</w:t>
      </w:r>
      <w:r w:rsidRPr="006F547A">
        <w:rPr>
          <w:rFonts w:ascii="Times New Roman" w:eastAsia="Times New Roman" w:hAnsi="Times New Roman" w:cs="Times New Roman"/>
          <w:sz w:val="24"/>
          <w:szCs w:val="24"/>
          <w:lang w:eastAsia="en-AU"/>
        </w:rPr>
        <w:t xml:space="preserve"> Under these circumstances, we agree with the circuit court’s conclusion that Davis was the proximate cause of this collision. Therefore, </w:t>
      </w:r>
      <w:r w:rsidRPr="00D55CA2">
        <w:rPr>
          <w:rFonts w:ascii="Times New Roman" w:eastAsia="Times New Roman" w:hAnsi="Times New Roman" w:cs="Times New Roman"/>
          <w:sz w:val="24"/>
          <w:szCs w:val="24"/>
          <w:highlight w:val="red"/>
          <w:lang w:eastAsia="en-AU"/>
        </w:rPr>
        <w:t>summary judgment was properly entered for Schneider and Turner.</w:t>
      </w:r>
      <w:r w:rsidRPr="006F547A">
        <w:rPr>
          <w:rFonts w:ascii="Times New Roman" w:eastAsia="Times New Roman" w:hAnsi="Times New Roman" w:cs="Times New Roman"/>
          <w:sz w:val="24"/>
          <w:szCs w:val="24"/>
          <w:lang w:eastAsia="en-AU"/>
        </w:rPr>
        <w:t xml:space="preserve"> </w:t>
      </w:r>
      <w:r w:rsidRPr="006F547A">
        <w:rPr>
          <w:rFonts w:ascii="Times New Roman" w:eastAsia="Times New Roman" w:hAnsi="Times New Roman" w:cs="Times New Roman"/>
          <w:i/>
          <w:iCs/>
          <w:sz w:val="24"/>
          <w:szCs w:val="24"/>
          <w:lang w:eastAsia="en-AU"/>
        </w:rPr>
        <w:t xml:space="preserve">See Barriga v. Arkansas &amp; Missouri R.R. Co., </w:t>
      </w:r>
      <w:r w:rsidRPr="006F547A">
        <w:rPr>
          <w:rFonts w:ascii="Times New Roman" w:eastAsia="Times New Roman" w:hAnsi="Times New Roman" w:cs="Times New Roman"/>
          <w:color w:val="0000FF"/>
          <w:sz w:val="24"/>
          <w:szCs w:val="24"/>
          <w:u w:val="single"/>
          <w:lang w:eastAsia="en-AU"/>
        </w:rPr>
        <w:t>79 Ark.App. 358</w:t>
      </w:r>
      <w:r w:rsidRPr="006F547A">
        <w:rPr>
          <w:rFonts w:ascii="Times New Roman" w:eastAsia="Times New Roman" w:hAnsi="Times New Roman" w:cs="Times New Roman"/>
          <w:sz w:val="24"/>
          <w:szCs w:val="24"/>
          <w:lang w:eastAsia="en-AU"/>
        </w:rPr>
        <w:t xml:space="preserve">, </w:t>
      </w:r>
      <w:hyperlink r:id="rId30" w:history="1">
        <w:r w:rsidRPr="006F547A">
          <w:rPr>
            <w:rFonts w:ascii="Times New Roman" w:eastAsia="Times New Roman" w:hAnsi="Times New Roman" w:cs="Times New Roman"/>
            <w:color w:val="0000FF"/>
            <w:sz w:val="24"/>
            <w:szCs w:val="24"/>
            <w:u w:val="single"/>
            <w:lang w:eastAsia="en-AU"/>
          </w:rPr>
          <w:t>87 S.W.3d 808</w:t>
        </w:r>
      </w:hyperlink>
      <w:r w:rsidRPr="006F547A">
        <w:rPr>
          <w:rFonts w:ascii="Times New Roman" w:eastAsia="Times New Roman" w:hAnsi="Times New Roman" w:cs="Times New Roman"/>
          <w:sz w:val="24"/>
          <w:szCs w:val="24"/>
          <w:lang w:eastAsia="en-AU"/>
        </w:rPr>
        <w:t xml:space="preserve"> (2002). There is likewise no merit to Davis’s argument that the circuit court somehow relieved Schneider and Turner of their duty to her.</w:t>
      </w:r>
    </w:p>
    <w:p w14:paraId="5D7A3711" w14:textId="32F3B52F" w:rsidR="006F547A" w:rsidRPr="006F547A" w:rsidRDefault="006F547A" w:rsidP="006F54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547A">
        <w:rPr>
          <w:rFonts w:ascii="Times New Roman" w:eastAsia="Times New Roman" w:hAnsi="Times New Roman" w:cs="Times New Roman"/>
          <w:sz w:val="24"/>
          <w:szCs w:val="24"/>
          <w:lang w:eastAsia="en-AU"/>
        </w:rPr>
        <w:t xml:space="preserve">In light of our affirmance on the issue of proximate cause, we need not address Davis’s remaining arguments concerning whether certain claims against Schneider remain viable or whether the circuit court correctly granted summary judgment on </w:t>
      </w:r>
      <w:r w:rsidRPr="006F547A">
        <w:rPr>
          <w:rFonts w:ascii="Times New Roman" w:eastAsia="Times New Roman" w:hAnsi="Times New Roman" w:cs="Times New Roman"/>
          <w:color w:val="0000FF"/>
          <w:sz w:val="24"/>
          <w:szCs w:val="24"/>
          <w:u w:val="single"/>
          <w:lang w:eastAsia="en-AU"/>
        </w:rPr>
        <w:t>*327</w:t>
      </w:r>
      <w:r w:rsidRPr="006F547A">
        <w:rPr>
          <w:rFonts w:ascii="Times New Roman" w:eastAsia="Times New Roman" w:hAnsi="Times New Roman" w:cs="Times New Roman"/>
          <w:sz w:val="24"/>
          <w:szCs w:val="24"/>
          <w:lang w:eastAsia="en-AU"/>
        </w:rPr>
        <w:t>her claim for punitive damages.</w:t>
      </w:r>
      <w:hyperlink r:id="rId31" w:anchor="footnote_1_4" w:history="1">
        <w:r w:rsidRPr="006F547A">
          <w:rPr>
            <w:rFonts w:ascii="Times New Roman" w:eastAsia="Times New Roman" w:hAnsi="Times New Roman" w:cs="Times New Roman"/>
            <w:color w:val="0000FF"/>
            <w:sz w:val="24"/>
            <w:szCs w:val="24"/>
            <w:u w:val="single"/>
            <w:lang w:eastAsia="en-AU"/>
          </w:rPr>
          <w:t>4</w:t>
        </w:r>
      </w:hyperlink>
      <w:r w:rsidRPr="006F547A">
        <w:rPr>
          <w:rFonts w:ascii="Times New Roman" w:eastAsia="Times New Roman" w:hAnsi="Times New Roman" w:cs="Times New Roman"/>
          <w:sz w:val="24"/>
          <w:szCs w:val="24"/>
          <w:lang w:eastAsia="en-AU"/>
        </w:rPr>
        <w:t xml:space="preserve"> </w:t>
      </w:r>
    </w:p>
    <w:p w14:paraId="349F6B6E" w14:textId="77777777" w:rsidR="006F547A" w:rsidRPr="006F547A" w:rsidRDefault="006F547A" w:rsidP="006F54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547A">
        <w:rPr>
          <w:rFonts w:ascii="Times New Roman" w:eastAsia="Times New Roman" w:hAnsi="Times New Roman" w:cs="Times New Roman"/>
          <w:sz w:val="24"/>
          <w:szCs w:val="24"/>
          <w:lang w:eastAsia="en-AU"/>
        </w:rPr>
        <w:t>11(&gt;Affirmed.</w:t>
      </w:r>
    </w:p>
    <w:p w14:paraId="62E93626" w14:textId="77777777" w:rsidR="006F547A" w:rsidRPr="006F547A" w:rsidRDefault="006F547A" w:rsidP="006F54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547A">
        <w:rPr>
          <w:rFonts w:ascii="Times New Roman" w:eastAsia="Times New Roman" w:hAnsi="Times New Roman" w:cs="Times New Roman"/>
          <w:sz w:val="24"/>
          <w:szCs w:val="24"/>
          <w:lang w:eastAsia="en-AU"/>
        </w:rPr>
        <w:t>VAUGHT and BROWN, JJ., agree.</w:t>
      </w:r>
    </w:p>
    <w:p w14:paraId="27CF2BD2" w14:textId="5A3C81B8" w:rsidR="006F547A" w:rsidRPr="006F547A" w:rsidRDefault="006F547A" w:rsidP="006F547A">
      <w:pPr>
        <w:spacing w:after="0" w:line="240" w:lineRule="auto"/>
        <w:jc w:val="left"/>
        <w:rPr>
          <w:rFonts w:ascii="Times New Roman" w:eastAsia="Times New Roman" w:hAnsi="Times New Roman" w:cs="Times New Roman"/>
          <w:sz w:val="24"/>
          <w:szCs w:val="24"/>
          <w:lang w:eastAsia="en-AU"/>
        </w:rPr>
      </w:pPr>
      <w:r w:rsidRPr="006F547A">
        <w:rPr>
          <w:rFonts w:ascii="Times New Roman" w:eastAsia="Times New Roman" w:hAnsi="Times New Roman" w:cs="Times New Roman"/>
          <w:color w:val="0000FF"/>
          <w:sz w:val="24"/>
          <w:szCs w:val="24"/>
          <w:u w:val="single"/>
          <w:lang w:eastAsia="en-AU"/>
        </w:rPr>
        <w:t>1</w:t>
      </w:r>
      <w:r w:rsidRPr="006F547A">
        <w:rPr>
          <w:rFonts w:ascii="Times New Roman" w:eastAsia="Times New Roman" w:hAnsi="Times New Roman" w:cs="Times New Roman"/>
          <w:sz w:val="24"/>
          <w:szCs w:val="24"/>
          <w:lang w:eastAsia="en-AU"/>
        </w:rPr>
        <w:t xml:space="preserve"> </w:t>
      </w:r>
    </w:p>
    <w:p w14:paraId="51D0CCDD" w14:textId="77777777" w:rsidR="006F547A" w:rsidRPr="006F547A" w:rsidRDefault="006F547A" w:rsidP="006F54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547A">
        <w:rPr>
          <w:rFonts w:ascii="Times New Roman" w:eastAsia="Times New Roman" w:hAnsi="Times New Roman" w:cs="Times New Roman"/>
          <w:sz w:val="24"/>
          <w:szCs w:val="24"/>
          <w:lang w:eastAsia="en-AU"/>
        </w:rPr>
        <w:t>. Schneider National Carriers, Inc., is a wholly-owned subsidiary of Schneider National, Inc. Out of convenience, we refer to Schneider National Carriers, Inc., and Schneider National, Inc., collectively as Schneider unless the context requires otherwise.</w:t>
      </w:r>
    </w:p>
    <w:p w14:paraId="52500F41" w14:textId="77777777" w:rsidR="006F547A" w:rsidRPr="006F547A" w:rsidRDefault="008E43DE" w:rsidP="006F547A">
      <w:pPr>
        <w:spacing w:after="0" w:line="240" w:lineRule="auto"/>
        <w:jc w:val="left"/>
        <w:rPr>
          <w:rFonts w:ascii="Times New Roman" w:eastAsia="Times New Roman" w:hAnsi="Times New Roman" w:cs="Times New Roman"/>
          <w:sz w:val="24"/>
          <w:szCs w:val="24"/>
          <w:lang w:eastAsia="en-AU"/>
        </w:rPr>
      </w:pPr>
      <w:hyperlink r:id="rId32" w:anchor="ref_footnote_1_2" w:history="1">
        <w:r w:rsidR="006F547A" w:rsidRPr="006F547A">
          <w:rPr>
            <w:rFonts w:ascii="Times New Roman" w:eastAsia="Times New Roman" w:hAnsi="Times New Roman" w:cs="Times New Roman"/>
            <w:color w:val="0000FF"/>
            <w:sz w:val="24"/>
            <w:szCs w:val="24"/>
            <w:u w:val="single"/>
            <w:lang w:eastAsia="en-AU"/>
          </w:rPr>
          <w:t>2</w:t>
        </w:r>
      </w:hyperlink>
      <w:r w:rsidR="006F547A" w:rsidRPr="006F547A">
        <w:rPr>
          <w:rFonts w:ascii="Times New Roman" w:eastAsia="Times New Roman" w:hAnsi="Times New Roman" w:cs="Times New Roman"/>
          <w:sz w:val="24"/>
          <w:szCs w:val="24"/>
          <w:lang w:eastAsia="en-AU"/>
        </w:rPr>
        <w:t xml:space="preserve"> </w:t>
      </w:r>
    </w:p>
    <w:p w14:paraId="646609B3" w14:textId="77777777" w:rsidR="006F547A" w:rsidRPr="006F547A" w:rsidRDefault="006F547A" w:rsidP="006F54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547A">
        <w:rPr>
          <w:rFonts w:ascii="Times New Roman" w:eastAsia="Times New Roman" w:hAnsi="Times New Roman" w:cs="Times New Roman"/>
          <w:sz w:val="24"/>
          <w:szCs w:val="24"/>
          <w:lang w:eastAsia="en-AU"/>
        </w:rPr>
        <w:t>. Prior to the collision, Schneider had identified Turner as a high risk for sleep apnea, but he was not notified of that until the day of the collision. Ten days after the accident, Turner was examined and diagnosed as having severe obstructive sleep apnea.</w:t>
      </w:r>
    </w:p>
    <w:p w14:paraId="398F171B" w14:textId="3DEFC0FC" w:rsidR="006F547A" w:rsidRPr="006F547A" w:rsidRDefault="006F547A" w:rsidP="006F547A">
      <w:pPr>
        <w:spacing w:after="0" w:line="240" w:lineRule="auto"/>
        <w:jc w:val="left"/>
        <w:rPr>
          <w:rFonts w:ascii="Times New Roman" w:eastAsia="Times New Roman" w:hAnsi="Times New Roman" w:cs="Times New Roman"/>
          <w:sz w:val="24"/>
          <w:szCs w:val="24"/>
          <w:lang w:eastAsia="en-AU"/>
        </w:rPr>
      </w:pPr>
      <w:r w:rsidRPr="006F547A">
        <w:rPr>
          <w:rFonts w:ascii="Times New Roman" w:eastAsia="Times New Roman" w:hAnsi="Times New Roman" w:cs="Times New Roman"/>
          <w:color w:val="0000FF"/>
          <w:sz w:val="24"/>
          <w:szCs w:val="24"/>
          <w:u w:val="single"/>
          <w:lang w:eastAsia="en-AU"/>
        </w:rPr>
        <w:t>3</w:t>
      </w:r>
      <w:r w:rsidRPr="006F547A">
        <w:rPr>
          <w:rFonts w:ascii="Times New Roman" w:eastAsia="Times New Roman" w:hAnsi="Times New Roman" w:cs="Times New Roman"/>
          <w:sz w:val="24"/>
          <w:szCs w:val="24"/>
          <w:lang w:eastAsia="en-AU"/>
        </w:rPr>
        <w:t xml:space="preserve"> </w:t>
      </w:r>
    </w:p>
    <w:p w14:paraId="4176430C" w14:textId="77777777" w:rsidR="006F547A" w:rsidRPr="006F547A" w:rsidRDefault="006F547A" w:rsidP="006F54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547A">
        <w:rPr>
          <w:rFonts w:ascii="Times New Roman" w:eastAsia="Times New Roman" w:hAnsi="Times New Roman" w:cs="Times New Roman"/>
          <w:sz w:val="24"/>
          <w:szCs w:val="24"/>
          <w:lang w:eastAsia="en-AU"/>
        </w:rPr>
        <w:t xml:space="preserve">. Davis argues that </w:t>
      </w:r>
      <w:r w:rsidRPr="006F547A">
        <w:rPr>
          <w:rFonts w:ascii="Times New Roman" w:eastAsia="Times New Roman" w:hAnsi="Times New Roman" w:cs="Times New Roman"/>
          <w:i/>
          <w:iCs/>
          <w:sz w:val="24"/>
          <w:szCs w:val="24"/>
          <w:lang w:eastAsia="en-AU"/>
        </w:rPr>
        <w:t xml:space="preserve">Horton </w:t>
      </w:r>
      <w:r w:rsidRPr="006F547A">
        <w:rPr>
          <w:rFonts w:ascii="Times New Roman" w:eastAsia="Times New Roman" w:hAnsi="Times New Roman" w:cs="Times New Roman"/>
          <w:sz w:val="24"/>
          <w:szCs w:val="24"/>
          <w:lang w:eastAsia="en-AU"/>
        </w:rPr>
        <w:t xml:space="preserve">is inapplicable because that case involved a motion for a new trial instead of a motion for reconsideration. Davis’s motion for reconsideration was, in fact, a motion for a new trial because it alleged that the circuit court’s decision in granting summary judgment was contrary to law. </w:t>
      </w:r>
      <w:r w:rsidRPr="006F547A">
        <w:rPr>
          <w:rFonts w:ascii="Times New Roman" w:eastAsia="Times New Roman" w:hAnsi="Times New Roman" w:cs="Times New Roman"/>
          <w:i/>
          <w:iCs/>
          <w:sz w:val="24"/>
          <w:szCs w:val="24"/>
          <w:lang w:eastAsia="en-AU"/>
        </w:rPr>
        <w:t xml:space="preserve">See </w:t>
      </w:r>
      <w:r w:rsidRPr="006F547A">
        <w:rPr>
          <w:rFonts w:ascii="Times New Roman" w:eastAsia="Times New Roman" w:hAnsi="Times New Roman" w:cs="Times New Roman"/>
          <w:sz w:val="24"/>
          <w:szCs w:val="24"/>
          <w:lang w:eastAsia="en-AU"/>
        </w:rPr>
        <w:t>Ark. R. Civ. P. 59(a)(6) (setting forth as a ground for a new trial that the decision was clearly contrary to law).</w:t>
      </w:r>
    </w:p>
    <w:p w14:paraId="70F6EDD6" w14:textId="77777777" w:rsidR="006F547A" w:rsidRPr="006F547A" w:rsidRDefault="008E43DE" w:rsidP="006F547A">
      <w:pPr>
        <w:spacing w:after="0" w:line="240" w:lineRule="auto"/>
        <w:jc w:val="left"/>
        <w:rPr>
          <w:rFonts w:ascii="Times New Roman" w:eastAsia="Times New Roman" w:hAnsi="Times New Roman" w:cs="Times New Roman"/>
          <w:sz w:val="24"/>
          <w:szCs w:val="24"/>
          <w:lang w:eastAsia="en-AU"/>
        </w:rPr>
      </w:pPr>
      <w:hyperlink r:id="rId33" w:anchor="ref_footnote_1_4" w:history="1">
        <w:r w:rsidR="006F547A" w:rsidRPr="006F547A">
          <w:rPr>
            <w:rFonts w:ascii="Times New Roman" w:eastAsia="Times New Roman" w:hAnsi="Times New Roman" w:cs="Times New Roman"/>
            <w:color w:val="0000FF"/>
            <w:sz w:val="24"/>
            <w:szCs w:val="24"/>
            <w:u w:val="single"/>
            <w:lang w:eastAsia="en-AU"/>
          </w:rPr>
          <w:t>4</w:t>
        </w:r>
      </w:hyperlink>
      <w:r w:rsidR="006F547A" w:rsidRPr="006F547A">
        <w:rPr>
          <w:rFonts w:ascii="Times New Roman" w:eastAsia="Times New Roman" w:hAnsi="Times New Roman" w:cs="Times New Roman"/>
          <w:sz w:val="24"/>
          <w:szCs w:val="24"/>
          <w:lang w:eastAsia="en-AU"/>
        </w:rPr>
        <w:t xml:space="preserve"> </w:t>
      </w:r>
    </w:p>
    <w:p w14:paraId="64DD5FF0" w14:textId="2C4C21C9" w:rsidR="001606B4" w:rsidRDefault="006F547A" w:rsidP="0099372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547A">
        <w:rPr>
          <w:rFonts w:ascii="Times New Roman" w:eastAsia="Times New Roman" w:hAnsi="Times New Roman" w:cs="Times New Roman"/>
          <w:sz w:val="24"/>
          <w:szCs w:val="24"/>
          <w:lang w:eastAsia="en-AU"/>
        </w:rPr>
        <w:t xml:space="preserve">. As a final matter, we note that Davis’s inclusion of the deposition transcripts in her addendum, in addition to the abstract, violates our briefing rules. If a transcript of a deposition is an exhibit to a motion or related paper, the material parts of the transcript shall be abstracted, </w:t>
      </w:r>
      <w:r w:rsidRPr="006F547A">
        <w:rPr>
          <w:rFonts w:ascii="Times New Roman" w:eastAsia="Times New Roman" w:hAnsi="Times New Roman" w:cs="Times New Roman"/>
          <w:i/>
          <w:iCs/>
          <w:sz w:val="24"/>
          <w:szCs w:val="24"/>
          <w:lang w:eastAsia="en-AU"/>
        </w:rPr>
        <w:t xml:space="preserve">not </w:t>
      </w:r>
      <w:r w:rsidRPr="006F547A">
        <w:rPr>
          <w:rFonts w:ascii="Times New Roman" w:eastAsia="Times New Roman" w:hAnsi="Times New Roman" w:cs="Times New Roman"/>
          <w:sz w:val="24"/>
          <w:szCs w:val="24"/>
          <w:lang w:eastAsia="en-AU"/>
        </w:rPr>
        <w:t xml:space="preserve">included in the addendum. Ark. Sup.Ct. R. 4-2(a)(5)(A) &amp; 4-2(a)(8)(A)(i). The addendum shall also contain a reference to the abstract pages where the transcript exhibit appears as abstracted. Ark. Sup.Ct. R. 4-2(a)(8)(A)(i). Both this court and the supreme court have recently ordered rebrief-ing to correct such defects. </w:t>
      </w:r>
      <w:r w:rsidRPr="006F547A">
        <w:rPr>
          <w:rFonts w:ascii="Times New Roman" w:eastAsia="Times New Roman" w:hAnsi="Times New Roman" w:cs="Times New Roman"/>
          <w:i/>
          <w:iCs/>
          <w:sz w:val="24"/>
          <w:szCs w:val="24"/>
          <w:lang w:eastAsia="en-AU"/>
        </w:rPr>
        <w:t xml:space="preserve">See Skalla v. Canepari, </w:t>
      </w:r>
      <w:r w:rsidRPr="006F547A">
        <w:rPr>
          <w:rFonts w:ascii="Times New Roman" w:eastAsia="Times New Roman" w:hAnsi="Times New Roman" w:cs="Times New Roman"/>
          <w:color w:val="0000FF"/>
          <w:sz w:val="24"/>
          <w:szCs w:val="24"/>
          <w:u w:val="single"/>
          <w:lang w:eastAsia="en-AU"/>
        </w:rPr>
        <w:t>2013 Ark. 249</w:t>
      </w:r>
      <w:r w:rsidRPr="006F547A">
        <w:rPr>
          <w:rFonts w:ascii="Times New Roman" w:eastAsia="Times New Roman" w:hAnsi="Times New Roman" w:cs="Times New Roman"/>
          <w:sz w:val="24"/>
          <w:szCs w:val="24"/>
          <w:lang w:eastAsia="en-AU"/>
        </w:rPr>
        <w:t xml:space="preserve">, </w:t>
      </w:r>
      <w:hyperlink r:id="rId34" w:history="1">
        <w:r w:rsidRPr="006F547A">
          <w:rPr>
            <w:rFonts w:ascii="Times New Roman" w:eastAsia="Times New Roman" w:hAnsi="Times New Roman" w:cs="Times New Roman"/>
            <w:color w:val="0000FF"/>
            <w:sz w:val="24"/>
            <w:szCs w:val="24"/>
            <w:u w:val="single"/>
            <w:lang w:eastAsia="en-AU"/>
          </w:rPr>
          <w:t>2013 WL 2460166</w:t>
        </w:r>
      </w:hyperlink>
      <w:r w:rsidRPr="006F547A">
        <w:rPr>
          <w:rFonts w:ascii="Times New Roman" w:eastAsia="Times New Roman" w:hAnsi="Times New Roman" w:cs="Times New Roman"/>
          <w:sz w:val="24"/>
          <w:szCs w:val="24"/>
          <w:lang w:eastAsia="en-AU"/>
        </w:rPr>
        <w:t xml:space="preserve"> (per curiam): </w:t>
      </w:r>
      <w:r w:rsidRPr="006F547A">
        <w:rPr>
          <w:rFonts w:ascii="Times New Roman" w:eastAsia="Times New Roman" w:hAnsi="Times New Roman" w:cs="Times New Roman"/>
          <w:i/>
          <w:iCs/>
          <w:sz w:val="24"/>
          <w:szCs w:val="24"/>
          <w:lang w:eastAsia="en-AU"/>
        </w:rPr>
        <w:t xml:space="preserve">GSS, LLC v. Centerpoint Energy Gas Transmission Co., </w:t>
      </w:r>
      <w:r w:rsidRPr="006F547A">
        <w:rPr>
          <w:rFonts w:ascii="Times New Roman" w:eastAsia="Times New Roman" w:hAnsi="Times New Roman" w:cs="Times New Roman"/>
          <w:color w:val="0000FF"/>
          <w:sz w:val="24"/>
          <w:szCs w:val="24"/>
          <w:u w:val="single"/>
          <w:lang w:eastAsia="en-AU"/>
        </w:rPr>
        <w:t>2013 Ark. App. 465</w:t>
      </w:r>
      <w:r w:rsidRPr="006F547A">
        <w:rPr>
          <w:rFonts w:ascii="Times New Roman" w:eastAsia="Times New Roman" w:hAnsi="Times New Roman" w:cs="Times New Roman"/>
          <w:sz w:val="24"/>
          <w:szCs w:val="24"/>
          <w:lang w:eastAsia="en-AU"/>
        </w:rPr>
        <w:t xml:space="preserve">, </w:t>
      </w:r>
      <w:hyperlink r:id="rId35" w:history="1">
        <w:r w:rsidRPr="006F547A">
          <w:rPr>
            <w:rFonts w:ascii="Times New Roman" w:eastAsia="Times New Roman" w:hAnsi="Times New Roman" w:cs="Times New Roman"/>
            <w:color w:val="0000FF"/>
            <w:sz w:val="24"/>
            <w:szCs w:val="24"/>
            <w:u w:val="single"/>
            <w:lang w:eastAsia="en-AU"/>
          </w:rPr>
          <w:t>2013 WL 4766692</w:t>
        </w:r>
      </w:hyperlink>
      <w:r w:rsidRPr="006F547A">
        <w:rPr>
          <w:rFonts w:ascii="Times New Roman" w:eastAsia="Times New Roman" w:hAnsi="Times New Roman" w:cs="Times New Roman"/>
          <w:sz w:val="24"/>
          <w:szCs w:val="24"/>
          <w:lang w:eastAsia="en-AU"/>
        </w:rPr>
        <w:t xml:space="preserve">; </w:t>
      </w:r>
      <w:r w:rsidRPr="006F547A">
        <w:rPr>
          <w:rFonts w:ascii="Times New Roman" w:eastAsia="Times New Roman" w:hAnsi="Times New Roman" w:cs="Times New Roman"/>
          <w:i/>
          <w:iCs/>
          <w:sz w:val="24"/>
          <w:szCs w:val="24"/>
          <w:lang w:eastAsia="en-AU"/>
        </w:rPr>
        <w:t xml:space="preserve">Hobson v. Entergy Arkansas, Inc., </w:t>
      </w:r>
      <w:r w:rsidRPr="006F547A">
        <w:rPr>
          <w:rFonts w:ascii="Times New Roman" w:eastAsia="Times New Roman" w:hAnsi="Times New Roman" w:cs="Times New Roman"/>
          <w:color w:val="0000FF"/>
          <w:sz w:val="24"/>
          <w:szCs w:val="24"/>
          <w:u w:val="single"/>
          <w:lang w:eastAsia="en-AU"/>
        </w:rPr>
        <w:t>2013 Ark. App. 447</w:t>
      </w:r>
      <w:r w:rsidRPr="006F547A">
        <w:rPr>
          <w:rFonts w:ascii="Times New Roman" w:eastAsia="Times New Roman" w:hAnsi="Times New Roman" w:cs="Times New Roman"/>
          <w:sz w:val="24"/>
          <w:szCs w:val="24"/>
          <w:lang w:eastAsia="en-AU"/>
        </w:rPr>
        <w:t xml:space="preserve">, </w:t>
      </w:r>
      <w:hyperlink r:id="rId36" w:history="1">
        <w:r w:rsidRPr="006F547A">
          <w:rPr>
            <w:rFonts w:ascii="Times New Roman" w:eastAsia="Times New Roman" w:hAnsi="Times New Roman" w:cs="Times New Roman"/>
            <w:color w:val="0000FF"/>
            <w:sz w:val="24"/>
            <w:szCs w:val="24"/>
            <w:u w:val="single"/>
            <w:lang w:eastAsia="en-AU"/>
          </w:rPr>
          <w:t>2013 WL 4557214</w:t>
        </w:r>
      </w:hyperlink>
      <w:r w:rsidRPr="006F547A">
        <w:rPr>
          <w:rFonts w:ascii="Times New Roman" w:eastAsia="Times New Roman" w:hAnsi="Times New Roman" w:cs="Times New Roman"/>
          <w:sz w:val="24"/>
          <w:szCs w:val="24"/>
          <w:lang w:eastAsia="en-AU"/>
        </w:rPr>
        <w:t xml:space="preserve">; </w:t>
      </w:r>
      <w:r w:rsidRPr="006F547A">
        <w:rPr>
          <w:rFonts w:ascii="Times New Roman" w:eastAsia="Times New Roman" w:hAnsi="Times New Roman" w:cs="Times New Roman"/>
          <w:i/>
          <w:iCs/>
          <w:sz w:val="24"/>
          <w:szCs w:val="24"/>
          <w:lang w:eastAsia="en-AU"/>
        </w:rPr>
        <w:t xml:space="preserve">Chesapeake Exploration, LLC v. Whillock, </w:t>
      </w:r>
      <w:r w:rsidRPr="006F547A">
        <w:rPr>
          <w:rFonts w:ascii="Times New Roman" w:eastAsia="Times New Roman" w:hAnsi="Times New Roman" w:cs="Times New Roman"/>
          <w:color w:val="0000FF"/>
          <w:sz w:val="24"/>
          <w:szCs w:val="24"/>
          <w:u w:val="single"/>
          <w:lang w:eastAsia="en-AU"/>
        </w:rPr>
        <w:t>2013 Ark. App. 339</w:t>
      </w:r>
      <w:r w:rsidRPr="006F547A">
        <w:rPr>
          <w:rFonts w:ascii="Times New Roman" w:eastAsia="Times New Roman" w:hAnsi="Times New Roman" w:cs="Times New Roman"/>
          <w:sz w:val="24"/>
          <w:szCs w:val="24"/>
          <w:lang w:eastAsia="en-AU"/>
        </w:rPr>
        <w:t xml:space="preserve">, </w:t>
      </w:r>
      <w:hyperlink r:id="rId37" w:history="1">
        <w:r w:rsidRPr="006F547A">
          <w:rPr>
            <w:rFonts w:ascii="Times New Roman" w:eastAsia="Times New Roman" w:hAnsi="Times New Roman" w:cs="Times New Roman"/>
            <w:color w:val="0000FF"/>
            <w:sz w:val="24"/>
            <w:szCs w:val="24"/>
            <w:u w:val="single"/>
            <w:lang w:eastAsia="en-AU"/>
          </w:rPr>
          <w:t>2013 WL 2243834</w:t>
        </w:r>
      </w:hyperlink>
      <w:r w:rsidRPr="006F547A">
        <w:rPr>
          <w:rFonts w:ascii="Times New Roman" w:eastAsia="Times New Roman" w:hAnsi="Times New Roman" w:cs="Times New Roman"/>
          <w:sz w:val="24"/>
          <w:szCs w:val="24"/>
          <w:lang w:eastAsia="en-AU"/>
        </w:rPr>
        <w:t xml:space="preserve">. Davis has correctly abstracted the deposition and hearing transcripts; however, our rules require that these items not be placed in the addendum. </w:t>
      </w:r>
      <w:r w:rsidRPr="006F547A">
        <w:rPr>
          <w:rFonts w:ascii="Times New Roman" w:eastAsia="Times New Roman" w:hAnsi="Times New Roman" w:cs="Times New Roman"/>
          <w:i/>
          <w:iCs/>
          <w:sz w:val="24"/>
          <w:szCs w:val="24"/>
          <w:lang w:eastAsia="en-AU"/>
        </w:rPr>
        <w:t xml:space="preserve">Skalla, supra. </w:t>
      </w:r>
      <w:r w:rsidRPr="006F547A">
        <w:rPr>
          <w:rFonts w:ascii="Times New Roman" w:eastAsia="Times New Roman" w:hAnsi="Times New Roman" w:cs="Times New Roman"/>
          <w:sz w:val="24"/>
          <w:szCs w:val="24"/>
          <w:lang w:eastAsia="en-AU"/>
        </w:rPr>
        <w:t xml:space="preserve">Together, these deposition transcripts total over 500 pages and makes up more than half of the 795-page addendum. We have pointed out numerous times that an abstract and addendum can be deficient for containing too much material, as well as too little. </w:t>
      </w:r>
      <w:r w:rsidRPr="006F547A">
        <w:rPr>
          <w:rFonts w:ascii="Times New Roman" w:eastAsia="Times New Roman" w:hAnsi="Times New Roman" w:cs="Times New Roman"/>
          <w:i/>
          <w:iCs/>
          <w:sz w:val="24"/>
          <w:szCs w:val="24"/>
          <w:lang w:eastAsia="en-AU"/>
        </w:rPr>
        <w:t xml:space="preserve">See Erwin v. Frost, </w:t>
      </w:r>
      <w:r w:rsidRPr="006F547A">
        <w:rPr>
          <w:rFonts w:ascii="Times New Roman" w:eastAsia="Times New Roman" w:hAnsi="Times New Roman" w:cs="Times New Roman"/>
          <w:color w:val="0000FF"/>
          <w:sz w:val="24"/>
          <w:szCs w:val="24"/>
          <w:u w:val="single"/>
          <w:lang w:eastAsia="en-AU"/>
        </w:rPr>
        <w:t>2013 Ark. App. 440</w:t>
      </w:r>
      <w:r w:rsidRPr="006F547A">
        <w:rPr>
          <w:rFonts w:ascii="Times New Roman" w:eastAsia="Times New Roman" w:hAnsi="Times New Roman" w:cs="Times New Roman"/>
          <w:sz w:val="24"/>
          <w:szCs w:val="24"/>
          <w:lang w:eastAsia="en-AU"/>
        </w:rPr>
        <w:t xml:space="preserve">, </w:t>
      </w:r>
      <w:hyperlink r:id="rId38" w:history="1">
        <w:r w:rsidRPr="006F547A">
          <w:rPr>
            <w:rFonts w:ascii="Times New Roman" w:eastAsia="Times New Roman" w:hAnsi="Times New Roman" w:cs="Times New Roman"/>
            <w:color w:val="0000FF"/>
            <w:sz w:val="24"/>
            <w:szCs w:val="24"/>
            <w:u w:val="single"/>
            <w:lang w:eastAsia="en-AU"/>
          </w:rPr>
          <w:t>2013 WL 4556286</w:t>
        </w:r>
      </w:hyperlink>
      <w:r w:rsidRPr="006F547A">
        <w:rPr>
          <w:rFonts w:ascii="Times New Roman" w:eastAsia="Times New Roman" w:hAnsi="Times New Roman" w:cs="Times New Roman"/>
          <w:sz w:val="24"/>
          <w:szCs w:val="24"/>
          <w:lang w:eastAsia="en-AU"/>
        </w:rPr>
        <w:t xml:space="preserve">; </w:t>
      </w:r>
      <w:r w:rsidRPr="006F547A">
        <w:rPr>
          <w:rFonts w:ascii="Times New Roman" w:eastAsia="Times New Roman" w:hAnsi="Times New Roman" w:cs="Times New Roman"/>
          <w:i/>
          <w:iCs/>
          <w:sz w:val="24"/>
          <w:szCs w:val="24"/>
          <w:lang w:eastAsia="en-AU"/>
        </w:rPr>
        <w:t xml:space="preserve">West Memphis Adolescent Residential, LLC v. Compton, </w:t>
      </w:r>
      <w:r w:rsidRPr="006F547A">
        <w:rPr>
          <w:rFonts w:ascii="Times New Roman" w:eastAsia="Times New Roman" w:hAnsi="Times New Roman" w:cs="Times New Roman"/>
          <w:color w:val="0000FF"/>
          <w:sz w:val="24"/>
          <w:szCs w:val="24"/>
          <w:u w:val="single"/>
          <w:lang w:eastAsia="en-AU"/>
        </w:rPr>
        <w:t>2010 Ark. App. 450</w:t>
      </w:r>
      <w:r w:rsidRPr="006F547A">
        <w:rPr>
          <w:rFonts w:ascii="Times New Roman" w:eastAsia="Times New Roman" w:hAnsi="Times New Roman" w:cs="Times New Roman"/>
          <w:sz w:val="24"/>
          <w:szCs w:val="24"/>
          <w:lang w:eastAsia="en-AU"/>
        </w:rPr>
        <w:t xml:space="preserve">, </w:t>
      </w:r>
      <w:hyperlink r:id="rId39" w:history="1">
        <w:r w:rsidRPr="006F547A">
          <w:rPr>
            <w:rFonts w:ascii="Times New Roman" w:eastAsia="Times New Roman" w:hAnsi="Times New Roman" w:cs="Times New Roman"/>
            <w:color w:val="0000FF"/>
            <w:sz w:val="24"/>
            <w:szCs w:val="24"/>
            <w:u w:val="single"/>
            <w:lang w:eastAsia="en-AU"/>
          </w:rPr>
          <w:t>374 S.W.3d 922</w:t>
        </w:r>
      </w:hyperlink>
      <w:r w:rsidRPr="006F547A">
        <w:rPr>
          <w:rFonts w:ascii="Times New Roman" w:eastAsia="Times New Roman" w:hAnsi="Times New Roman" w:cs="Times New Roman"/>
          <w:sz w:val="24"/>
          <w:szCs w:val="24"/>
          <w:lang w:eastAsia="en-AU"/>
        </w:rPr>
        <w:t xml:space="preserve">; </w:t>
      </w:r>
      <w:r w:rsidRPr="006F547A">
        <w:rPr>
          <w:rFonts w:ascii="Times New Roman" w:eastAsia="Times New Roman" w:hAnsi="Times New Roman" w:cs="Times New Roman"/>
          <w:i/>
          <w:iCs/>
          <w:sz w:val="24"/>
          <w:szCs w:val="24"/>
          <w:lang w:eastAsia="en-AU"/>
        </w:rPr>
        <w:t xml:space="preserve">American Transp. Corp. v. Exchange Capital Corp., </w:t>
      </w:r>
      <w:r w:rsidRPr="006F547A">
        <w:rPr>
          <w:rFonts w:ascii="Times New Roman" w:eastAsia="Times New Roman" w:hAnsi="Times New Roman" w:cs="Times New Roman"/>
          <w:color w:val="0000FF"/>
          <w:sz w:val="24"/>
          <w:szCs w:val="24"/>
          <w:u w:val="single"/>
          <w:lang w:eastAsia="en-AU"/>
        </w:rPr>
        <w:t>84 Ark.App. 28</w:t>
      </w:r>
      <w:r w:rsidRPr="006F547A">
        <w:rPr>
          <w:rFonts w:ascii="Times New Roman" w:eastAsia="Times New Roman" w:hAnsi="Times New Roman" w:cs="Times New Roman"/>
          <w:sz w:val="24"/>
          <w:szCs w:val="24"/>
          <w:lang w:eastAsia="en-AU"/>
        </w:rPr>
        <w:t xml:space="preserve">, </w:t>
      </w:r>
      <w:hyperlink r:id="rId40" w:history="1">
        <w:r w:rsidRPr="006F547A">
          <w:rPr>
            <w:rFonts w:ascii="Times New Roman" w:eastAsia="Times New Roman" w:hAnsi="Times New Roman" w:cs="Times New Roman"/>
            <w:color w:val="0000FF"/>
            <w:sz w:val="24"/>
            <w:szCs w:val="24"/>
            <w:u w:val="single"/>
            <w:lang w:eastAsia="en-AU"/>
          </w:rPr>
          <w:t>129 S.W.3d 312</w:t>
        </w:r>
      </w:hyperlink>
      <w:r w:rsidRPr="006F547A">
        <w:rPr>
          <w:rFonts w:ascii="Times New Roman" w:eastAsia="Times New Roman" w:hAnsi="Times New Roman" w:cs="Times New Roman"/>
          <w:sz w:val="24"/>
          <w:szCs w:val="24"/>
          <w:lang w:eastAsia="en-AU"/>
        </w:rPr>
        <w:t xml:space="preserve"> (2003); </w:t>
      </w:r>
      <w:r w:rsidRPr="006F547A">
        <w:rPr>
          <w:rFonts w:ascii="Times New Roman" w:eastAsia="Times New Roman" w:hAnsi="Times New Roman" w:cs="Times New Roman"/>
          <w:i/>
          <w:iCs/>
          <w:sz w:val="24"/>
          <w:szCs w:val="24"/>
          <w:lang w:eastAsia="en-AU"/>
        </w:rPr>
        <w:t xml:space="preserve">Miller v. Hometown Propane Gas, Inc., </w:t>
      </w:r>
      <w:r w:rsidRPr="006F547A">
        <w:rPr>
          <w:rFonts w:ascii="Times New Roman" w:eastAsia="Times New Roman" w:hAnsi="Times New Roman" w:cs="Times New Roman"/>
          <w:color w:val="0000FF"/>
          <w:sz w:val="24"/>
          <w:szCs w:val="24"/>
          <w:u w:val="single"/>
          <w:lang w:eastAsia="en-AU"/>
        </w:rPr>
        <w:t>82 Ark.App. 82</w:t>
      </w:r>
      <w:r w:rsidRPr="006F547A">
        <w:rPr>
          <w:rFonts w:ascii="Times New Roman" w:eastAsia="Times New Roman" w:hAnsi="Times New Roman" w:cs="Times New Roman"/>
          <w:sz w:val="24"/>
          <w:szCs w:val="24"/>
          <w:lang w:eastAsia="en-AU"/>
        </w:rPr>
        <w:t xml:space="preserve">, </w:t>
      </w:r>
      <w:hyperlink r:id="rId41" w:history="1">
        <w:r w:rsidRPr="006F547A">
          <w:rPr>
            <w:rFonts w:ascii="Times New Roman" w:eastAsia="Times New Roman" w:hAnsi="Times New Roman" w:cs="Times New Roman"/>
            <w:color w:val="0000FF"/>
            <w:sz w:val="24"/>
            <w:szCs w:val="24"/>
            <w:u w:val="single"/>
            <w:lang w:eastAsia="en-AU"/>
          </w:rPr>
          <w:t>110 S.W.3d 304</w:t>
        </w:r>
      </w:hyperlink>
      <w:r w:rsidRPr="006F547A">
        <w:rPr>
          <w:rFonts w:ascii="Times New Roman" w:eastAsia="Times New Roman" w:hAnsi="Times New Roman" w:cs="Times New Roman"/>
          <w:sz w:val="24"/>
          <w:szCs w:val="24"/>
          <w:lang w:eastAsia="en-AU"/>
        </w:rPr>
        <w:t xml:space="preserve"> (2003). Although we decline to order rebriefing, we caution counsel against such practices in the future.</w:t>
      </w:r>
    </w:p>
    <w:p w14:paraId="106944B3" w14:textId="4860820E" w:rsidR="00D55CA2" w:rsidRDefault="00D55CA2" w:rsidP="0099372E">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396A3B50" w14:textId="1C5C04E0" w:rsidR="00D55CA2" w:rsidRDefault="00D55CA2" w:rsidP="0099372E">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Issue:</w:t>
      </w:r>
      <w:r>
        <w:rPr>
          <w:rFonts w:ascii="Times New Roman" w:eastAsia="Times New Roman" w:hAnsi="Times New Roman" w:cs="Times New Roman"/>
          <w:sz w:val="24"/>
          <w:szCs w:val="24"/>
          <w:lang w:eastAsia="en-AU"/>
        </w:rPr>
        <w:t xml:space="preserve"> whether</w:t>
      </w:r>
      <w:r w:rsidR="00142EEC">
        <w:rPr>
          <w:rFonts w:ascii="Times New Roman" w:eastAsia="Times New Roman" w:hAnsi="Times New Roman" w:cs="Times New Roman"/>
          <w:sz w:val="24"/>
          <w:szCs w:val="24"/>
          <w:lang w:eastAsia="en-AU"/>
        </w:rPr>
        <w:t xml:space="preserve"> there was an issue of material fact precluding the grant of summary judgement.</w:t>
      </w:r>
    </w:p>
    <w:p w14:paraId="1133B52F" w14:textId="344A4850" w:rsidR="00142EEC" w:rsidRDefault="00142EEC" w:rsidP="0099372E">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Summary:</w:t>
      </w:r>
    </w:p>
    <w:p w14:paraId="20C4FD55" w14:textId="15AE5A7B" w:rsidR="00142EEC" w:rsidRDefault="00142EEC" w:rsidP="00142EEC">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was injured when she entered an intersection controlled by a stop sign</w:t>
      </w:r>
      <w:r w:rsidR="00A8285F">
        <w:rPr>
          <w:rFonts w:ascii="Times New Roman" w:eastAsia="Times New Roman" w:hAnsi="Times New Roman" w:cs="Times New Roman"/>
          <w:sz w:val="24"/>
          <w:szCs w:val="24"/>
          <w:lang w:eastAsia="en-AU"/>
        </w:rPr>
        <w:t xml:space="preserve"> and collided with the defendant’s truck. The plaintiff was obliged to give way but failed to do so.</w:t>
      </w:r>
    </w:p>
    <w:p w14:paraId="5CD1CD6A" w14:textId="00ECAB37" w:rsidR="00A8285F" w:rsidRDefault="00A8285F" w:rsidP="00142EEC">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asserted that the defendant was driving a speed that was too great given the fog that affected visibility at the scene of the accident.</w:t>
      </w:r>
    </w:p>
    <w:p w14:paraId="1271157B" w14:textId="2E9DF205" w:rsidR="004C238E" w:rsidRDefault="004C238E" w:rsidP="00142EEC">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However, the defendant provided testimony establishing that he had good visibility at the intersection, saw the plaintiff’s vehicle coming, and assumed that the plaintiff would stop at the stop sign, as she was obliged to do and as he was entitled to assume.</w:t>
      </w:r>
    </w:p>
    <w:p w14:paraId="7C5A68C1" w14:textId="7C664D5A" w:rsidR="00764F33" w:rsidRDefault="00764F33" w:rsidP="00142EEC">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obtained evidence from a police officer who </w:t>
      </w:r>
      <w:r w:rsidR="003D2F88">
        <w:rPr>
          <w:rFonts w:ascii="Times New Roman" w:eastAsia="Times New Roman" w:hAnsi="Times New Roman" w:cs="Times New Roman"/>
          <w:sz w:val="24"/>
          <w:szCs w:val="24"/>
          <w:lang w:eastAsia="en-AU"/>
        </w:rPr>
        <w:t>attested to his visibility being impacted during his travel to the accident scene, but the court found that this was inadequate because he arrived almost half an hour after the accident had occurred.</w:t>
      </w:r>
    </w:p>
    <w:p w14:paraId="7BB25F57" w14:textId="566C23C9" w:rsidR="003D2F88" w:rsidRPr="00142EEC" w:rsidRDefault="003D2F88" w:rsidP="00142EEC">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Since the defendant was entitled to assume the plaintiff would stop, and it had been established that there were no issues of visibility which would require him to drive more slowly than he had</w:t>
      </w:r>
      <w:r w:rsidR="00E03758">
        <w:rPr>
          <w:rFonts w:ascii="Times New Roman" w:eastAsia="Times New Roman" w:hAnsi="Times New Roman" w:cs="Times New Roman"/>
          <w:b/>
          <w:bCs/>
          <w:sz w:val="24"/>
          <w:szCs w:val="24"/>
          <w:lang w:eastAsia="en-AU"/>
        </w:rPr>
        <w:t>, there was no negligence, and summary judgement was proper.</w:t>
      </w:r>
    </w:p>
    <w:sectPr w:rsidR="003D2F88" w:rsidRPr="00142EE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362643"/>
    <w:multiLevelType w:val="hybridMultilevel"/>
    <w:tmpl w:val="109A21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60216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7A"/>
    <w:rsid w:val="00037ECF"/>
    <w:rsid w:val="00142EEC"/>
    <w:rsid w:val="001606B4"/>
    <w:rsid w:val="00326670"/>
    <w:rsid w:val="003D2F88"/>
    <w:rsid w:val="003F70ED"/>
    <w:rsid w:val="004C238E"/>
    <w:rsid w:val="004C3C3D"/>
    <w:rsid w:val="00513B21"/>
    <w:rsid w:val="00656B8A"/>
    <w:rsid w:val="006F547A"/>
    <w:rsid w:val="00764F33"/>
    <w:rsid w:val="00792AEF"/>
    <w:rsid w:val="00836654"/>
    <w:rsid w:val="008E43DE"/>
    <w:rsid w:val="0099372E"/>
    <w:rsid w:val="009A5775"/>
    <w:rsid w:val="00A43D8D"/>
    <w:rsid w:val="00A62E8D"/>
    <w:rsid w:val="00A8285F"/>
    <w:rsid w:val="00BB49BB"/>
    <w:rsid w:val="00C576D8"/>
    <w:rsid w:val="00D55CA2"/>
    <w:rsid w:val="00E03758"/>
    <w:rsid w:val="00F83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4837E"/>
  <w15:chartTrackingRefBased/>
  <w15:docId w15:val="{73E0C705-381C-4876-8438-498D1B2BD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385234">
      <w:bodyDiv w:val="1"/>
      <w:marLeft w:val="0"/>
      <w:marRight w:val="0"/>
      <w:marTop w:val="0"/>
      <w:marBottom w:val="0"/>
      <w:divBdr>
        <w:top w:val="none" w:sz="0" w:space="0" w:color="auto"/>
        <w:left w:val="none" w:sz="0" w:space="0" w:color="auto"/>
        <w:bottom w:val="none" w:sz="0" w:space="0" w:color="auto"/>
        <w:right w:val="none" w:sz="0" w:space="0" w:color="auto"/>
      </w:divBdr>
      <w:divsChild>
        <w:div w:id="1277565832">
          <w:marLeft w:val="0"/>
          <w:marRight w:val="0"/>
          <w:marTop w:val="0"/>
          <w:marBottom w:val="0"/>
          <w:divBdr>
            <w:top w:val="none" w:sz="0" w:space="0" w:color="auto"/>
            <w:left w:val="none" w:sz="0" w:space="0" w:color="auto"/>
            <w:bottom w:val="none" w:sz="0" w:space="0" w:color="auto"/>
            <w:right w:val="none" w:sz="0" w:space="0" w:color="auto"/>
          </w:divBdr>
          <w:divsChild>
            <w:div w:id="1946033191">
              <w:marLeft w:val="0"/>
              <w:marRight w:val="0"/>
              <w:marTop w:val="0"/>
              <w:marBottom w:val="0"/>
              <w:divBdr>
                <w:top w:val="none" w:sz="0" w:space="0" w:color="auto"/>
                <w:left w:val="none" w:sz="0" w:space="0" w:color="auto"/>
                <w:bottom w:val="none" w:sz="0" w:space="0" w:color="auto"/>
                <w:right w:val="none" w:sz="0" w:space="0" w:color="auto"/>
              </w:divBdr>
              <w:divsChild>
                <w:div w:id="1890340525">
                  <w:marLeft w:val="0"/>
                  <w:marRight w:val="0"/>
                  <w:marTop w:val="0"/>
                  <w:marBottom w:val="0"/>
                  <w:divBdr>
                    <w:top w:val="none" w:sz="0" w:space="0" w:color="auto"/>
                    <w:left w:val="none" w:sz="0" w:space="0" w:color="auto"/>
                    <w:bottom w:val="none" w:sz="0" w:space="0" w:color="auto"/>
                    <w:right w:val="none" w:sz="0" w:space="0" w:color="auto"/>
                  </w:divBdr>
                  <w:divsChild>
                    <w:div w:id="1461024862">
                      <w:marLeft w:val="0"/>
                      <w:marRight w:val="0"/>
                      <w:marTop w:val="0"/>
                      <w:marBottom w:val="0"/>
                      <w:divBdr>
                        <w:top w:val="none" w:sz="0" w:space="0" w:color="auto"/>
                        <w:left w:val="none" w:sz="0" w:space="0" w:color="auto"/>
                        <w:bottom w:val="none" w:sz="0" w:space="0" w:color="auto"/>
                        <w:right w:val="none" w:sz="0" w:space="0" w:color="auto"/>
                      </w:divBdr>
                    </w:div>
                    <w:div w:id="15623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7085">
              <w:marLeft w:val="0"/>
              <w:marRight w:val="0"/>
              <w:marTop w:val="0"/>
              <w:marBottom w:val="0"/>
              <w:divBdr>
                <w:top w:val="none" w:sz="0" w:space="0" w:color="auto"/>
                <w:left w:val="none" w:sz="0" w:space="0" w:color="auto"/>
                <w:bottom w:val="none" w:sz="0" w:space="0" w:color="auto"/>
                <w:right w:val="none" w:sz="0" w:space="0" w:color="auto"/>
              </w:divBdr>
              <w:divsChild>
                <w:div w:id="36379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769403">
      <w:bodyDiv w:val="1"/>
      <w:marLeft w:val="0"/>
      <w:marRight w:val="0"/>
      <w:marTop w:val="0"/>
      <w:marBottom w:val="0"/>
      <w:divBdr>
        <w:top w:val="none" w:sz="0" w:space="0" w:color="auto"/>
        <w:left w:val="none" w:sz="0" w:space="0" w:color="auto"/>
        <w:bottom w:val="none" w:sz="0" w:space="0" w:color="auto"/>
        <w:right w:val="none" w:sz="0" w:space="0" w:color="auto"/>
      </w:divBdr>
      <w:divsChild>
        <w:div w:id="1625846975">
          <w:marLeft w:val="0"/>
          <w:marRight w:val="0"/>
          <w:marTop w:val="0"/>
          <w:marBottom w:val="0"/>
          <w:divBdr>
            <w:top w:val="none" w:sz="0" w:space="0" w:color="auto"/>
            <w:left w:val="none" w:sz="0" w:space="0" w:color="auto"/>
            <w:bottom w:val="none" w:sz="0" w:space="0" w:color="auto"/>
            <w:right w:val="none" w:sz="0" w:space="0" w:color="auto"/>
          </w:divBdr>
          <w:divsChild>
            <w:div w:id="313072417">
              <w:marLeft w:val="0"/>
              <w:marRight w:val="0"/>
              <w:marTop w:val="0"/>
              <w:marBottom w:val="0"/>
              <w:divBdr>
                <w:top w:val="none" w:sz="0" w:space="0" w:color="auto"/>
                <w:left w:val="none" w:sz="0" w:space="0" w:color="auto"/>
                <w:bottom w:val="none" w:sz="0" w:space="0" w:color="auto"/>
                <w:right w:val="none" w:sz="0" w:space="0" w:color="auto"/>
              </w:divBdr>
              <w:divsChild>
                <w:div w:id="925843955">
                  <w:marLeft w:val="0"/>
                  <w:marRight w:val="0"/>
                  <w:marTop w:val="0"/>
                  <w:marBottom w:val="0"/>
                  <w:divBdr>
                    <w:top w:val="none" w:sz="0" w:space="0" w:color="auto"/>
                    <w:left w:val="none" w:sz="0" w:space="0" w:color="auto"/>
                    <w:bottom w:val="none" w:sz="0" w:space="0" w:color="auto"/>
                    <w:right w:val="none" w:sz="0" w:space="0" w:color="auto"/>
                  </w:divBdr>
                  <w:divsChild>
                    <w:div w:id="296494323">
                      <w:marLeft w:val="0"/>
                      <w:marRight w:val="0"/>
                      <w:marTop w:val="0"/>
                      <w:marBottom w:val="0"/>
                      <w:divBdr>
                        <w:top w:val="none" w:sz="0" w:space="0" w:color="auto"/>
                        <w:left w:val="none" w:sz="0" w:space="0" w:color="auto"/>
                        <w:bottom w:val="none" w:sz="0" w:space="0" w:color="auto"/>
                        <w:right w:val="none" w:sz="0" w:space="0" w:color="auto"/>
                      </w:divBdr>
                    </w:div>
                    <w:div w:id="2411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6123">
              <w:marLeft w:val="0"/>
              <w:marRight w:val="0"/>
              <w:marTop w:val="0"/>
              <w:marBottom w:val="0"/>
              <w:divBdr>
                <w:top w:val="none" w:sz="0" w:space="0" w:color="auto"/>
                <w:left w:val="none" w:sz="0" w:space="0" w:color="auto"/>
                <w:bottom w:val="none" w:sz="0" w:space="0" w:color="auto"/>
                <w:right w:val="none" w:sz="0" w:space="0" w:color="auto"/>
              </w:divBdr>
              <w:divsChild>
                <w:div w:id="10741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k/362/598/" TargetMode="External"/><Relationship Id="rId18" Type="http://schemas.openxmlformats.org/officeDocument/2006/relationships/hyperlink" Target="https://cite.case.law/ark/333/442/" TargetMode="External"/><Relationship Id="rId26" Type="http://schemas.openxmlformats.org/officeDocument/2006/relationships/hyperlink" Target="https://cite.case.law/nj-super/329/191/" TargetMode="External"/><Relationship Id="rId39" Type="http://schemas.openxmlformats.org/officeDocument/2006/relationships/hyperlink" Target="https://cite.case.law/sw3d/374/922/" TargetMode="External"/><Relationship Id="rId21" Type="http://schemas.openxmlformats.org/officeDocument/2006/relationships/hyperlink" Target="https://cite.case.law/ark/280/549/" TargetMode="External"/><Relationship Id="rId34" Type="http://schemas.openxmlformats.org/officeDocument/2006/relationships/hyperlink" Target="https://cite.case.law/citations/?q=2013%20WL%202460166" TargetMode="External"/><Relationship Id="rId42" Type="http://schemas.openxmlformats.org/officeDocument/2006/relationships/fontTable" Target="fontTable.xml"/><Relationship Id="rId7" Type="http://schemas.openxmlformats.org/officeDocument/2006/relationships/hyperlink" Target="https://cite.case.law/sw3d/381/811/" TargetMode="External"/><Relationship Id="rId2" Type="http://schemas.openxmlformats.org/officeDocument/2006/relationships/styles" Target="styles.xml"/><Relationship Id="rId16" Type="http://schemas.openxmlformats.org/officeDocument/2006/relationships/hyperlink" Target="https://cite.case.law/sw3d/383/919/" TargetMode="External"/><Relationship Id="rId20" Type="http://schemas.openxmlformats.org/officeDocument/2006/relationships/hyperlink" Target="https://cite.case.law/sw3d/422/116/" TargetMode="External"/><Relationship Id="rId29" Type="http://schemas.openxmlformats.org/officeDocument/2006/relationships/hyperlink" Target="https://cite.case.law/ark/234/443/" TargetMode="External"/><Relationship Id="rId41" Type="http://schemas.openxmlformats.org/officeDocument/2006/relationships/hyperlink" Target="https://cite.case.law/ark-app/82/82/" TargetMode="External"/><Relationship Id="rId1" Type="http://schemas.openxmlformats.org/officeDocument/2006/relationships/numbering" Target="numbering.xml"/><Relationship Id="rId6" Type="http://schemas.openxmlformats.org/officeDocument/2006/relationships/hyperlink" Target="https://cite.case.law/citations/?q=2011%20Ark.%20233" TargetMode="External"/><Relationship Id="rId11" Type="http://schemas.openxmlformats.org/officeDocument/2006/relationships/hyperlink" Target="https://cite.case.law/sw3d/417/228/" TargetMode="External"/><Relationship Id="rId24" Type="http://schemas.openxmlformats.org/officeDocument/2006/relationships/hyperlink" Target="https://cite.case.law/ark/208/342/" TargetMode="External"/><Relationship Id="rId32" Type="http://schemas.openxmlformats.org/officeDocument/2006/relationships/hyperlink" Target="https://cite.case.law/sw3d/431/321/" TargetMode="External"/><Relationship Id="rId37" Type="http://schemas.openxmlformats.org/officeDocument/2006/relationships/hyperlink" Target="https://cite.case.law/citations/?q=2013%20WL%202243834" TargetMode="External"/><Relationship Id="rId40" Type="http://schemas.openxmlformats.org/officeDocument/2006/relationships/hyperlink" Target="https://cite.case.law/ark-app/84/28/" TargetMode="External"/><Relationship Id="rId5" Type="http://schemas.openxmlformats.org/officeDocument/2006/relationships/hyperlink" Target="https://cite.case.law/sw3d/431/321/" TargetMode="External"/><Relationship Id="rId15" Type="http://schemas.openxmlformats.org/officeDocument/2006/relationships/hyperlink" Target="https://cite.case.law/sw3d/431/321/" TargetMode="External"/><Relationship Id="rId23" Type="http://schemas.openxmlformats.org/officeDocument/2006/relationships/hyperlink" Target="https://cite.case.law/ark/234/443/" TargetMode="External"/><Relationship Id="rId28" Type="http://schemas.openxmlformats.org/officeDocument/2006/relationships/hyperlink" Target="https://cite.case.law/wis-2d/126/492/" TargetMode="External"/><Relationship Id="rId36" Type="http://schemas.openxmlformats.org/officeDocument/2006/relationships/hyperlink" Target="https://cite.case.law/citations/?q=2013%20WL%204557214" TargetMode="External"/><Relationship Id="rId10" Type="http://schemas.openxmlformats.org/officeDocument/2006/relationships/hyperlink" Target="https://cite.case.law/ark/346/291/" TargetMode="External"/><Relationship Id="rId19" Type="http://schemas.openxmlformats.org/officeDocument/2006/relationships/hyperlink" Target="https://cite.case.law/sw3d/422/116/" TargetMode="External"/><Relationship Id="rId31" Type="http://schemas.openxmlformats.org/officeDocument/2006/relationships/hyperlink" Target="https://cite.case.law/sw3d/431/321/" TargetMode="External"/><Relationship Id="rId4" Type="http://schemas.openxmlformats.org/officeDocument/2006/relationships/webSettings" Target="webSettings.xml"/><Relationship Id="rId9" Type="http://schemas.openxmlformats.org/officeDocument/2006/relationships/hyperlink" Target="https://cite.case.law/sw3d/400/701/" TargetMode="External"/><Relationship Id="rId14" Type="http://schemas.openxmlformats.org/officeDocument/2006/relationships/hyperlink" Target="https://cite.case.law/sw3d/384/61/" TargetMode="External"/><Relationship Id="rId22" Type="http://schemas.openxmlformats.org/officeDocument/2006/relationships/hyperlink" Target="https://cite.case.law/ark/241/407/" TargetMode="External"/><Relationship Id="rId27" Type="http://schemas.openxmlformats.org/officeDocument/2006/relationships/hyperlink" Target="https://cite.case.law/tenn/222/661/" TargetMode="External"/><Relationship Id="rId30" Type="http://schemas.openxmlformats.org/officeDocument/2006/relationships/hyperlink" Target="https://cite.case.law/ark-app/79/358/" TargetMode="External"/><Relationship Id="rId35" Type="http://schemas.openxmlformats.org/officeDocument/2006/relationships/hyperlink" Target="https://cite.case.law/citations/?q=2013%20WL%204766692" TargetMode="External"/><Relationship Id="rId43" Type="http://schemas.openxmlformats.org/officeDocument/2006/relationships/theme" Target="theme/theme1.xml"/><Relationship Id="rId8" Type="http://schemas.openxmlformats.org/officeDocument/2006/relationships/hyperlink" Target="https://cite.case.law/sw3d/381/21/" TargetMode="External"/><Relationship Id="rId3" Type="http://schemas.openxmlformats.org/officeDocument/2006/relationships/settings" Target="settings.xml"/><Relationship Id="rId12" Type="http://schemas.openxmlformats.org/officeDocument/2006/relationships/hyperlink" Target="https://cite.case.law/sw3d/308/122/" TargetMode="External"/><Relationship Id="rId17" Type="http://schemas.openxmlformats.org/officeDocument/2006/relationships/hyperlink" Target="https://cite.case.law/ark-app/25/27/" TargetMode="External"/><Relationship Id="rId25" Type="http://schemas.openxmlformats.org/officeDocument/2006/relationships/hyperlink" Target="https://cite.case.law/citations/?q=18%20Ill.%20Dec.%20197" TargetMode="External"/><Relationship Id="rId33" Type="http://schemas.openxmlformats.org/officeDocument/2006/relationships/hyperlink" Target="https://cite.case.law/sw3d/431/321/" TargetMode="External"/><Relationship Id="rId38" Type="http://schemas.openxmlformats.org/officeDocument/2006/relationships/hyperlink" Target="https://cite.case.law/citations/?q=2013%20WL%2045562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3052</Words>
  <Characters>17401</Characters>
  <Application>Microsoft Office Word</Application>
  <DocSecurity>0</DocSecurity>
  <Lines>145</Lines>
  <Paragraphs>40</Paragraphs>
  <ScaleCrop>false</ScaleCrop>
  <Company/>
  <LinksUpToDate>false</LinksUpToDate>
  <CharactersWithSpaces>20413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2024-09-17T13:32:00Z</dcterms:created>
  <dcterms:modified xsi:type="dcterms:W3CDTF">2024-09-17T13:32:00Z</dcterms:modified>
</cp:coreProperties>
</file>