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3BBD8" w14:textId="77777777" w:rsidR="00B222CD" w:rsidRPr="00B222CD" w:rsidRDefault="00B222CD" w:rsidP="00B222C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B222CD">
        <w:rPr>
          <w:rFonts w:ascii="Times New Roman" w:eastAsia="Times New Roman" w:hAnsi="Times New Roman" w:cs="Times New Roman"/>
          <w:b/>
          <w:bCs/>
          <w:kern w:val="36"/>
          <w:sz w:val="48"/>
          <w:szCs w:val="48"/>
          <w:lang w:eastAsia="en-AU"/>
        </w:rPr>
        <w:t>Wiles v. Webb, 329 Ark. 108, 946 S.W.2d 685 (1997)</w:t>
      </w:r>
    </w:p>
    <w:p w14:paraId="41CA4368" w14:textId="77777777" w:rsidR="00B222CD" w:rsidRPr="00B222CD" w:rsidRDefault="00B222CD" w:rsidP="00B222CD">
      <w:pPr>
        <w:spacing w:after="0"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June 16, 1997 · Arkansas Supreme Court · 96-864 </w:t>
      </w:r>
    </w:p>
    <w:p w14:paraId="0788C307" w14:textId="77777777" w:rsidR="00B222CD" w:rsidRPr="00B222CD" w:rsidRDefault="00B222CD" w:rsidP="00B222CD">
      <w:pPr>
        <w:spacing w:after="0"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329 Ark. 108, 946 S.W.2d 685 </w:t>
      </w:r>
    </w:p>
    <w:p w14:paraId="24AE99A5" w14:textId="77777777" w:rsidR="00B222CD" w:rsidRPr="00B222CD" w:rsidRDefault="00B222CD" w:rsidP="00B222CD">
      <w:pPr>
        <w:spacing w:after="0"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Arvie WILES, Individually and as Administrator of the Estates of B.L. Wiles and Juanita Wiles, Deceased, and Allen Wiles, Individually and as Father and Next Friend of Kayla Joy Wiles, a Minor, and William Wiles v. Eddie Earl WEBB </w:t>
      </w:r>
    </w:p>
    <w:p w14:paraId="594907F6"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946 SW.2d 685</w:t>
      </w:r>
    </w:p>
    <w:p w14:paraId="61C34AF9"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Supreme Court of Arkansas</w:t>
      </w:r>
    </w:p>
    <w:p w14:paraId="1C200DCC"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[Petition for rehearing denied September 11, 1997.]</w:t>
      </w:r>
    </w:p>
    <w:p w14:paraId="14BE0EB3" w14:textId="6C18C94A"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color w:val="0000FF"/>
          <w:sz w:val="24"/>
          <w:szCs w:val="24"/>
          <w:u w:val="single"/>
          <w:lang w:eastAsia="en-AU"/>
        </w:rPr>
        <w:t>*109</w:t>
      </w:r>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i/>
          <w:iCs/>
          <w:sz w:val="24"/>
          <w:szCs w:val="24"/>
          <w:lang w:eastAsia="en-AU"/>
        </w:rPr>
        <w:t xml:space="preserve">Gary Eubanks and Associates, </w:t>
      </w:r>
      <w:r w:rsidRPr="00B222CD">
        <w:rPr>
          <w:rFonts w:ascii="Times New Roman" w:eastAsia="Times New Roman" w:hAnsi="Times New Roman" w:cs="Times New Roman"/>
          <w:sz w:val="24"/>
          <w:szCs w:val="24"/>
          <w:lang w:eastAsia="en-AU"/>
        </w:rPr>
        <w:t xml:space="preserve">by: </w:t>
      </w:r>
      <w:r w:rsidRPr="00B222CD">
        <w:rPr>
          <w:rFonts w:ascii="Times New Roman" w:eastAsia="Times New Roman" w:hAnsi="Times New Roman" w:cs="Times New Roman"/>
          <w:i/>
          <w:iCs/>
          <w:sz w:val="24"/>
          <w:szCs w:val="24"/>
          <w:lang w:eastAsia="en-AU"/>
        </w:rPr>
        <w:t xml:space="preserve">James Gerard Schulze </w:t>
      </w:r>
      <w:r w:rsidRPr="00B222CD">
        <w:rPr>
          <w:rFonts w:ascii="Times New Roman" w:eastAsia="Times New Roman" w:hAnsi="Times New Roman" w:cs="Times New Roman"/>
          <w:sz w:val="24"/>
          <w:szCs w:val="24"/>
          <w:lang w:eastAsia="en-AU"/>
        </w:rPr>
        <w:t xml:space="preserve">and </w:t>
      </w:r>
      <w:r w:rsidRPr="00B222CD">
        <w:rPr>
          <w:rFonts w:ascii="Times New Roman" w:eastAsia="Times New Roman" w:hAnsi="Times New Roman" w:cs="Times New Roman"/>
          <w:i/>
          <w:iCs/>
          <w:sz w:val="24"/>
          <w:szCs w:val="24"/>
          <w:lang w:eastAsia="en-AU"/>
        </w:rPr>
        <w:t xml:space="preserve">William Gary Holt, </w:t>
      </w:r>
      <w:r w:rsidRPr="00B222CD">
        <w:rPr>
          <w:rFonts w:ascii="Times New Roman" w:eastAsia="Times New Roman" w:hAnsi="Times New Roman" w:cs="Times New Roman"/>
          <w:sz w:val="24"/>
          <w:szCs w:val="24"/>
          <w:lang w:eastAsia="en-AU"/>
        </w:rPr>
        <w:t>for appellants.</w:t>
      </w:r>
    </w:p>
    <w:p w14:paraId="5A46965C"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i/>
          <w:iCs/>
          <w:sz w:val="24"/>
          <w:szCs w:val="24"/>
          <w:lang w:eastAsia="en-AU"/>
        </w:rPr>
        <w:t xml:space="preserve">Wright, Lindsey &amp; Jennings, </w:t>
      </w:r>
      <w:r w:rsidRPr="00B222CD">
        <w:rPr>
          <w:rFonts w:ascii="Times New Roman" w:eastAsia="Times New Roman" w:hAnsi="Times New Roman" w:cs="Times New Roman"/>
          <w:sz w:val="24"/>
          <w:szCs w:val="24"/>
          <w:lang w:eastAsia="en-AU"/>
        </w:rPr>
        <w:t xml:space="preserve">by: </w:t>
      </w:r>
      <w:r w:rsidRPr="00B222CD">
        <w:rPr>
          <w:rFonts w:ascii="Times New Roman" w:eastAsia="Times New Roman" w:hAnsi="Times New Roman" w:cs="Times New Roman"/>
          <w:i/>
          <w:iCs/>
          <w:sz w:val="24"/>
          <w:szCs w:val="24"/>
          <w:lang w:eastAsia="en-AU"/>
        </w:rPr>
        <w:t xml:space="preserve">Troy A. Price, </w:t>
      </w:r>
      <w:r w:rsidRPr="00B222CD">
        <w:rPr>
          <w:rFonts w:ascii="Times New Roman" w:eastAsia="Times New Roman" w:hAnsi="Times New Roman" w:cs="Times New Roman"/>
          <w:sz w:val="24"/>
          <w:szCs w:val="24"/>
          <w:lang w:eastAsia="en-AU"/>
        </w:rPr>
        <w:t>for appellee.</w:t>
      </w:r>
    </w:p>
    <w:p w14:paraId="61031D23"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Robert L. Brown, Justice.</w:t>
      </w:r>
    </w:p>
    <w:p w14:paraId="4F81C020"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This case involves litigation for wrongful death and personal injury arising out of a vehicular accident. </w:t>
      </w:r>
      <w:r w:rsidRPr="00B222CD">
        <w:rPr>
          <w:rFonts w:ascii="Times New Roman" w:eastAsia="Times New Roman" w:hAnsi="Times New Roman" w:cs="Times New Roman"/>
          <w:sz w:val="24"/>
          <w:szCs w:val="24"/>
          <w:highlight w:val="magenta"/>
          <w:lang w:eastAsia="en-AU"/>
        </w:rPr>
        <w:t>Verdict was rendered in favor of the appellee, Eddie Earl Webb</w:t>
      </w:r>
      <w:r w:rsidRPr="00B222CD">
        <w:rPr>
          <w:rFonts w:ascii="Times New Roman" w:eastAsia="Times New Roman" w:hAnsi="Times New Roman" w:cs="Times New Roman"/>
          <w:sz w:val="24"/>
          <w:szCs w:val="24"/>
          <w:lang w:eastAsia="en-AU"/>
        </w:rPr>
        <w:t xml:space="preserve">. The appellants raise three points for reversal: (1) the trial court erred in refusing to allow evidence of Webb’s liability coverage; (2) the trial court erred in denying a motion to declare a mistrial following violation of two orders </w:t>
      </w:r>
      <w:r w:rsidRPr="00B222CD">
        <w:rPr>
          <w:rFonts w:ascii="Times New Roman" w:eastAsia="Times New Roman" w:hAnsi="Times New Roman" w:cs="Times New Roman"/>
          <w:i/>
          <w:iCs/>
          <w:sz w:val="24"/>
          <w:szCs w:val="24"/>
          <w:lang w:eastAsia="en-AU"/>
        </w:rPr>
        <w:t xml:space="preserve">in limine; </w:t>
      </w:r>
      <w:r w:rsidRPr="00B222CD">
        <w:rPr>
          <w:rFonts w:ascii="Times New Roman" w:eastAsia="Times New Roman" w:hAnsi="Times New Roman" w:cs="Times New Roman"/>
          <w:sz w:val="24"/>
          <w:szCs w:val="24"/>
          <w:lang w:eastAsia="en-AU"/>
        </w:rPr>
        <w:t xml:space="preserve">and (3) the trial court erred in giving the Sudden Emergency instruction to the jury. We agree with the appellants on the third point, and </w:t>
      </w:r>
      <w:r w:rsidRPr="00B222CD">
        <w:rPr>
          <w:rFonts w:ascii="Times New Roman" w:eastAsia="Times New Roman" w:hAnsi="Times New Roman" w:cs="Times New Roman"/>
          <w:sz w:val="24"/>
          <w:szCs w:val="24"/>
          <w:highlight w:val="red"/>
          <w:lang w:eastAsia="en-AU"/>
        </w:rPr>
        <w:t>reverse and remand to the trial court for further proceedings</w:t>
      </w:r>
      <w:r w:rsidRPr="00B222CD">
        <w:rPr>
          <w:rFonts w:ascii="Times New Roman" w:eastAsia="Times New Roman" w:hAnsi="Times New Roman" w:cs="Times New Roman"/>
          <w:sz w:val="24"/>
          <w:szCs w:val="24"/>
          <w:lang w:eastAsia="en-AU"/>
        </w:rPr>
        <w:t>. We further take this opportunity to hold that AMI 614 — the Sudden Emergency instruction — is inherently confusing, and for that reason we abolish its usage in all future cases.</w:t>
      </w:r>
    </w:p>
    <w:p w14:paraId="3FB4617E"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Appellant Arvie Wiles is the administrator of the estates of his deceased parents, </w:t>
      </w:r>
      <w:r w:rsidRPr="00B222CD">
        <w:rPr>
          <w:rFonts w:ascii="Times New Roman" w:eastAsia="Times New Roman" w:hAnsi="Times New Roman" w:cs="Times New Roman"/>
          <w:sz w:val="24"/>
          <w:szCs w:val="24"/>
          <w:highlight w:val="yellow"/>
          <w:lang w:eastAsia="en-AU"/>
        </w:rPr>
        <w:t xml:space="preserve">B.L. Wiles and Juanita Wiles, who suffered fatal injuries when the 1983 Chevrolet Caprice station wagon driven by B.L. Wiles was struck by a 1982 International logging truck </w:t>
      </w:r>
      <w:hyperlink r:id="rId5" w:anchor="p110" w:history="1">
        <w:r w:rsidRPr="00B222CD">
          <w:rPr>
            <w:rFonts w:ascii="Times New Roman" w:eastAsia="Times New Roman" w:hAnsi="Times New Roman" w:cs="Times New Roman"/>
            <w:color w:val="0000FF"/>
            <w:sz w:val="24"/>
            <w:szCs w:val="24"/>
            <w:highlight w:val="yellow"/>
            <w:u w:val="single"/>
            <w:lang w:eastAsia="en-AU"/>
          </w:rPr>
          <w:t>*110</w:t>
        </w:r>
      </w:hyperlink>
      <w:r w:rsidRPr="00B222CD">
        <w:rPr>
          <w:rFonts w:ascii="Times New Roman" w:eastAsia="Times New Roman" w:hAnsi="Times New Roman" w:cs="Times New Roman"/>
          <w:sz w:val="24"/>
          <w:szCs w:val="24"/>
          <w:highlight w:val="yellow"/>
          <w:lang w:eastAsia="en-AU"/>
        </w:rPr>
        <w:t>driven by appellee Eddie Earl Webb on State Highway 298 in Garland County.</w:t>
      </w:r>
      <w:r w:rsidRPr="00B222CD">
        <w:rPr>
          <w:rFonts w:ascii="Times New Roman" w:eastAsia="Times New Roman" w:hAnsi="Times New Roman" w:cs="Times New Roman"/>
          <w:sz w:val="24"/>
          <w:szCs w:val="24"/>
          <w:lang w:eastAsia="en-AU"/>
        </w:rPr>
        <w:t xml:space="preserve"> Appellant Allen Wiles is the son of B.L. and Juanita Wiles and the father of </w:t>
      </w:r>
      <w:r w:rsidRPr="00B222CD">
        <w:rPr>
          <w:rFonts w:ascii="Times New Roman" w:eastAsia="Times New Roman" w:hAnsi="Times New Roman" w:cs="Times New Roman"/>
          <w:sz w:val="24"/>
          <w:szCs w:val="24"/>
          <w:highlight w:val="yellow"/>
          <w:lang w:eastAsia="en-AU"/>
        </w:rPr>
        <w:t>Kayla Joy Wiles, a minor who was a passenger in the station wagon and who suffered serious injury</w:t>
      </w:r>
      <w:r w:rsidRPr="00B222CD">
        <w:rPr>
          <w:rFonts w:ascii="Times New Roman" w:eastAsia="Times New Roman" w:hAnsi="Times New Roman" w:cs="Times New Roman"/>
          <w:sz w:val="24"/>
          <w:szCs w:val="24"/>
          <w:lang w:eastAsia="en-AU"/>
        </w:rPr>
        <w:t xml:space="preserve">. Appellant </w:t>
      </w:r>
      <w:r w:rsidRPr="00B222CD">
        <w:rPr>
          <w:rFonts w:ascii="Times New Roman" w:eastAsia="Times New Roman" w:hAnsi="Times New Roman" w:cs="Times New Roman"/>
          <w:sz w:val="24"/>
          <w:szCs w:val="24"/>
          <w:highlight w:val="yellow"/>
          <w:lang w:eastAsia="en-AU"/>
        </w:rPr>
        <w:t>William Wiles, the son of B.L. and Juanita Wiles, was also a passenger in the station wagon who suffered physical injury</w:t>
      </w:r>
      <w:r w:rsidRPr="00B222CD">
        <w:rPr>
          <w:rFonts w:ascii="Times New Roman" w:eastAsia="Times New Roman" w:hAnsi="Times New Roman" w:cs="Times New Roman"/>
          <w:sz w:val="24"/>
          <w:szCs w:val="24"/>
          <w:lang w:eastAsia="en-AU"/>
        </w:rPr>
        <w:t>. The appellants will be collectively referred to in this opinion as the “Wileses.”</w:t>
      </w:r>
    </w:p>
    <w:p w14:paraId="060CFEC3"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highlight w:val="yellow"/>
          <w:lang w:eastAsia="en-AU"/>
        </w:rPr>
        <w:t>The accident occurred on May 18, 1994</w:t>
      </w:r>
      <w:r w:rsidRPr="00B222CD">
        <w:rPr>
          <w:rFonts w:ascii="Times New Roman" w:eastAsia="Times New Roman" w:hAnsi="Times New Roman" w:cs="Times New Roman"/>
          <w:sz w:val="24"/>
          <w:szCs w:val="24"/>
          <w:lang w:eastAsia="en-AU"/>
        </w:rPr>
        <w:t xml:space="preserve">. Following the accident, the Wileses filed their complaint against Webb and alleged that </w:t>
      </w:r>
      <w:r w:rsidRPr="00B222CD">
        <w:rPr>
          <w:rFonts w:ascii="Times New Roman" w:eastAsia="Times New Roman" w:hAnsi="Times New Roman" w:cs="Times New Roman"/>
          <w:sz w:val="24"/>
          <w:szCs w:val="24"/>
          <w:highlight w:val="yellow"/>
          <w:lang w:eastAsia="en-AU"/>
        </w:rPr>
        <w:t>B.L. Wiles attempted to make a left-hand turn from Tabor Mountain CutoffRoad onto State Highway 298 in order to proceed in an easterly direction.</w:t>
      </w:r>
      <w:r w:rsidRPr="00B222CD">
        <w:rPr>
          <w:rFonts w:ascii="Times New Roman" w:eastAsia="Times New Roman" w:hAnsi="Times New Roman" w:cs="Times New Roman"/>
          <w:sz w:val="24"/>
          <w:szCs w:val="24"/>
          <w:lang w:eastAsia="en-AU"/>
        </w:rPr>
        <w:t xml:space="preserve"> They alleged that </w:t>
      </w:r>
      <w:r w:rsidRPr="00B222CD">
        <w:rPr>
          <w:rFonts w:ascii="Times New Roman" w:eastAsia="Times New Roman" w:hAnsi="Times New Roman" w:cs="Times New Roman"/>
          <w:sz w:val="24"/>
          <w:szCs w:val="24"/>
          <w:highlight w:val="yellow"/>
          <w:lang w:eastAsia="en-AU"/>
        </w:rPr>
        <w:t>Webb, who was proceeding westbound on State Highway 298, crossed the center line and struck B.L. Wiles’s station wagon broadside while it was in the eastbound lane of traffic</w:t>
      </w:r>
      <w:r w:rsidRPr="00B222CD">
        <w:rPr>
          <w:rFonts w:ascii="Times New Roman" w:eastAsia="Times New Roman" w:hAnsi="Times New Roman" w:cs="Times New Roman"/>
          <w:sz w:val="24"/>
          <w:szCs w:val="24"/>
          <w:lang w:eastAsia="en-AU"/>
        </w:rPr>
        <w:t xml:space="preserve">. The Wileses further claimed that Webb’s conduct was negligent for </w:t>
      </w:r>
      <w:r w:rsidRPr="00B222CD">
        <w:rPr>
          <w:rFonts w:ascii="Times New Roman" w:eastAsia="Times New Roman" w:hAnsi="Times New Roman" w:cs="Times New Roman"/>
          <w:sz w:val="24"/>
          <w:szCs w:val="24"/>
          <w:lang w:eastAsia="en-AU"/>
        </w:rPr>
        <w:lastRenderedPageBreak/>
        <w:t>the following reasons: (1) Webb failed to keep a proper lookout; (2) he failed to keep his vehicle under proper control; (3) he drove at a speed greater than was reasonable and prudent under the circumstances; (4) he crossed the center line and otherwise violated the laws of the State of Arkansas; and (5) he otherwise failed to exercise ordinary care under the circumstances.</w:t>
      </w:r>
    </w:p>
    <w:p w14:paraId="3B96261A"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Webb answered and counterclaimed, asserting the negligence of B.L. Wiles and theories of apportionment and contribution. The counterclaim was later dismissed.</w:t>
      </w:r>
    </w:p>
    <w:p w14:paraId="0A40942E"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At trial, the Wileses relied exclusively on physical evidence to make their case. </w:t>
      </w:r>
      <w:r w:rsidRPr="00B222CD">
        <w:rPr>
          <w:rFonts w:ascii="Times New Roman" w:eastAsia="Times New Roman" w:hAnsi="Times New Roman" w:cs="Times New Roman"/>
          <w:sz w:val="24"/>
          <w:szCs w:val="24"/>
          <w:highlight w:val="yellow"/>
          <w:lang w:eastAsia="en-AU"/>
        </w:rPr>
        <w:t>B.L. and Juanita Wiles, who died in the accident, were ages 74 and 64, respectively, at the time of the accident. Kayla Joy Wiles, age 2 at the time of the accident, had no memory of the event. William Wiles, who was 37 years old at the time of the collision, is mentally retarded and has had only a first-grade education. He also had no recollection of how the accident occurred.</w:t>
      </w:r>
    </w:p>
    <w:p w14:paraId="6A816F4B" w14:textId="59456820"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A pivotal witness at the trial was Arkansas State Trooper B.R. Skipper, who testified by way of videotape deposition. He testified that </w:t>
      </w:r>
      <w:r w:rsidRPr="00B222CD">
        <w:rPr>
          <w:rFonts w:ascii="Times New Roman" w:eastAsia="Times New Roman" w:hAnsi="Times New Roman" w:cs="Times New Roman"/>
          <w:sz w:val="24"/>
          <w:szCs w:val="24"/>
          <w:highlight w:val="yellow"/>
          <w:lang w:eastAsia="en-AU"/>
        </w:rPr>
        <w:t>the Wiles/Webb accident occurred at approximately 10:45 a.m. and that there were no adverse weather conditions; the pavement was dry; and there was nothing to obscure Webb’s vision</w:t>
      </w:r>
      <w:r w:rsidRPr="00B222CD">
        <w:rPr>
          <w:rFonts w:ascii="Times New Roman" w:eastAsia="Times New Roman" w:hAnsi="Times New Roman" w:cs="Times New Roman"/>
          <w:sz w:val="24"/>
          <w:szCs w:val="24"/>
          <w:lang w:eastAsia="en-AU"/>
        </w:rPr>
        <w:t xml:space="preserve">. He testified that </w:t>
      </w:r>
      <w:r w:rsidRPr="00B222CD">
        <w:rPr>
          <w:rFonts w:ascii="Times New Roman" w:eastAsia="Times New Roman" w:hAnsi="Times New Roman" w:cs="Times New Roman"/>
          <w:sz w:val="24"/>
          <w:szCs w:val="24"/>
          <w:highlight w:val="yellow"/>
          <w:lang w:eastAsia="en-AU"/>
        </w:rPr>
        <w:t>the initial impact of the vehicles occurred between the center of the truck’s front bumper and an area at or near the left front wheel of the station wagon. As a result of the impact, the station wagon was spun in a clockwise direction and travelled approximately 70 feet west, where it came to rest in a ditch south of the highway. The force of the collision caused Webb’s logging truck to spin one-quarter turn counter-clockwise and travel approximately 25 feet west of the point of impact.</w:t>
      </w:r>
    </w:p>
    <w:p w14:paraId="02976E23"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On cross-examination by Webb’s counsel, Trooper Skipper testified that </w:t>
      </w:r>
      <w:r w:rsidRPr="00B222CD">
        <w:rPr>
          <w:rFonts w:ascii="Times New Roman" w:eastAsia="Times New Roman" w:hAnsi="Times New Roman" w:cs="Times New Roman"/>
          <w:sz w:val="24"/>
          <w:szCs w:val="24"/>
          <w:highlight w:val="yellow"/>
          <w:lang w:eastAsia="en-AU"/>
        </w:rPr>
        <w:t>the intersection in question had a stop sign on Tabor Mountain Cutoff Road</w:t>
      </w:r>
      <w:r w:rsidRPr="00B222CD">
        <w:rPr>
          <w:rFonts w:ascii="Times New Roman" w:eastAsia="Times New Roman" w:hAnsi="Times New Roman" w:cs="Times New Roman"/>
          <w:sz w:val="24"/>
          <w:szCs w:val="24"/>
          <w:lang w:eastAsia="en-AU"/>
        </w:rPr>
        <w:t xml:space="preserve">. He opined that </w:t>
      </w:r>
      <w:r w:rsidRPr="00B222CD">
        <w:rPr>
          <w:rFonts w:ascii="Times New Roman" w:eastAsia="Times New Roman" w:hAnsi="Times New Roman" w:cs="Times New Roman"/>
          <w:sz w:val="24"/>
          <w:szCs w:val="24"/>
          <w:highlight w:val="yellow"/>
          <w:lang w:eastAsia="en-AU"/>
        </w:rPr>
        <w:t>Wiles’s vehicle had entered the intersection to make a left-hand turn onto Highway 298, heading east</w:t>
      </w:r>
      <w:r w:rsidRPr="00B222CD">
        <w:rPr>
          <w:rFonts w:ascii="Times New Roman" w:eastAsia="Times New Roman" w:hAnsi="Times New Roman" w:cs="Times New Roman"/>
          <w:sz w:val="24"/>
          <w:szCs w:val="24"/>
          <w:lang w:eastAsia="en-AU"/>
        </w:rPr>
        <w:t xml:space="preserve">. Looking at photographs of the accident site, Trooper Skipper referred to the </w:t>
      </w:r>
      <w:r w:rsidRPr="00B222CD">
        <w:rPr>
          <w:rFonts w:ascii="Times New Roman" w:eastAsia="Times New Roman" w:hAnsi="Times New Roman" w:cs="Times New Roman"/>
          <w:sz w:val="24"/>
          <w:szCs w:val="24"/>
          <w:highlight w:val="yellow"/>
          <w:lang w:eastAsia="en-AU"/>
        </w:rPr>
        <w:t>presence of skid marks left by Webb’s logging truck in the westbound lane that proceeded into the eastbound lane</w:t>
      </w:r>
      <w:r w:rsidRPr="00B222CD">
        <w:rPr>
          <w:rFonts w:ascii="Times New Roman" w:eastAsia="Times New Roman" w:hAnsi="Times New Roman" w:cs="Times New Roman"/>
          <w:sz w:val="24"/>
          <w:szCs w:val="24"/>
          <w:lang w:eastAsia="en-AU"/>
        </w:rPr>
        <w:t xml:space="preserve">. He testified that </w:t>
      </w:r>
      <w:r w:rsidRPr="00B222CD">
        <w:rPr>
          <w:rFonts w:ascii="Times New Roman" w:eastAsia="Times New Roman" w:hAnsi="Times New Roman" w:cs="Times New Roman"/>
          <w:sz w:val="24"/>
          <w:szCs w:val="24"/>
          <w:highlight w:val="yellow"/>
          <w:lang w:eastAsia="en-AU"/>
        </w:rPr>
        <w:t xml:space="preserve">the skid marks made by Webb’s truck reflected signs of discontinuity or interruption, when the truck changed direction. </w:t>
      </w:r>
      <w:r w:rsidRPr="00B222CD">
        <w:rPr>
          <w:rFonts w:ascii="Times New Roman" w:eastAsia="Times New Roman" w:hAnsi="Times New Roman" w:cs="Times New Roman"/>
          <w:sz w:val="24"/>
          <w:szCs w:val="24"/>
          <w:lang w:eastAsia="en-AU"/>
        </w:rPr>
        <w:t xml:space="preserve">He stated that </w:t>
      </w:r>
      <w:r w:rsidRPr="00B222CD">
        <w:rPr>
          <w:rFonts w:ascii="Times New Roman" w:eastAsia="Times New Roman" w:hAnsi="Times New Roman" w:cs="Times New Roman"/>
          <w:sz w:val="24"/>
          <w:szCs w:val="24"/>
          <w:highlight w:val="yellow"/>
          <w:lang w:eastAsia="en-AU"/>
        </w:rPr>
        <w:t>the change of direction occurred at the point of initial impact between the two vehicles</w:t>
      </w:r>
      <w:r w:rsidRPr="00B222CD">
        <w:rPr>
          <w:rFonts w:ascii="Times New Roman" w:eastAsia="Times New Roman" w:hAnsi="Times New Roman" w:cs="Times New Roman"/>
          <w:sz w:val="24"/>
          <w:szCs w:val="24"/>
          <w:lang w:eastAsia="en-AU"/>
        </w:rPr>
        <w:t>.</w:t>
      </w:r>
    </w:p>
    <w:p w14:paraId="0668D8AF"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Trooper Skipper further testified that </w:t>
      </w:r>
      <w:r w:rsidRPr="00B222CD">
        <w:rPr>
          <w:rFonts w:ascii="Times New Roman" w:eastAsia="Times New Roman" w:hAnsi="Times New Roman" w:cs="Times New Roman"/>
          <w:sz w:val="24"/>
          <w:szCs w:val="24"/>
          <w:highlight w:val="yellow"/>
          <w:lang w:eastAsia="en-AU"/>
        </w:rPr>
        <w:t>the accident involved was an “angular” collision, which was not quite 90 degrees.</w:t>
      </w:r>
      <w:r w:rsidRPr="00B222CD">
        <w:rPr>
          <w:rFonts w:ascii="Times New Roman" w:eastAsia="Times New Roman" w:hAnsi="Times New Roman" w:cs="Times New Roman"/>
          <w:sz w:val="24"/>
          <w:szCs w:val="24"/>
          <w:lang w:eastAsia="en-AU"/>
        </w:rPr>
        <w:t xml:space="preserve"> He reached this conclusion based on the points of impact on the two vehicles and the belief that </w:t>
      </w:r>
      <w:r w:rsidRPr="00B222CD">
        <w:rPr>
          <w:rFonts w:ascii="Times New Roman" w:eastAsia="Times New Roman" w:hAnsi="Times New Roman" w:cs="Times New Roman"/>
          <w:sz w:val="24"/>
          <w:szCs w:val="24"/>
          <w:highlight w:val="yellow"/>
          <w:lang w:eastAsia="en-AU"/>
        </w:rPr>
        <w:t>B.L. Wiles was turning to his left to head east on State Highway 298</w:t>
      </w:r>
      <w:r w:rsidRPr="00B222CD">
        <w:rPr>
          <w:rFonts w:ascii="Times New Roman" w:eastAsia="Times New Roman" w:hAnsi="Times New Roman" w:cs="Times New Roman"/>
          <w:sz w:val="24"/>
          <w:szCs w:val="24"/>
          <w:lang w:eastAsia="en-AU"/>
        </w:rPr>
        <w:t xml:space="preserve">. Trooper Skipper also added that </w:t>
      </w:r>
      <w:r w:rsidRPr="00B222CD">
        <w:rPr>
          <w:rFonts w:ascii="Times New Roman" w:eastAsia="Times New Roman" w:hAnsi="Times New Roman" w:cs="Times New Roman"/>
          <w:sz w:val="24"/>
          <w:szCs w:val="24"/>
          <w:highlight w:val="yellow"/>
          <w:lang w:eastAsia="en-AU"/>
        </w:rPr>
        <w:t>Wiles’s vehicle was approximately 18 feet in length.</w:t>
      </w:r>
      <w:r w:rsidRPr="00B222CD">
        <w:rPr>
          <w:rFonts w:ascii="Times New Roman" w:eastAsia="Times New Roman" w:hAnsi="Times New Roman" w:cs="Times New Roman"/>
          <w:sz w:val="24"/>
          <w:szCs w:val="24"/>
          <w:lang w:eastAsia="en-AU"/>
        </w:rPr>
        <w:t xml:space="preserve"> He stated that </w:t>
      </w:r>
      <w:r w:rsidRPr="00B222CD">
        <w:rPr>
          <w:rFonts w:ascii="Times New Roman" w:eastAsia="Times New Roman" w:hAnsi="Times New Roman" w:cs="Times New Roman"/>
          <w:sz w:val="24"/>
          <w:szCs w:val="24"/>
          <w:highlight w:val="yellow"/>
          <w:lang w:eastAsia="en-AU"/>
        </w:rPr>
        <w:t>the speed limit at the place of the accident was 55 miles per hour and that the average reaction time for a driver was 1.5 seconds</w:t>
      </w:r>
      <w:r w:rsidRPr="00B222CD">
        <w:rPr>
          <w:rFonts w:ascii="Times New Roman" w:eastAsia="Times New Roman" w:hAnsi="Times New Roman" w:cs="Times New Roman"/>
          <w:sz w:val="24"/>
          <w:szCs w:val="24"/>
          <w:lang w:eastAsia="en-AU"/>
        </w:rPr>
        <w:t>. He defined “reaction time” as “the time it takes for a person to see an object and then make an evasive move away from that object.” He testified that, based on the physical evidence</w:t>
      </w:r>
      <w:r w:rsidRPr="00B222CD">
        <w:rPr>
          <w:rFonts w:ascii="Times New Roman" w:eastAsia="Times New Roman" w:hAnsi="Times New Roman" w:cs="Times New Roman"/>
          <w:sz w:val="24"/>
          <w:szCs w:val="24"/>
          <w:highlight w:val="yellow"/>
          <w:lang w:eastAsia="en-AU"/>
        </w:rPr>
        <w:t>, he did not find any indication that Webb was driving at a speed in excess of 55 miles per hour</w:t>
      </w:r>
      <w:r w:rsidRPr="00B222CD">
        <w:rPr>
          <w:rFonts w:ascii="Times New Roman" w:eastAsia="Times New Roman" w:hAnsi="Times New Roman" w:cs="Times New Roman"/>
          <w:sz w:val="24"/>
          <w:szCs w:val="24"/>
          <w:lang w:eastAsia="en-AU"/>
        </w:rPr>
        <w:t xml:space="preserve">. He also testified that </w:t>
      </w:r>
      <w:r w:rsidRPr="00B222CD">
        <w:rPr>
          <w:rFonts w:ascii="Times New Roman" w:eastAsia="Times New Roman" w:hAnsi="Times New Roman" w:cs="Times New Roman"/>
          <w:sz w:val="24"/>
          <w:szCs w:val="24"/>
          <w:highlight w:val="yellow"/>
          <w:lang w:eastAsia="en-AU"/>
        </w:rPr>
        <w:t>Webb left 85 feet of skid marks</w:t>
      </w:r>
      <w:r w:rsidRPr="00B222CD">
        <w:rPr>
          <w:rFonts w:ascii="Times New Roman" w:eastAsia="Times New Roman" w:hAnsi="Times New Roman" w:cs="Times New Roman"/>
          <w:sz w:val="24"/>
          <w:szCs w:val="24"/>
          <w:lang w:eastAsia="en-AU"/>
        </w:rPr>
        <w:t xml:space="preserve"> and opined that, if Webb was travelling at a speed of 45 miles per hour, then his vehicle left skid marks for slightly less than 1.3 seconds before impact with Wiles’s station wagon.</w:t>
      </w:r>
    </w:p>
    <w:p w14:paraId="7F4D6C3E" w14:textId="5D9DF2FC"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On re-direct examination, Trooper Skipper agreed that </w:t>
      </w:r>
      <w:r w:rsidRPr="00B222CD">
        <w:rPr>
          <w:rFonts w:ascii="Times New Roman" w:eastAsia="Times New Roman" w:hAnsi="Times New Roman" w:cs="Times New Roman"/>
          <w:sz w:val="24"/>
          <w:szCs w:val="24"/>
          <w:highlight w:val="yellow"/>
          <w:lang w:eastAsia="en-AU"/>
        </w:rPr>
        <w:t>B.L. Wiles had a substantial portion of the station wagon in the eastbound lane at the time of the collision</w:t>
      </w:r>
      <w:r w:rsidRPr="00B222CD">
        <w:rPr>
          <w:rFonts w:ascii="Times New Roman" w:eastAsia="Times New Roman" w:hAnsi="Times New Roman" w:cs="Times New Roman"/>
          <w:sz w:val="24"/>
          <w:szCs w:val="24"/>
          <w:lang w:eastAsia="en-AU"/>
        </w:rPr>
        <w:t xml:space="preserve">. On re-cross examination, he testified that </w:t>
      </w:r>
      <w:r w:rsidRPr="00B222CD">
        <w:rPr>
          <w:rFonts w:ascii="Times New Roman" w:eastAsia="Times New Roman" w:hAnsi="Times New Roman" w:cs="Times New Roman"/>
          <w:sz w:val="24"/>
          <w:szCs w:val="24"/>
          <w:highlight w:val="yellow"/>
          <w:lang w:eastAsia="en-AU"/>
        </w:rPr>
        <w:t xml:space="preserve">with the length of the station wagon being 18 feet and the total width of the </w:t>
      </w:r>
      <w:r w:rsidRPr="00B222CD">
        <w:rPr>
          <w:rFonts w:ascii="Times New Roman" w:eastAsia="Times New Roman" w:hAnsi="Times New Roman" w:cs="Times New Roman"/>
          <w:sz w:val="24"/>
          <w:szCs w:val="24"/>
          <w:highlight w:val="yellow"/>
          <w:lang w:eastAsia="en-AU"/>
        </w:rPr>
        <w:lastRenderedPageBreak/>
        <w:t>road being 20 feet</w:t>
      </w:r>
      <w:r w:rsidRPr="00B222CD">
        <w:rPr>
          <w:rFonts w:ascii="Times New Roman" w:eastAsia="Times New Roman" w:hAnsi="Times New Roman" w:cs="Times New Roman"/>
          <w:sz w:val="24"/>
          <w:szCs w:val="24"/>
          <w:lang w:eastAsia="en-AU"/>
        </w:rPr>
        <w:t xml:space="preserve">, he opined that </w:t>
      </w:r>
      <w:r w:rsidRPr="00B222CD">
        <w:rPr>
          <w:rFonts w:ascii="Times New Roman" w:eastAsia="Times New Roman" w:hAnsi="Times New Roman" w:cs="Times New Roman"/>
          <w:sz w:val="24"/>
          <w:szCs w:val="24"/>
          <w:highlight w:val="yellow"/>
          <w:lang w:eastAsia="en-AU"/>
        </w:rPr>
        <w:t>the station wagon partially blocked both lanes of traffic at the time of initial contact.</w:t>
      </w:r>
    </w:p>
    <w:p w14:paraId="583E7FF9"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On re-direct examination, Trooper Skipper then testified that </w:t>
      </w:r>
      <w:r w:rsidRPr="00B222CD">
        <w:rPr>
          <w:rFonts w:ascii="Times New Roman" w:eastAsia="Times New Roman" w:hAnsi="Times New Roman" w:cs="Times New Roman"/>
          <w:sz w:val="24"/>
          <w:szCs w:val="24"/>
          <w:highlight w:val="yellow"/>
          <w:lang w:eastAsia="en-AU"/>
        </w:rPr>
        <w:t>the condition of both vehicles upon collision, especially the damage to the station wagon, would damage the surface of the pavement.</w:t>
      </w:r>
      <w:r w:rsidRPr="00B222CD">
        <w:rPr>
          <w:rFonts w:ascii="Times New Roman" w:eastAsia="Times New Roman" w:hAnsi="Times New Roman" w:cs="Times New Roman"/>
          <w:sz w:val="24"/>
          <w:szCs w:val="24"/>
          <w:lang w:eastAsia="en-AU"/>
        </w:rPr>
        <w:t xml:space="preserve"> However, he admitted that </w:t>
      </w:r>
      <w:r w:rsidRPr="00B222CD">
        <w:rPr>
          <w:rFonts w:ascii="Times New Roman" w:eastAsia="Times New Roman" w:hAnsi="Times New Roman" w:cs="Times New Roman"/>
          <w:sz w:val="24"/>
          <w:szCs w:val="24"/>
          <w:highlight w:val="yellow"/>
          <w:lang w:eastAsia="en-AU"/>
        </w:rPr>
        <w:t>the markings indicating damage to the highway’s surface were found in the eastbound lane</w:t>
      </w:r>
      <w:r w:rsidRPr="00B222CD">
        <w:rPr>
          <w:rFonts w:ascii="Times New Roman" w:eastAsia="Times New Roman" w:hAnsi="Times New Roman" w:cs="Times New Roman"/>
          <w:sz w:val="24"/>
          <w:szCs w:val="24"/>
          <w:lang w:eastAsia="en-AU"/>
        </w:rPr>
        <w:t xml:space="preserve">. On re-cross examination, Trooper Skipper testified that </w:t>
      </w:r>
      <w:r w:rsidRPr="00B222CD">
        <w:rPr>
          <w:rFonts w:ascii="Times New Roman" w:eastAsia="Times New Roman" w:hAnsi="Times New Roman" w:cs="Times New Roman"/>
          <w:sz w:val="24"/>
          <w:szCs w:val="24"/>
          <w:highlight w:val="yellow"/>
          <w:lang w:eastAsia="en-AU"/>
        </w:rPr>
        <w:t>such markings might not necessarily appear in the westbound lane (Webb’s lane) because on maximum impact, the striking of the station wagon by Webb’s logging truck could cause a downward force that would cause the back end of the truck to rise</w:t>
      </w:r>
      <w:r w:rsidRPr="00B222CD">
        <w:rPr>
          <w:rFonts w:ascii="Times New Roman" w:eastAsia="Times New Roman" w:hAnsi="Times New Roman" w:cs="Times New Roman"/>
          <w:sz w:val="24"/>
          <w:szCs w:val="24"/>
          <w:lang w:eastAsia="en-AU"/>
        </w:rPr>
        <w:t>.</w:t>
      </w:r>
    </w:p>
    <w:p w14:paraId="70C04EF1"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The Wileses also introduced the testimony of three witnesses (Norman Wiles, Chester Wiles, and Arvie Wiles) that </w:t>
      </w:r>
      <w:r w:rsidRPr="00B222CD">
        <w:rPr>
          <w:rFonts w:ascii="Times New Roman" w:eastAsia="Times New Roman" w:hAnsi="Times New Roman" w:cs="Times New Roman"/>
          <w:sz w:val="24"/>
          <w:szCs w:val="24"/>
          <w:highlight w:val="yellow"/>
          <w:lang w:eastAsia="en-AU"/>
        </w:rPr>
        <w:t>skid marks apparently created by Webb’s logging truck began in the westbound lane and proceeded into the eastbound lane.</w:t>
      </w:r>
    </w:p>
    <w:p w14:paraId="1CA16B70" w14:textId="1CD97A7E"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Webb testified in his own defense. He stated that </w:t>
      </w:r>
      <w:r w:rsidRPr="00B222CD">
        <w:rPr>
          <w:rFonts w:ascii="Times New Roman" w:eastAsia="Times New Roman" w:hAnsi="Times New Roman" w:cs="Times New Roman"/>
          <w:sz w:val="24"/>
          <w:szCs w:val="24"/>
          <w:highlight w:val="yellow"/>
          <w:lang w:eastAsia="en-AU"/>
        </w:rPr>
        <w:t xml:space="preserve">as he reached the peak of a grade in State Highway 298, he could see the station wagon approaching the stop sign on Tabor Mountain Cutoff Road. </w:t>
      </w:r>
      <w:r w:rsidRPr="00B222CD">
        <w:rPr>
          <w:rFonts w:ascii="Times New Roman" w:eastAsia="Times New Roman" w:hAnsi="Times New Roman" w:cs="Times New Roman"/>
          <w:sz w:val="24"/>
          <w:szCs w:val="24"/>
          <w:lang w:eastAsia="en-AU"/>
        </w:rPr>
        <w:t xml:space="preserve">He testified that </w:t>
      </w:r>
      <w:r w:rsidRPr="00B222CD">
        <w:rPr>
          <w:rFonts w:ascii="Times New Roman" w:eastAsia="Times New Roman" w:hAnsi="Times New Roman" w:cs="Times New Roman"/>
          <w:sz w:val="24"/>
          <w:szCs w:val="24"/>
          <w:highlight w:val="yellow"/>
          <w:lang w:eastAsia="en-AU"/>
        </w:rPr>
        <w:t>he released the accelerator and stayed in the westbound lane until the station wagon pulled out in front of him</w:t>
      </w:r>
      <w:r w:rsidRPr="00B222CD">
        <w:rPr>
          <w:rFonts w:ascii="Times New Roman" w:eastAsia="Times New Roman" w:hAnsi="Times New Roman" w:cs="Times New Roman"/>
          <w:sz w:val="24"/>
          <w:szCs w:val="24"/>
          <w:lang w:eastAsia="en-AU"/>
        </w:rPr>
        <w:t xml:space="preserve">. He added that </w:t>
      </w:r>
      <w:r w:rsidRPr="00B222CD">
        <w:rPr>
          <w:rFonts w:ascii="Times New Roman" w:eastAsia="Times New Roman" w:hAnsi="Times New Roman" w:cs="Times New Roman"/>
          <w:sz w:val="24"/>
          <w:szCs w:val="24"/>
          <w:highlight w:val="yellow"/>
          <w:lang w:eastAsia="en-AU"/>
        </w:rPr>
        <w:t>he was not certain whether the station wagon ever came to a complete stop at the stop sign, but he was certain that the station wagon pulled out in front of him. Once the station wagon pulled out into the westbound lane,</w:t>
      </w:r>
      <w:r w:rsidRPr="00B222CD">
        <w:rPr>
          <w:rFonts w:ascii="Times New Roman" w:eastAsia="Times New Roman" w:hAnsi="Times New Roman" w:cs="Times New Roman"/>
          <w:sz w:val="24"/>
          <w:szCs w:val="24"/>
          <w:lang w:eastAsia="en-AU"/>
        </w:rPr>
        <w:t xml:space="preserve"> Webb testified that </w:t>
      </w:r>
      <w:r w:rsidRPr="00B222CD">
        <w:rPr>
          <w:rFonts w:ascii="Times New Roman" w:eastAsia="Times New Roman" w:hAnsi="Times New Roman" w:cs="Times New Roman"/>
          <w:sz w:val="24"/>
          <w:szCs w:val="24"/>
          <w:highlight w:val="yellow"/>
          <w:lang w:eastAsia="en-AU"/>
        </w:rPr>
        <w:t>he applied his brakes as soon as he could and veered to the left in an attempt to steer clear of the vehicle</w:t>
      </w:r>
      <w:r w:rsidRPr="00B222CD">
        <w:rPr>
          <w:rFonts w:ascii="Times New Roman" w:eastAsia="Times New Roman" w:hAnsi="Times New Roman" w:cs="Times New Roman"/>
          <w:sz w:val="24"/>
          <w:szCs w:val="24"/>
          <w:lang w:eastAsia="en-AU"/>
        </w:rPr>
        <w:t xml:space="preserve">. He testified that </w:t>
      </w:r>
      <w:r w:rsidRPr="00B222CD">
        <w:rPr>
          <w:rFonts w:ascii="Times New Roman" w:eastAsia="Times New Roman" w:hAnsi="Times New Roman" w:cs="Times New Roman"/>
          <w:sz w:val="24"/>
          <w:szCs w:val="24"/>
          <w:highlight w:val="yellow"/>
          <w:lang w:eastAsia="en-AU"/>
        </w:rPr>
        <w:t>his truck skidded and that he struck the station wagon in the middle of the highway</w:t>
      </w:r>
      <w:r w:rsidRPr="00B222CD">
        <w:rPr>
          <w:rFonts w:ascii="Times New Roman" w:eastAsia="Times New Roman" w:hAnsi="Times New Roman" w:cs="Times New Roman"/>
          <w:sz w:val="24"/>
          <w:szCs w:val="24"/>
          <w:lang w:eastAsia="en-AU"/>
        </w:rPr>
        <w:t xml:space="preserve">. He explained that </w:t>
      </w:r>
      <w:r w:rsidRPr="00B222CD">
        <w:rPr>
          <w:rFonts w:ascii="Times New Roman" w:eastAsia="Times New Roman" w:hAnsi="Times New Roman" w:cs="Times New Roman"/>
          <w:sz w:val="24"/>
          <w:szCs w:val="24"/>
          <w:highlight w:val="yellow"/>
          <w:lang w:eastAsia="en-AU"/>
        </w:rPr>
        <w:t>he did not have time to consider whether to veer left or right and stated that he was not certain what the driver of the station wagon was going to do once he pulled out into his lane</w:t>
      </w:r>
      <w:r w:rsidRPr="00B222CD">
        <w:rPr>
          <w:rFonts w:ascii="Times New Roman" w:eastAsia="Times New Roman" w:hAnsi="Times New Roman" w:cs="Times New Roman"/>
          <w:sz w:val="24"/>
          <w:szCs w:val="24"/>
          <w:lang w:eastAsia="en-AU"/>
        </w:rPr>
        <w:t xml:space="preserve">. He testified that </w:t>
      </w:r>
      <w:r w:rsidRPr="00B222CD">
        <w:rPr>
          <w:rFonts w:ascii="Times New Roman" w:eastAsia="Times New Roman" w:hAnsi="Times New Roman" w:cs="Times New Roman"/>
          <w:sz w:val="24"/>
          <w:szCs w:val="24"/>
          <w:highlight w:val="yellow"/>
          <w:lang w:eastAsia="en-AU"/>
        </w:rPr>
        <w:t>at the time he came over the grade in the highway, he was travelling at 40 or 45 miles per hour</w:t>
      </w:r>
      <w:r w:rsidRPr="00B222CD">
        <w:rPr>
          <w:rFonts w:ascii="Times New Roman" w:eastAsia="Times New Roman" w:hAnsi="Times New Roman" w:cs="Times New Roman"/>
          <w:sz w:val="24"/>
          <w:szCs w:val="24"/>
          <w:lang w:eastAsia="en-AU"/>
        </w:rPr>
        <w:t xml:space="preserve">. He testified that, </w:t>
      </w:r>
      <w:r w:rsidRPr="00B222CD">
        <w:rPr>
          <w:rFonts w:ascii="Times New Roman" w:eastAsia="Times New Roman" w:hAnsi="Times New Roman" w:cs="Times New Roman"/>
          <w:sz w:val="24"/>
          <w:szCs w:val="24"/>
          <w:highlight w:val="yellow"/>
          <w:lang w:eastAsia="en-AU"/>
        </w:rPr>
        <w:t>following the accident, he received a phone call from appellant Arvie Wiles, who purportedly told him: “Don’t be hard on yourself. There wasn’t anything you could do and the family doesn’t blame you.”</w:t>
      </w:r>
    </w:p>
    <w:p w14:paraId="77A37323"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On cross-examination, appellants’ </w:t>
      </w:r>
      <w:r w:rsidRPr="00B222CD">
        <w:rPr>
          <w:rFonts w:ascii="Times New Roman" w:eastAsia="Times New Roman" w:hAnsi="Times New Roman" w:cs="Times New Roman"/>
          <w:sz w:val="24"/>
          <w:szCs w:val="24"/>
          <w:highlight w:val="yellow"/>
          <w:lang w:eastAsia="en-AU"/>
        </w:rPr>
        <w:t>counsel asked Webb whether he knew if Arvie Wiles had any knowledge of the physical evidence at the scene when the statement was made, to which Webb responded that he did not.</w:t>
      </w:r>
      <w:r w:rsidRPr="00B222CD">
        <w:rPr>
          <w:rFonts w:ascii="Times New Roman" w:eastAsia="Times New Roman" w:hAnsi="Times New Roman" w:cs="Times New Roman"/>
          <w:sz w:val="24"/>
          <w:szCs w:val="24"/>
          <w:lang w:eastAsia="en-AU"/>
        </w:rPr>
        <w:t xml:space="preserve"> Webb testified that </w:t>
      </w:r>
      <w:r w:rsidRPr="00B222CD">
        <w:rPr>
          <w:rFonts w:ascii="Times New Roman" w:eastAsia="Times New Roman" w:hAnsi="Times New Roman" w:cs="Times New Roman"/>
          <w:sz w:val="24"/>
          <w:szCs w:val="24"/>
          <w:highlight w:val="yellow"/>
          <w:lang w:eastAsia="en-AU"/>
        </w:rPr>
        <w:t>at the time he veered to the left, the station wagon had been proceeding across his lane at a constant speed</w:t>
      </w:r>
      <w:r w:rsidRPr="00B222CD">
        <w:rPr>
          <w:rFonts w:ascii="Times New Roman" w:eastAsia="Times New Roman" w:hAnsi="Times New Roman" w:cs="Times New Roman"/>
          <w:sz w:val="24"/>
          <w:szCs w:val="24"/>
          <w:lang w:eastAsia="en-AU"/>
        </w:rPr>
        <w:t>.</w:t>
      </w:r>
    </w:p>
    <w:p w14:paraId="5485028B"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The defense also presented evidence that </w:t>
      </w:r>
      <w:r w:rsidRPr="00B222CD">
        <w:rPr>
          <w:rFonts w:ascii="Times New Roman" w:eastAsia="Times New Roman" w:hAnsi="Times New Roman" w:cs="Times New Roman"/>
          <w:sz w:val="24"/>
          <w:szCs w:val="24"/>
          <w:highlight w:val="yellow"/>
          <w:lang w:eastAsia="en-AU"/>
        </w:rPr>
        <w:t>B.L. Wiles was driving without required corrective eyeglasses</w:t>
      </w:r>
      <w:r w:rsidRPr="00B222CD">
        <w:rPr>
          <w:rFonts w:ascii="Times New Roman" w:eastAsia="Times New Roman" w:hAnsi="Times New Roman" w:cs="Times New Roman"/>
          <w:sz w:val="24"/>
          <w:szCs w:val="24"/>
          <w:lang w:eastAsia="en-AU"/>
        </w:rPr>
        <w:t>. There was also the testimony of Ruth Meredith, a purported eyewitness, that Wiles’s station wagon was stopped in Webb’s lane. On cross-examination, her testimony was shown to be at odds with her deposition testimony on several critical points.</w:t>
      </w:r>
    </w:p>
    <w:p w14:paraId="0DBF8004"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The jury answered interrogatories to the effect that Webb was not guilty of negligence and that the negligence of B.L. Wiles was the proximate cause of the accident. Judgment in favor of Webb was entered later. A motion for a new trial was made, raising the same three points raised in this appeal. It was denied.</w:t>
      </w:r>
    </w:p>
    <w:p w14:paraId="069ED40D"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The Wileses contend that the trial court erred in giving the Sudden Emergency instruction — AMI 614 — under the facts of this case. We agree. AMI 614 reads:</w:t>
      </w:r>
    </w:p>
    <w:p w14:paraId="1639ABDA" w14:textId="77777777" w:rsidR="00B222CD" w:rsidRPr="00B222CD" w:rsidRDefault="00B222CD" w:rsidP="008D3A35">
      <w:pPr>
        <w:spacing w:after="100" w:line="240" w:lineRule="auto"/>
        <w:ind w:left="720"/>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A person who is suddenly and unexpectedly confronted with danger to himself or others not caused by his own negligence is not required to use the same judgment that is required of him in calmer and more deliberate moments. He is required to use only the care that a reasonably careful person would use in the same situation.</w:t>
      </w:r>
    </w:p>
    <w:p w14:paraId="3D82755B"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AMI Civ. 3rd 614. At trial, the Wileses objected to this instruction on the ground that there was evidence of negligence on the part of Webb.</w:t>
      </w:r>
    </w:p>
    <w:p w14:paraId="50DCEF83" w14:textId="5B0CF36C"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Our most recent case discussing AMI 614 is </w:t>
      </w:r>
      <w:r w:rsidRPr="00B222CD">
        <w:rPr>
          <w:rFonts w:ascii="Times New Roman" w:eastAsia="Times New Roman" w:hAnsi="Times New Roman" w:cs="Times New Roman"/>
          <w:i/>
          <w:iCs/>
          <w:sz w:val="24"/>
          <w:szCs w:val="24"/>
          <w:lang w:eastAsia="en-AU"/>
        </w:rPr>
        <w:t xml:space="preserve">Frisby v. Agerton Logging, Inc., </w:t>
      </w:r>
      <w:r w:rsidRPr="00B222CD">
        <w:rPr>
          <w:rFonts w:ascii="Times New Roman" w:eastAsia="Times New Roman" w:hAnsi="Times New Roman" w:cs="Times New Roman"/>
          <w:color w:val="0000FF"/>
          <w:sz w:val="24"/>
          <w:szCs w:val="24"/>
          <w:u w:val="single"/>
          <w:lang w:eastAsia="en-AU"/>
        </w:rPr>
        <w:t>323 Ark. 508</w:t>
      </w:r>
      <w:r w:rsidRPr="00B222CD">
        <w:rPr>
          <w:rFonts w:ascii="Times New Roman" w:eastAsia="Times New Roman" w:hAnsi="Times New Roman" w:cs="Times New Roman"/>
          <w:sz w:val="24"/>
          <w:szCs w:val="24"/>
          <w:lang w:eastAsia="en-AU"/>
        </w:rPr>
        <w:t xml:space="preserve">, </w:t>
      </w:r>
      <w:hyperlink r:id="rId6" w:history="1">
        <w:r w:rsidRPr="00B222CD">
          <w:rPr>
            <w:rFonts w:ascii="Times New Roman" w:eastAsia="Times New Roman" w:hAnsi="Times New Roman" w:cs="Times New Roman"/>
            <w:color w:val="0000FF"/>
            <w:sz w:val="24"/>
            <w:szCs w:val="24"/>
            <w:u w:val="single"/>
            <w:lang w:eastAsia="en-AU"/>
          </w:rPr>
          <w:t>915 S.W.2d 718</w:t>
        </w:r>
      </w:hyperlink>
      <w:r w:rsidRPr="00B222CD">
        <w:rPr>
          <w:rFonts w:ascii="Times New Roman" w:eastAsia="Times New Roman" w:hAnsi="Times New Roman" w:cs="Times New Roman"/>
          <w:sz w:val="24"/>
          <w:szCs w:val="24"/>
          <w:lang w:eastAsia="en-AU"/>
        </w:rPr>
        <w:t xml:space="preserve"> (1996). In </w:t>
      </w:r>
      <w:r w:rsidRPr="00B222CD">
        <w:rPr>
          <w:rFonts w:ascii="Times New Roman" w:eastAsia="Times New Roman" w:hAnsi="Times New Roman" w:cs="Times New Roman"/>
          <w:color w:val="0000FF"/>
          <w:sz w:val="24"/>
          <w:szCs w:val="24"/>
          <w:u w:val="single"/>
          <w:lang w:eastAsia="en-AU"/>
        </w:rPr>
        <w:t>*114</w:t>
      </w:r>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i/>
          <w:iCs/>
          <w:sz w:val="24"/>
          <w:szCs w:val="24"/>
          <w:lang w:eastAsia="en-AU"/>
        </w:rPr>
        <w:t xml:space="preserve">Frisby, </w:t>
      </w:r>
      <w:r w:rsidRPr="00B222CD">
        <w:rPr>
          <w:rFonts w:ascii="Times New Roman" w:eastAsia="Times New Roman" w:hAnsi="Times New Roman" w:cs="Times New Roman"/>
          <w:sz w:val="24"/>
          <w:szCs w:val="24"/>
          <w:lang w:eastAsia="en-AU"/>
        </w:rPr>
        <w:t>this court found error in using AMI 614 to instruct the jury-in connection with a collision between the appellant’s Toyota automobile and the appellee’s logging truck. Each party claimed that the other was negligent. The jury returned verdicts in favor of the appellee both on the appellant’s claim for damages and on the appellee’s claim for damages. This court determined that error occurred because the appellant had testified that the appellee’s logging truck was driving in his lane at the time of the collision and that this constituted negligence on the part of the appellee. We then stated:</w:t>
      </w:r>
    </w:p>
    <w:p w14:paraId="46DD4B0F" w14:textId="22859FF9" w:rsidR="00B222CD" w:rsidRPr="00B222CD" w:rsidRDefault="00B222CD" w:rsidP="00B222CD">
      <w:pPr>
        <w:spacing w:after="100"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In order to justify the use of the sudden-emergency instruction, the evidence must show that the driver was in a stressful situation which required a quick decision on the possible courses of conduct. That person must have been aware of the danger, perceived the emergency, and acted in accordance with the stress caused by the danger. </w:t>
      </w:r>
      <w:r w:rsidRPr="00B222CD">
        <w:rPr>
          <w:rFonts w:ascii="Times New Roman" w:eastAsia="Times New Roman" w:hAnsi="Times New Roman" w:cs="Times New Roman"/>
          <w:i/>
          <w:iCs/>
          <w:sz w:val="24"/>
          <w:szCs w:val="24"/>
          <w:lang w:eastAsia="en-AU"/>
        </w:rPr>
        <w:t xml:space="preserve">Diemer v. Dischler, </w:t>
      </w:r>
      <w:hyperlink r:id="rId7" w:anchor="p158" w:history="1">
        <w:r w:rsidRPr="00B222CD">
          <w:rPr>
            <w:rFonts w:ascii="Times New Roman" w:eastAsia="Times New Roman" w:hAnsi="Times New Roman" w:cs="Times New Roman"/>
            <w:color w:val="0000FF"/>
            <w:sz w:val="24"/>
            <w:szCs w:val="24"/>
            <w:u w:val="single"/>
            <w:lang w:eastAsia="en-AU"/>
          </w:rPr>
          <w:t>313 Ark. 154</w:t>
        </w:r>
      </w:hyperlink>
      <w:r w:rsidRPr="00B222CD">
        <w:rPr>
          <w:rFonts w:ascii="Times New Roman" w:eastAsia="Times New Roman" w:hAnsi="Times New Roman" w:cs="Times New Roman"/>
          <w:sz w:val="24"/>
          <w:szCs w:val="24"/>
          <w:lang w:eastAsia="en-AU"/>
        </w:rPr>
        <w:t xml:space="preserve">, 158-59, </w:t>
      </w:r>
      <w:r w:rsidRPr="00B222CD">
        <w:rPr>
          <w:rFonts w:ascii="Times New Roman" w:eastAsia="Times New Roman" w:hAnsi="Times New Roman" w:cs="Times New Roman"/>
          <w:color w:val="0000FF"/>
          <w:sz w:val="24"/>
          <w:szCs w:val="24"/>
          <w:u w:val="single"/>
          <w:lang w:eastAsia="en-AU"/>
        </w:rPr>
        <w:t>852 S.W.2d 793</w:t>
      </w:r>
      <w:r w:rsidRPr="00B222CD">
        <w:rPr>
          <w:rFonts w:ascii="Times New Roman" w:eastAsia="Times New Roman" w:hAnsi="Times New Roman" w:cs="Times New Roman"/>
          <w:sz w:val="24"/>
          <w:szCs w:val="24"/>
          <w:lang w:eastAsia="en-AU"/>
        </w:rPr>
        <w:t xml:space="preserve">, 795-796 (1993). When there is </w:t>
      </w:r>
      <w:r w:rsidRPr="00B222CD">
        <w:rPr>
          <w:rFonts w:ascii="Times New Roman" w:eastAsia="Times New Roman" w:hAnsi="Times New Roman" w:cs="Times New Roman"/>
          <w:i/>
          <w:iCs/>
          <w:sz w:val="24"/>
          <w:szCs w:val="24"/>
          <w:lang w:eastAsia="en-AU"/>
        </w:rPr>
        <w:t xml:space="preserve">any </w:t>
      </w:r>
      <w:r w:rsidRPr="00B222CD">
        <w:rPr>
          <w:rFonts w:ascii="Times New Roman" w:eastAsia="Times New Roman" w:hAnsi="Times New Roman" w:cs="Times New Roman"/>
          <w:sz w:val="24"/>
          <w:szCs w:val="24"/>
          <w:lang w:eastAsia="en-AU"/>
        </w:rPr>
        <w:t xml:space="preserve">evidence of </w:t>
      </w:r>
      <w:r w:rsidR="0096422F" w:rsidRPr="00B222CD">
        <w:rPr>
          <w:rFonts w:ascii="Times New Roman" w:eastAsia="Times New Roman" w:hAnsi="Times New Roman" w:cs="Times New Roman"/>
          <w:sz w:val="24"/>
          <w:szCs w:val="24"/>
          <w:lang w:eastAsia="en-AU"/>
        </w:rPr>
        <w:t>negligence</w:t>
      </w:r>
      <w:r w:rsidRPr="00B222CD">
        <w:rPr>
          <w:rFonts w:ascii="Times New Roman" w:eastAsia="Times New Roman" w:hAnsi="Times New Roman" w:cs="Times New Roman"/>
          <w:sz w:val="24"/>
          <w:szCs w:val="24"/>
          <w:lang w:eastAsia="en-AU"/>
        </w:rPr>
        <w:t xml:space="preserve"> on the part of the party seeking to invoke the instruction, AMI 614 is inapplicable. </w:t>
      </w:r>
      <w:r w:rsidRPr="00B222CD">
        <w:rPr>
          <w:rFonts w:ascii="Times New Roman" w:eastAsia="Times New Roman" w:hAnsi="Times New Roman" w:cs="Times New Roman"/>
          <w:i/>
          <w:iCs/>
          <w:sz w:val="24"/>
          <w:szCs w:val="24"/>
          <w:lang w:eastAsia="en-AU"/>
        </w:rPr>
        <w:t xml:space="preserve">Druckenmiller v. Cluff, </w:t>
      </w:r>
      <w:hyperlink r:id="rId8" w:history="1">
        <w:r w:rsidRPr="00B222CD">
          <w:rPr>
            <w:rFonts w:ascii="Times New Roman" w:eastAsia="Times New Roman" w:hAnsi="Times New Roman" w:cs="Times New Roman"/>
            <w:color w:val="0000FF"/>
            <w:sz w:val="24"/>
            <w:szCs w:val="24"/>
            <w:u w:val="single"/>
            <w:lang w:eastAsia="en-AU"/>
          </w:rPr>
          <w:t>316 Ark. 517</w:t>
        </w:r>
      </w:hyperlink>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color w:val="0000FF"/>
          <w:sz w:val="24"/>
          <w:szCs w:val="24"/>
          <w:u w:val="single"/>
          <w:lang w:eastAsia="en-AU"/>
        </w:rPr>
        <w:t>873 S.W.2d 526</w:t>
      </w:r>
      <w:r w:rsidRPr="00B222CD">
        <w:rPr>
          <w:rFonts w:ascii="Times New Roman" w:eastAsia="Times New Roman" w:hAnsi="Times New Roman" w:cs="Times New Roman"/>
          <w:sz w:val="24"/>
          <w:szCs w:val="24"/>
          <w:lang w:eastAsia="en-AU"/>
        </w:rPr>
        <w:t xml:space="preserve"> (1994). Stated another way, </w:t>
      </w:r>
      <w:r w:rsidRPr="00B222CD">
        <w:rPr>
          <w:rFonts w:ascii="Times New Roman" w:eastAsia="Times New Roman" w:hAnsi="Times New Roman" w:cs="Times New Roman"/>
          <w:sz w:val="24"/>
          <w:szCs w:val="24"/>
          <w:highlight w:val="green"/>
          <w:lang w:eastAsia="en-AU"/>
        </w:rPr>
        <w:t>when an emergency arises wholly or partially from the negligence of the person who seeks to invoke the sudden-emergency doctrine, AMI 614 has no application and should not be delivered to the jury</w:t>
      </w:r>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i/>
          <w:iCs/>
          <w:sz w:val="24"/>
          <w:szCs w:val="24"/>
          <w:lang w:eastAsia="en-AU"/>
        </w:rPr>
        <w:t xml:space="preserve">Id.; Thomson v. Littlefield, </w:t>
      </w:r>
      <w:hyperlink r:id="rId9" w:history="1">
        <w:r w:rsidRPr="00B222CD">
          <w:rPr>
            <w:rFonts w:ascii="Times New Roman" w:eastAsia="Times New Roman" w:hAnsi="Times New Roman" w:cs="Times New Roman"/>
            <w:color w:val="0000FF"/>
            <w:sz w:val="24"/>
            <w:szCs w:val="24"/>
            <w:u w:val="single"/>
            <w:lang w:eastAsia="en-AU"/>
          </w:rPr>
          <w:t>319 Ark. 648</w:t>
        </w:r>
      </w:hyperlink>
      <w:r w:rsidRPr="00B222CD">
        <w:rPr>
          <w:rFonts w:ascii="Times New Roman" w:eastAsia="Times New Roman" w:hAnsi="Times New Roman" w:cs="Times New Roman"/>
          <w:sz w:val="24"/>
          <w:szCs w:val="24"/>
          <w:lang w:eastAsia="en-AU"/>
        </w:rPr>
        <w:t>, 893 S.W.2d,788 (1995) (instruction proper where third-party driver encountered collision caused by others and did not in any way create the emergency himself).</w:t>
      </w:r>
    </w:p>
    <w:p w14:paraId="32954974" w14:textId="4F33C14B"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i/>
          <w:iCs/>
          <w:sz w:val="24"/>
          <w:szCs w:val="24"/>
          <w:lang w:eastAsia="en-AU"/>
        </w:rPr>
        <w:t xml:space="preserve">Frisby v. Agerton Logging, Inc., </w:t>
      </w:r>
      <w:r w:rsidRPr="00B222CD">
        <w:rPr>
          <w:rFonts w:ascii="Times New Roman" w:eastAsia="Times New Roman" w:hAnsi="Times New Roman" w:cs="Times New Roman"/>
          <w:color w:val="0000FF"/>
          <w:sz w:val="24"/>
          <w:szCs w:val="24"/>
          <w:u w:val="single"/>
          <w:lang w:eastAsia="en-AU"/>
        </w:rPr>
        <w:t>323 Ark. at 513</w:t>
      </w:r>
      <w:r w:rsidRPr="00B222CD">
        <w:rPr>
          <w:rFonts w:ascii="Times New Roman" w:eastAsia="Times New Roman" w:hAnsi="Times New Roman" w:cs="Times New Roman"/>
          <w:sz w:val="24"/>
          <w:szCs w:val="24"/>
          <w:lang w:eastAsia="en-AU"/>
        </w:rPr>
        <w:t xml:space="preserve">, </w:t>
      </w:r>
      <w:hyperlink r:id="rId10" w:history="1">
        <w:r w:rsidRPr="00B222CD">
          <w:rPr>
            <w:rFonts w:ascii="Times New Roman" w:eastAsia="Times New Roman" w:hAnsi="Times New Roman" w:cs="Times New Roman"/>
            <w:color w:val="0000FF"/>
            <w:sz w:val="24"/>
            <w:szCs w:val="24"/>
            <w:u w:val="single"/>
            <w:lang w:eastAsia="en-AU"/>
          </w:rPr>
          <w:t>915 S.W.2d at 721</w:t>
        </w:r>
      </w:hyperlink>
      <w:r w:rsidRPr="00B222CD">
        <w:rPr>
          <w:rFonts w:ascii="Times New Roman" w:eastAsia="Times New Roman" w:hAnsi="Times New Roman" w:cs="Times New Roman"/>
          <w:sz w:val="24"/>
          <w:szCs w:val="24"/>
          <w:lang w:eastAsia="en-AU"/>
        </w:rPr>
        <w:t xml:space="preserve"> (emphasis added).</w:t>
      </w:r>
    </w:p>
    <w:p w14:paraId="242FBA2A" w14:textId="2056986F"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Thus, the law on this point is clear: </w:t>
      </w:r>
      <w:r w:rsidRPr="00B222CD">
        <w:rPr>
          <w:rFonts w:ascii="Times New Roman" w:eastAsia="Times New Roman" w:hAnsi="Times New Roman" w:cs="Times New Roman"/>
          <w:sz w:val="24"/>
          <w:szCs w:val="24"/>
          <w:highlight w:val="green"/>
          <w:lang w:eastAsia="en-AU"/>
        </w:rPr>
        <w:t xml:space="preserve">the trial court erred in giving the Sudden Emergency instruction </w:t>
      </w:r>
      <w:r w:rsidRPr="00B222CD">
        <w:rPr>
          <w:rFonts w:ascii="Times New Roman" w:eastAsia="Times New Roman" w:hAnsi="Times New Roman" w:cs="Times New Roman"/>
          <w:i/>
          <w:iCs/>
          <w:sz w:val="24"/>
          <w:szCs w:val="24"/>
          <w:highlight w:val="green"/>
          <w:lang w:eastAsia="en-AU"/>
        </w:rPr>
        <w:t xml:space="preserve">only if </w:t>
      </w:r>
      <w:r w:rsidRPr="00B222CD">
        <w:rPr>
          <w:rFonts w:ascii="Times New Roman" w:eastAsia="Times New Roman" w:hAnsi="Times New Roman" w:cs="Times New Roman"/>
          <w:sz w:val="24"/>
          <w:szCs w:val="24"/>
          <w:highlight w:val="green"/>
          <w:lang w:eastAsia="en-AU"/>
        </w:rPr>
        <w:t>Webb’s conduct was in any wise responsible for creating the emergency situation.</w:t>
      </w:r>
      <w:r w:rsidRPr="00B222CD">
        <w:rPr>
          <w:rFonts w:ascii="Times New Roman" w:eastAsia="Times New Roman" w:hAnsi="Times New Roman" w:cs="Times New Roman"/>
          <w:sz w:val="24"/>
          <w:szCs w:val="24"/>
          <w:lang w:eastAsia="en-AU"/>
        </w:rPr>
        <w:t xml:space="preserve"> Webb contends that the emergency situation was created when the station wagon pulled out from the stop sign on Tabor Mountain Cutoff Road and that his veering to the left was an instant response to the stress of the emergency. The Wileses’ case, on the other hand, was based on physical evidence, since the two survivors of the crash could not remember what happened, and both suffered from disabilities due to age and mental retardation. The essence of the Wileses’ case was that Webb was inadvertent in his driving, and upon recognizing B.L. Wiles’s station wagon crossing the highway, Webb hit his brakes and either veered to the left into Wiles’s lane or lost control of the logging truck. Had Webb had the truck under control, say the Wileses, he could have veered to the right where there was ample space at the Tabor Mountain Cutoff Road intersection to avoid the station wagon and, thus, the accident.</w:t>
      </w:r>
    </w:p>
    <w:p w14:paraId="56059AA0"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The physical evidence appears reasonably clear. </w:t>
      </w:r>
      <w:r w:rsidRPr="00B222CD">
        <w:rPr>
          <w:rFonts w:ascii="Times New Roman" w:eastAsia="Times New Roman" w:hAnsi="Times New Roman" w:cs="Times New Roman"/>
          <w:sz w:val="24"/>
          <w:szCs w:val="24"/>
          <w:highlight w:val="yellow"/>
          <w:lang w:eastAsia="en-AU"/>
        </w:rPr>
        <w:t>Webb’s truck crossed the center line, and the point of impact occurred in Wiles’s eastbound lane</w:t>
      </w:r>
      <w:r w:rsidRPr="00B222CD">
        <w:rPr>
          <w:rFonts w:ascii="Times New Roman" w:eastAsia="Times New Roman" w:hAnsi="Times New Roman" w:cs="Times New Roman"/>
          <w:sz w:val="24"/>
          <w:szCs w:val="24"/>
          <w:lang w:eastAsia="en-AU"/>
        </w:rPr>
        <w:t xml:space="preserve">. Testimony by Webb estimated </w:t>
      </w:r>
      <w:r w:rsidRPr="00B222CD">
        <w:rPr>
          <w:rFonts w:ascii="Times New Roman" w:eastAsia="Times New Roman" w:hAnsi="Times New Roman" w:cs="Times New Roman"/>
          <w:sz w:val="24"/>
          <w:szCs w:val="24"/>
          <w:highlight w:val="yellow"/>
          <w:lang w:eastAsia="en-AU"/>
        </w:rPr>
        <w:t>the point of impact as being potentially as far over as five feet into the eastbound lane. The logging truck’s skid marks were 85 feet.</w:t>
      </w:r>
    </w:p>
    <w:p w14:paraId="3009BCE6"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The issue from the Wileses’ perspective boils down to </w:t>
      </w:r>
      <w:r w:rsidRPr="00B222CD">
        <w:rPr>
          <w:rFonts w:ascii="Times New Roman" w:eastAsia="Times New Roman" w:hAnsi="Times New Roman" w:cs="Times New Roman"/>
          <w:sz w:val="24"/>
          <w:szCs w:val="24"/>
          <w:highlight w:val="green"/>
          <w:lang w:eastAsia="en-AU"/>
        </w:rPr>
        <w:t>whether Webb was inadvertent or, in legal parlance, failed to keep a proper lookout and, as a result, lost control of his vehicle. The physical evidence suggests this might have happened</w:t>
      </w:r>
      <w:r w:rsidRPr="00B222CD">
        <w:rPr>
          <w:rFonts w:ascii="Times New Roman" w:eastAsia="Times New Roman" w:hAnsi="Times New Roman" w:cs="Times New Roman"/>
          <w:sz w:val="24"/>
          <w:szCs w:val="24"/>
          <w:lang w:eastAsia="en-AU"/>
        </w:rPr>
        <w:t>, though Webb’s own testimony belies this. This, however, was the issue for the jury to decide, and the issue necessarily embraces an analysis of comparative fault. Indeed, the jury was instructed on ordinary care:</w:t>
      </w:r>
    </w:p>
    <w:p w14:paraId="00A0960E" w14:textId="77777777" w:rsidR="00B222CD" w:rsidRPr="00B222CD" w:rsidRDefault="00B222CD" w:rsidP="00D43507">
      <w:pPr>
        <w:spacing w:after="100" w:line="240" w:lineRule="auto"/>
        <w:ind w:left="720"/>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A failure to exercise ordinary care is negligence. When I use the words “ordinary care,” I mean the care a reasonably careful person would use under circumstances similar to those shown by the evidence in this case. It is for you to decide how a reasonably careful person would act under those circumstances.</w:t>
      </w:r>
    </w:p>
    <w:p w14:paraId="2BA94A0A"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AMI Civ. 3rd 303..</w:t>
      </w:r>
    </w:p>
    <w:p w14:paraId="188A28E5" w14:textId="755AD18D"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In order for the Sudden Emergency instruction to be given, the trial court must first find: (1) that a sudden emergency was created, and (2) that the defendant had no part in its creation. Then by giving the instruction, the trial court informs the jury that due to an emergent circumstance, the defendant is not as responsible for what occurred as he might otherwise have been. In a comparative-fault case like the one at hand, we believe that the instruction is tantamount to instructing the jury that Webb’s responsibility for what occurred is all but nullified by the trial court’s finding that a sudden emergency was caused solely by the negligence of Wiles. At worst, what occurs is that the trial court all but decides the ultimate issue by instructing the jury on sudden emergency. At best, the instruction confuses matters and skews the analysis in favor of the defendant. The result is that a defendant who did not in any way create the initial emergency circumstance but who is woefully negligent in other respects falls heir to a reduced standard of care.</w:t>
      </w:r>
    </w:p>
    <w:p w14:paraId="074F8E35" w14:textId="69555951"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highlight w:val="green"/>
          <w:lang w:eastAsia="en-AU"/>
        </w:rPr>
        <w:t>We conclude that the physical evidence presents some evidence of negligence on Webb’s part, and we hold that it was error to give the Sudden Emergency instruction in the present case.</w:t>
      </w:r>
      <w:r w:rsidRPr="00B222CD">
        <w:rPr>
          <w:rFonts w:ascii="Times New Roman" w:eastAsia="Times New Roman" w:hAnsi="Times New Roman" w:cs="Times New Roman"/>
          <w:sz w:val="24"/>
          <w:szCs w:val="24"/>
          <w:lang w:eastAsia="en-AU"/>
        </w:rPr>
        <w:t xml:space="preserve"> In doing so, we adopt the position of the concurring opinions in </w:t>
      </w:r>
      <w:r w:rsidRPr="00B222CD">
        <w:rPr>
          <w:rFonts w:ascii="Times New Roman" w:eastAsia="Times New Roman" w:hAnsi="Times New Roman" w:cs="Times New Roman"/>
          <w:i/>
          <w:iCs/>
          <w:sz w:val="24"/>
          <w:szCs w:val="24"/>
          <w:lang w:eastAsia="en-AU"/>
        </w:rPr>
        <w:t xml:space="preserve">Frisby v. Agerton Logging, Inc., </w:t>
      </w:r>
      <w:r w:rsidRPr="00B222CD">
        <w:rPr>
          <w:rFonts w:ascii="Times New Roman" w:eastAsia="Times New Roman" w:hAnsi="Times New Roman" w:cs="Times New Roman"/>
          <w:color w:val="0000FF"/>
          <w:sz w:val="24"/>
          <w:szCs w:val="24"/>
          <w:u w:val="single"/>
          <w:lang w:eastAsia="en-AU"/>
        </w:rPr>
        <w:t>323 Ark. 508</w:t>
      </w:r>
      <w:r w:rsidRPr="00B222CD">
        <w:rPr>
          <w:rFonts w:ascii="Times New Roman" w:eastAsia="Times New Roman" w:hAnsi="Times New Roman" w:cs="Times New Roman"/>
          <w:sz w:val="24"/>
          <w:szCs w:val="24"/>
          <w:lang w:eastAsia="en-AU"/>
        </w:rPr>
        <w:t xml:space="preserve">, </w:t>
      </w:r>
      <w:hyperlink r:id="rId11" w:history="1">
        <w:r w:rsidRPr="00B222CD">
          <w:rPr>
            <w:rFonts w:ascii="Times New Roman" w:eastAsia="Times New Roman" w:hAnsi="Times New Roman" w:cs="Times New Roman"/>
            <w:color w:val="0000FF"/>
            <w:sz w:val="24"/>
            <w:szCs w:val="24"/>
            <w:u w:val="single"/>
            <w:lang w:eastAsia="en-AU"/>
          </w:rPr>
          <w:t>915 S.W.2d 718</w:t>
        </w:r>
      </w:hyperlink>
      <w:r w:rsidRPr="00B222CD">
        <w:rPr>
          <w:rFonts w:ascii="Times New Roman" w:eastAsia="Times New Roman" w:hAnsi="Times New Roman" w:cs="Times New Roman"/>
          <w:sz w:val="24"/>
          <w:szCs w:val="24"/>
          <w:lang w:eastAsia="en-AU"/>
        </w:rPr>
        <w:t xml:space="preserve"> (1996) (Glaze, J., concurring) and </w:t>
      </w:r>
      <w:r w:rsidRPr="00B222CD">
        <w:rPr>
          <w:rFonts w:ascii="Times New Roman" w:eastAsia="Times New Roman" w:hAnsi="Times New Roman" w:cs="Times New Roman"/>
          <w:i/>
          <w:iCs/>
          <w:sz w:val="24"/>
          <w:szCs w:val="24"/>
          <w:lang w:eastAsia="en-AU"/>
        </w:rPr>
        <w:t xml:space="preserve">Druckenmiller v. Cluff, </w:t>
      </w:r>
      <w:r w:rsidRPr="00B222CD">
        <w:rPr>
          <w:rFonts w:ascii="Times New Roman" w:eastAsia="Times New Roman" w:hAnsi="Times New Roman" w:cs="Times New Roman"/>
          <w:color w:val="0000FF"/>
          <w:sz w:val="24"/>
          <w:szCs w:val="24"/>
          <w:u w:val="single"/>
          <w:lang w:eastAsia="en-AU"/>
        </w:rPr>
        <w:t>316 Ark. 517</w:t>
      </w:r>
      <w:r w:rsidRPr="00B222CD">
        <w:rPr>
          <w:rFonts w:ascii="Times New Roman" w:eastAsia="Times New Roman" w:hAnsi="Times New Roman" w:cs="Times New Roman"/>
          <w:sz w:val="24"/>
          <w:szCs w:val="24"/>
          <w:lang w:eastAsia="en-AU"/>
        </w:rPr>
        <w:t xml:space="preserve">, </w:t>
      </w:r>
      <w:hyperlink r:id="rId12" w:history="1">
        <w:r w:rsidRPr="00B222CD">
          <w:rPr>
            <w:rFonts w:ascii="Times New Roman" w:eastAsia="Times New Roman" w:hAnsi="Times New Roman" w:cs="Times New Roman"/>
            <w:color w:val="0000FF"/>
            <w:sz w:val="24"/>
            <w:szCs w:val="24"/>
            <w:u w:val="single"/>
            <w:lang w:eastAsia="en-AU"/>
          </w:rPr>
          <w:t>873 S.W.2d 526</w:t>
        </w:r>
      </w:hyperlink>
      <w:r w:rsidRPr="00B222CD">
        <w:rPr>
          <w:rFonts w:ascii="Times New Roman" w:eastAsia="Times New Roman" w:hAnsi="Times New Roman" w:cs="Times New Roman"/>
          <w:sz w:val="24"/>
          <w:szCs w:val="24"/>
          <w:lang w:eastAsia="en-AU"/>
        </w:rPr>
        <w:t xml:space="preserve"> (1994) (Glaze, J., concurring). On the issue of confusion generated by AMI 614, </w:t>
      </w:r>
      <w:r w:rsidRPr="00B222CD">
        <w:rPr>
          <w:rFonts w:ascii="Times New Roman" w:eastAsia="Times New Roman" w:hAnsi="Times New Roman" w:cs="Times New Roman"/>
          <w:i/>
          <w:iCs/>
          <w:sz w:val="24"/>
          <w:szCs w:val="24"/>
          <w:lang w:eastAsia="en-AU"/>
        </w:rPr>
        <w:t xml:space="preserve">Prosser and Keeton on the Law of Torts </w:t>
      </w:r>
      <w:r w:rsidRPr="00B222CD">
        <w:rPr>
          <w:rFonts w:ascii="Times New Roman" w:eastAsia="Times New Roman" w:hAnsi="Times New Roman" w:cs="Times New Roman"/>
          <w:sz w:val="24"/>
          <w:szCs w:val="24"/>
          <w:lang w:eastAsia="en-AU"/>
        </w:rPr>
        <w:t>has this to say:</w:t>
      </w:r>
    </w:p>
    <w:p w14:paraId="120F3B25" w14:textId="77777777" w:rsidR="00B222CD" w:rsidRPr="00B222CD" w:rsidRDefault="00B222CD" w:rsidP="004D3DA2">
      <w:pPr>
        <w:spacing w:after="100" w:line="240" w:lineRule="auto"/>
        <w:ind w:left="720"/>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Despite the basic logic and simplicity of the sudden emergency doctrine, it is all too frequently misapplied on the facts or misstated injury instructions. As a result, the model jury instructions in at least Illinois, Florida, Kansas and Missouri recommend that no such instruction be given, and Mississippi abolished the doctrine altogether in 1980.</w:t>
      </w:r>
    </w:p>
    <w:p w14:paraId="6D5CB8E4" w14:textId="4BB20FDA"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W. Page Keeton, et al., Prosser, and Keeton on the Law of Torts § 33, at 197 (5th ed. 1984) (citations omitted). Moreover, we are now of the opinion that the Supreme Court of Hawaii was correct when it stated that the risk of prejudice in instructing the jury on the Sudden Emergency instruction far exceeds the possibility of error in not doing so. </w:t>
      </w:r>
      <w:r w:rsidRPr="00B222CD">
        <w:rPr>
          <w:rFonts w:ascii="Times New Roman" w:eastAsia="Times New Roman" w:hAnsi="Times New Roman" w:cs="Times New Roman"/>
          <w:i/>
          <w:iCs/>
          <w:sz w:val="24"/>
          <w:szCs w:val="24"/>
          <w:lang w:eastAsia="en-AU"/>
        </w:rPr>
        <w:t xml:space="preserve">See DiCenzo v. Izana, </w:t>
      </w:r>
      <w:r w:rsidRPr="00B222CD">
        <w:rPr>
          <w:rFonts w:ascii="Times New Roman" w:eastAsia="Times New Roman" w:hAnsi="Times New Roman" w:cs="Times New Roman"/>
          <w:color w:val="0000FF"/>
          <w:sz w:val="24"/>
          <w:szCs w:val="24"/>
          <w:u w:val="single"/>
          <w:lang w:eastAsia="en-AU"/>
        </w:rPr>
        <w:t>723 P.2d 171</w:t>
      </w:r>
      <w:r w:rsidRPr="00B222CD">
        <w:rPr>
          <w:rFonts w:ascii="Times New Roman" w:eastAsia="Times New Roman" w:hAnsi="Times New Roman" w:cs="Times New Roman"/>
          <w:sz w:val="24"/>
          <w:szCs w:val="24"/>
          <w:lang w:eastAsia="en-AU"/>
        </w:rPr>
        <w:t xml:space="preserve"> (Hawaii 1986).</w:t>
      </w:r>
    </w:p>
    <w:p w14:paraId="192DFF19" w14:textId="25B1875B"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We are mindful of the fact that other jurisdictions are divided on this issue. Some jurisdictions have abolished the instruction or severely limited it. </w:t>
      </w:r>
      <w:r w:rsidRPr="00B222CD">
        <w:rPr>
          <w:rFonts w:ascii="Times New Roman" w:eastAsia="Times New Roman" w:hAnsi="Times New Roman" w:cs="Times New Roman"/>
          <w:i/>
          <w:iCs/>
          <w:sz w:val="24"/>
          <w:szCs w:val="24"/>
          <w:lang w:eastAsia="en-AU"/>
        </w:rPr>
        <w:t xml:space="preserve">See, e.g., DiCenzo v. Izana, </w:t>
      </w:r>
      <w:hyperlink r:id="rId13" w:history="1">
        <w:r w:rsidRPr="00B222CD">
          <w:rPr>
            <w:rFonts w:ascii="Times New Roman" w:eastAsia="Times New Roman" w:hAnsi="Times New Roman" w:cs="Times New Roman"/>
            <w:color w:val="0000FF"/>
            <w:sz w:val="24"/>
            <w:szCs w:val="24"/>
            <w:u w:val="single"/>
            <w:lang w:eastAsia="en-AU"/>
          </w:rPr>
          <w:t>supra;</w:t>
        </w:r>
      </w:hyperlink>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i/>
          <w:iCs/>
          <w:sz w:val="24"/>
          <w:szCs w:val="24"/>
          <w:lang w:eastAsia="en-AU"/>
        </w:rPr>
        <w:t xml:space="preserve">Bass v. Williams, </w:t>
      </w:r>
      <w:r w:rsidRPr="00B222CD">
        <w:rPr>
          <w:rFonts w:ascii="Times New Roman" w:eastAsia="Times New Roman" w:hAnsi="Times New Roman" w:cs="Times New Roman"/>
          <w:color w:val="0000FF"/>
          <w:sz w:val="24"/>
          <w:szCs w:val="24"/>
          <w:u w:val="single"/>
          <w:lang w:eastAsia="en-AU"/>
        </w:rPr>
        <w:t>839 S.W.2d 559</w:t>
      </w:r>
      <w:r w:rsidRPr="00B222CD">
        <w:rPr>
          <w:rFonts w:ascii="Times New Roman" w:eastAsia="Times New Roman" w:hAnsi="Times New Roman" w:cs="Times New Roman"/>
          <w:sz w:val="24"/>
          <w:szCs w:val="24"/>
          <w:lang w:eastAsia="en-AU"/>
        </w:rPr>
        <w:t xml:space="preserve"> (Ky. App. 1992); </w:t>
      </w:r>
      <w:r w:rsidRPr="00B222CD">
        <w:rPr>
          <w:rFonts w:ascii="Times New Roman" w:eastAsia="Times New Roman" w:hAnsi="Times New Roman" w:cs="Times New Roman"/>
          <w:i/>
          <w:iCs/>
          <w:sz w:val="24"/>
          <w:szCs w:val="24"/>
          <w:lang w:eastAsia="en-AU"/>
        </w:rPr>
        <w:t xml:space="preserve">Knapp v. Stanford, </w:t>
      </w:r>
      <w:hyperlink r:id="rId14" w:history="1">
        <w:r w:rsidRPr="00B222CD">
          <w:rPr>
            <w:rFonts w:ascii="Times New Roman" w:eastAsia="Times New Roman" w:hAnsi="Times New Roman" w:cs="Times New Roman"/>
            <w:color w:val="0000FF"/>
            <w:sz w:val="24"/>
            <w:szCs w:val="24"/>
            <w:u w:val="single"/>
            <w:lang w:eastAsia="en-AU"/>
          </w:rPr>
          <w:t>392 So.2d 196</w:t>
        </w:r>
      </w:hyperlink>
      <w:r w:rsidRPr="00B222CD">
        <w:rPr>
          <w:rFonts w:ascii="Times New Roman" w:eastAsia="Times New Roman" w:hAnsi="Times New Roman" w:cs="Times New Roman"/>
          <w:sz w:val="24"/>
          <w:szCs w:val="24"/>
          <w:lang w:eastAsia="en-AU"/>
        </w:rPr>
        <w:t xml:space="preserve"> (Miss. 1980); </w:t>
      </w:r>
      <w:r w:rsidRPr="00B222CD">
        <w:rPr>
          <w:rFonts w:ascii="Times New Roman" w:eastAsia="Times New Roman" w:hAnsi="Times New Roman" w:cs="Times New Roman"/>
          <w:i/>
          <w:iCs/>
          <w:sz w:val="24"/>
          <w:szCs w:val="24"/>
          <w:lang w:eastAsia="en-AU"/>
        </w:rPr>
        <w:t xml:space="preserve">Cowell v. Thompson, </w:t>
      </w:r>
      <w:r w:rsidRPr="00B222CD">
        <w:rPr>
          <w:rFonts w:ascii="Times New Roman" w:eastAsia="Times New Roman" w:hAnsi="Times New Roman" w:cs="Times New Roman"/>
          <w:color w:val="0000FF"/>
          <w:sz w:val="24"/>
          <w:szCs w:val="24"/>
          <w:u w:val="single"/>
          <w:lang w:eastAsia="en-AU"/>
        </w:rPr>
        <w:t>713 S.W.2d 52</w:t>
      </w:r>
      <w:r w:rsidRPr="00B222CD">
        <w:rPr>
          <w:rFonts w:ascii="Times New Roman" w:eastAsia="Times New Roman" w:hAnsi="Times New Roman" w:cs="Times New Roman"/>
          <w:sz w:val="24"/>
          <w:szCs w:val="24"/>
          <w:lang w:eastAsia="en-AU"/>
        </w:rPr>
        <w:t xml:space="preserve"> (Mo. App. 1986); </w:t>
      </w:r>
      <w:r w:rsidRPr="00B222CD">
        <w:rPr>
          <w:rFonts w:ascii="Times New Roman" w:eastAsia="Times New Roman" w:hAnsi="Times New Roman" w:cs="Times New Roman"/>
          <w:i/>
          <w:iCs/>
          <w:sz w:val="24"/>
          <w:szCs w:val="24"/>
          <w:lang w:eastAsia="en-AU"/>
        </w:rPr>
        <w:t xml:space="preserve">Simonson v. White, </w:t>
      </w:r>
      <w:hyperlink r:id="rId15" w:history="1">
        <w:r w:rsidRPr="00B222CD">
          <w:rPr>
            <w:rFonts w:ascii="Times New Roman" w:eastAsia="Times New Roman" w:hAnsi="Times New Roman" w:cs="Times New Roman"/>
            <w:color w:val="0000FF"/>
            <w:sz w:val="24"/>
            <w:szCs w:val="24"/>
            <w:u w:val="single"/>
            <w:lang w:eastAsia="en-AU"/>
          </w:rPr>
          <w:t>713 P.2d 983</w:t>
        </w:r>
      </w:hyperlink>
      <w:r w:rsidRPr="00B222CD">
        <w:rPr>
          <w:rFonts w:ascii="Times New Roman" w:eastAsia="Times New Roman" w:hAnsi="Times New Roman" w:cs="Times New Roman"/>
          <w:sz w:val="24"/>
          <w:szCs w:val="24"/>
          <w:lang w:eastAsia="en-AU"/>
        </w:rPr>
        <w:t xml:space="preserve"> (Mont. 1986); </w:t>
      </w:r>
      <w:r w:rsidRPr="00B222CD">
        <w:rPr>
          <w:rFonts w:ascii="Times New Roman" w:eastAsia="Times New Roman" w:hAnsi="Times New Roman" w:cs="Times New Roman"/>
          <w:i/>
          <w:iCs/>
          <w:sz w:val="24"/>
          <w:szCs w:val="24"/>
          <w:lang w:eastAsia="en-AU"/>
        </w:rPr>
        <w:t xml:space="preserve">Kozeny v. Miller, </w:t>
      </w:r>
      <w:r w:rsidRPr="00B222CD">
        <w:rPr>
          <w:rFonts w:ascii="Times New Roman" w:eastAsia="Times New Roman" w:hAnsi="Times New Roman" w:cs="Times New Roman"/>
          <w:color w:val="0000FF"/>
          <w:sz w:val="24"/>
          <w:szCs w:val="24"/>
          <w:u w:val="single"/>
          <w:lang w:eastAsia="en-AU"/>
        </w:rPr>
        <w:t>499 N.W.2d 75</w:t>
      </w:r>
      <w:r w:rsidRPr="00B222CD">
        <w:rPr>
          <w:rFonts w:ascii="Times New Roman" w:eastAsia="Times New Roman" w:hAnsi="Times New Roman" w:cs="Times New Roman"/>
          <w:sz w:val="24"/>
          <w:szCs w:val="24"/>
          <w:lang w:eastAsia="en-AU"/>
        </w:rPr>
        <w:t xml:space="preserve"> (Neb. 1993); </w:t>
      </w:r>
      <w:r w:rsidRPr="00B222CD">
        <w:rPr>
          <w:rFonts w:ascii="Times New Roman" w:eastAsia="Times New Roman" w:hAnsi="Times New Roman" w:cs="Times New Roman"/>
          <w:i/>
          <w:iCs/>
          <w:sz w:val="24"/>
          <w:szCs w:val="24"/>
          <w:lang w:eastAsia="en-AU"/>
        </w:rPr>
        <w:t xml:space="preserve">Paiva v. Pfeiffer, </w:t>
      </w:r>
      <w:hyperlink r:id="rId16" w:history="1">
        <w:r w:rsidRPr="00B222CD">
          <w:rPr>
            <w:rFonts w:ascii="Times New Roman" w:eastAsia="Times New Roman" w:hAnsi="Times New Roman" w:cs="Times New Roman"/>
            <w:color w:val="0000FF"/>
            <w:sz w:val="24"/>
            <w:szCs w:val="24"/>
            <w:u w:val="single"/>
            <w:lang w:eastAsia="en-AU"/>
          </w:rPr>
          <w:t>551 A.2d 201</w:t>
        </w:r>
      </w:hyperlink>
      <w:r w:rsidRPr="00B222CD">
        <w:rPr>
          <w:rFonts w:ascii="Times New Roman" w:eastAsia="Times New Roman" w:hAnsi="Times New Roman" w:cs="Times New Roman"/>
          <w:sz w:val="24"/>
          <w:szCs w:val="24"/>
          <w:lang w:eastAsia="en-AU"/>
        </w:rPr>
        <w:t xml:space="preserve"> (N.J. Super. A.D. 1988). Others have decided to retain </w:t>
      </w:r>
      <w:r w:rsidRPr="00B222CD">
        <w:rPr>
          <w:rFonts w:ascii="Times New Roman" w:eastAsia="Times New Roman" w:hAnsi="Times New Roman" w:cs="Times New Roman"/>
          <w:color w:val="0000FF"/>
          <w:sz w:val="24"/>
          <w:szCs w:val="24"/>
          <w:u w:val="single"/>
          <w:lang w:eastAsia="en-AU"/>
        </w:rPr>
        <w:t>*117</w:t>
      </w:r>
      <w:r w:rsidRPr="00B222CD">
        <w:rPr>
          <w:rFonts w:ascii="Times New Roman" w:eastAsia="Times New Roman" w:hAnsi="Times New Roman" w:cs="Times New Roman"/>
          <w:sz w:val="24"/>
          <w:szCs w:val="24"/>
          <w:lang w:eastAsia="en-AU"/>
        </w:rPr>
        <w:t xml:space="preserve">it. </w:t>
      </w:r>
      <w:r w:rsidRPr="00B222CD">
        <w:rPr>
          <w:rFonts w:ascii="Times New Roman" w:eastAsia="Times New Roman" w:hAnsi="Times New Roman" w:cs="Times New Roman"/>
          <w:i/>
          <w:iCs/>
          <w:sz w:val="24"/>
          <w:szCs w:val="24"/>
          <w:lang w:eastAsia="en-AU"/>
        </w:rPr>
        <w:t xml:space="preserve">See, e.g., Young v. Clark, </w:t>
      </w:r>
      <w:hyperlink r:id="rId17" w:history="1">
        <w:r w:rsidRPr="00B222CD">
          <w:rPr>
            <w:rFonts w:ascii="Times New Roman" w:eastAsia="Times New Roman" w:hAnsi="Times New Roman" w:cs="Times New Roman"/>
            <w:color w:val="0000FF"/>
            <w:sz w:val="24"/>
            <w:szCs w:val="24"/>
            <w:u w:val="single"/>
            <w:lang w:eastAsia="en-AU"/>
          </w:rPr>
          <w:t>814 P.2d 364</w:t>
        </w:r>
      </w:hyperlink>
      <w:r w:rsidRPr="00B222CD">
        <w:rPr>
          <w:rFonts w:ascii="Times New Roman" w:eastAsia="Times New Roman" w:hAnsi="Times New Roman" w:cs="Times New Roman"/>
          <w:sz w:val="24"/>
          <w:szCs w:val="24"/>
          <w:lang w:eastAsia="en-AU"/>
        </w:rPr>
        <w:t xml:space="preserve"> (Colo. 1991); </w:t>
      </w:r>
      <w:r w:rsidRPr="00B222CD">
        <w:rPr>
          <w:rFonts w:ascii="Times New Roman" w:eastAsia="Times New Roman" w:hAnsi="Times New Roman" w:cs="Times New Roman"/>
          <w:i/>
          <w:iCs/>
          <w:sz w:val="24"/>
          <w:szCs w:val="24"/>
          <w:lang w:eastAsia="en-AU"/>
        </w:rPr>
        <w:t xml:space="preserve">Weiss v. Bal, </w:t>
      </w:r>
      <w:r w:rsidRPr="00B222CD">
        <w:rPr>
          <w:rFonts w:ascii="Times New Roman" w:eastAsia="Times New Roman" w:hAnsi="Times New Roman" w:cs="Times New Roman"/>
          <w:color w:val="0000FF"/>
          <w:sz w:val="24"/>
          <w:szCs w:val="24"/>
          <w:u w:val="single"/>
          <w:lang w:eastAsia="en-AU"/>
        </w:rPr>
        <w:t>501 N.W.2d 478</w:t>
      </w:r>
      <w:r w:rsidRPr="00B222CD">
        <w:rPr>
          <w:rFonts w:ascii="Times New Roman" w:eastAsia="Times New Roman" w:hAnsi="Times New Roman" w:cs="Times New Roman"/>
          <w:sz w:val="24"/>
          <w:szCs w:val="24"/>
          <w:lang w:eastAsia="en-AU"/>
        </w:rPr>
        <w:t xml:space="preserve"> (Iowa 1993); </w:t>
      </w:r>
      <w:r w:rsidRPr="00B222CD">
        <w:rPr>
          <w:rFonts w:ascii="Times New Roman" w:eastAsia="Times New Roman" w:hAnsi="Times New Roman" w:cs="Times New Roman"/>
          <w:i/>
          <w:iCs/>
          <w:sz w:val="24"/>
          <w:szCs w:val="24"/>
          <w:lang w:eastAsia="en-AU"/>
        </w:rPr>
        <w:t xml:space="preserve">Ebach v. Ralston, </w:t>
      </w:r>
      <w:hyperlink r:id="rId18" w:history="1">
        <w:r w:rsidRPr="00B222CD">
          <w:rPr>
            <w:rFonts w:ascii="Times New Roman" w:eastAsia="Times New Roman" w:hAnsi="Times New Roman" w:cs="Times New Roman"/>
            <w:color w:val="0000FF"/>
            <w:sz w:val="24"/>
            <w:szCs w:val="24"/>
            <w:u w:val="single"/>
            <w:lang w:eastAsia="en-AU"/>
          </w:rPr>
          <w:t>510 N.W.2d 604</w:t>
        </w:r>
      </w:hyperlink>
      <w:r w:rsidRPr="00B222CD">
        <w:rPr>
          <w:rFonts w:ascii="Times New Roman" w:eastAsia="Times New Roman" w:hAnsi="Times New Roman" w:cs="Times New Roman"/>
          <w:sz w:val="24"/>
          <w:szCs w:val="24"/>
          <w:lang w:eastAsia="en-AU"/>
        </w:rPr>
        <w:t xml:space="preserve"> (N.D. 1994); </w:t>
      </w:r>
      <w:r w:rsidRPr="00B222CD">
        <w:rPr>
          <w:rFonts w:ascii="Times New Roman" w:eastAsia="Times New Roman" w:hAnsi="Times New Roman" w:cs="Times New Roman"/>
          <w:i/>
          <w:iCs/>
          <w:sz w:val="24"/>
          <w:szCs w:val="24"/>
          <w:lang w:eastAsia="en-AU"/>
        </w:rPr>
        <w:t xml:space="preserve">Lockhart v. List, </w:t>
      </w:r>
      <w:r w:rsidRPr="00B222CD">
        <w:rPr>
          <w:rFonts w:ascii="Times New Roman" w:eastAsia="Times New Roman" w:hAnsi="Times New Roman" w:cs="Times New Roman"/>
          <w:color w:val="0000FF"/>
          <w:sz w:val="24"/>
          <w:szCs w:val="24"/>
          <w:u w:val="single"/>
          <w:lang w:eastAsia="en-AU"/>
        </w:rPr>
        <w:t>665 A.2d 1176</w:t>
      </w:r>
      <w:r w:rsidRPr="00B222CD">
        <w:rPr>
          <w:rFonts w:ascii="Times New Roman" w:eastAsia="Times New Roman" w:hAnsi="Times New Roman" w:cs="Times New Roman"/>
          <w:sz w:val="24"/>
          <w:szCs w:val="24"/>
          <w:lang w:eastAsia="en-AU"/>
        </w:rPr>
        <w:t xml:space="preserve"> (Pa. 1995); </w:t>
      </w:r>
      <w:r w:rsidRPr="00B222CD">
        <w:rPr>
          <w:rFonts w:ascii="Times New Roman" w:eastAsia="Times New Roman" w:hAnsi="Times New Roman" w:cs="Times New Roman"/>
          <w:i/>
          <w:iCs/>
          <w:sz w:val="24"/>
          <w:szCs w:val="24"/>
          <w:lang w:eastAsia="en-AU"/>
        </w:rPr>
        <w:t xml:space="preserve">Thomas v. Oldham, </w:t>
      </w:r>
      <w:hyperlink r:id="rId19" w:history="1">
        <w:r w:rsidRPr="00B222CD">
          <w:rPr>
            <w:rFonts w:ascii="Times New Roman" w:eastAsia="Times New Roman" w:hAnsi="Times New Roman" w:cs="Times New Roman"/>
            <w:color w:val="0000FF"/>
            <w:sz w:val="24"/>
            <w:szCs w:val="24"/>
            <w:u w:val="single"/>
            <w:lang w:eastAsia="en-AU"/>
          </w:rPr>
          <w:t>895 S.W.2d 352</w:t>
        </w:r>
      </w:hyperlink>
      <w:r w:rsidRPr="00B222CD">
        <w:rPr>
          <w:rFonts w:ascii="Times New Roman" w:eastAsia="Times New Roman" w:hAnsi="Times New Roman" w:cs="Times New Roman"/>
          <w:sz w:val="24"/>
          <w:szCs w:val="24"/>
          <w:lang w:eastAsia="en-AU"/>
        </w:rPr>
        <w:t xml:space="preserve"> (Tex. 1995).</w:t>
      </w:r>
    </w:p>
    <w:p w14:paraId="14A0327C"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Nevertheless, we are convinced that the better course is to abolish the Sudden Emergency instruction for all future use, and we overrule prior authority to the contrary. Because we do not believe that the issues relating to liability coverage and the orders </w:t>
      </w:r>
      <w:r w:rsidRPr="00B222CD">
        <w:rPr>
          <w:rFonts w:ascii="Times New Roman" w:eastAsia="Times New Roman" w:hAnsi="Times New Roman" w:cs="Times New Roman"/>
          <w:i/>
          <w:iCs/>
          <w:sz w:val="24"/>
          <w:szCs w:val="24"/>
          <w:lang w:eastAsia="en-AU"/>
        </w:rPr>
        <w:t xml:space="preserve">in limine </w:t>
      </w:r>
      <w:r w:rsidRPr="00B222CD">
        <w:rPr>
          <w:rFonts w:ascii="Times New Roman" w:eastAsia="Times New Roman" w:hAnsi="Times New Roman" w:cs="Times New Roman"/>
          <w:sz w:val="24"/>
          <w:szCs w:val="24"/>
          <w:lang w:eastAsia="en-AU"/>
        </w:rPr>
        <w:t>will reoccur in a new trial, we need not address them.</w:t>
      </w:r>
    </w:p>
    <w:p w14:paraId="60BD6EB3"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highlight w:val="red"/>
          <w:lang w:eastAsia="en-AU"/>
        </w:rPr>
        <w:t>Reversed and remanded.</w:t>
      </w:r>
    </w:p>
    <w:p w14:paraId="5E4CB6F2"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Arnold, C.J., Newbern and Corbin, JJ., dissent.</w:t>
      </w:r>
    </w:p>
    <w:p w14:paraId="40134DA9"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Glaze, J., concurs.</w:t>
      </w:r>
    </w:p>
    <w:p w14:paraId="3F972DE0"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Tom Glaze, Justice,</w:t>
      </w:r>
    </w:p>
    <w:p w14:paraId="25C7D048"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concurring. I concur to say the majority opinion is exactly correct in abolishing the AMI 614 Sudden Emergency instruction. The trial judge in the present case said it best as follows:</w:t>
      </w:r>
    </w:p>
    <w:p w14:paraId="7D8E0ED4" w14:textId="77777777" w:rsidR="00B222CD" w:rsidRPr="00B222CD" w:rsidRDefault="00B222CD" w:rsidP="00B222CD">
      <w:pPr>
        <w:spacing w:after="100"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The 614 problem is going to give the courts in this state a problem until someone of higher power makes up its mind that it is going to get rid of the instruction. Otherwise, the trial courts are in a dilemma.</w:t>
      </w:r>
    </w:p>
    <w:p w14:paraId="4DDBCF74" w14:textId="442D5543"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That so-called “higher power” is this court, since it is this court that adopted AMI 614. Only recently our court recognized again the confusion AMI 614 had caused in </w:t>
      </w:r>
      <w:r w:rsidRPr="00B222CD">
        <w:rPr>
          <w:rFonts w:ascii="Times New Roman" w:eastAsia="Times New Roman" w:hAnsi="Times New Roman" w:cs="Times New Roman"/>
          <w:i/>
          <w:iCs/>
          <w:sz w:val="24"/>
          <w:szCs w:val="24"/>
          <w:lang w:eastAsia="en-AU"/>
        </w:rPr>
        <w:t xml:space="preserve">Frisby v. Agerton Logging, Inc., </w:t>
      </w:r>
      <w:r w:rsidRPr="00B222CD">
        <w:rPr>
          <w:rFonts w:ascii="Times New Roman" w:eastAsia="Times New Roman" w:hAnsi="Times New Roman" w:cs="Times New Roman"/>
          <w:color w:val="0000FF"/>
          <w:sz w:val="24"/>
          <w:szCs w:val="24"/>
          <w:u w:val="single"/>
          <w:lang w:eastAsia="en-AU"/>
        </w:rPr>
        <w:t>323 Ark. 508</w:t>
      </w:r>
      <w:r w:rsidRPr="00B222CD">
        <w:rPr>
          <w:rFonts w:ascii="Times New Roman" w:eastAsia="Times New Roman" w:hAnsi="Times New Roman" w:cs="Times New Roman"/>
          <w:sz w:val="24"/>
          <w:szCs w:val="24"/>
          <w:lang w:eastAsia="en-AU"/>
        </w:rPr>
        <w:t xml:space="preserve">, </w:t>
      </w:r>
      <w:hyperlink r:id="rId20" w:history="1">
        <w:r w:rsidRPr="00B222CD">
          <w:rPr>
            <w:rFonts w:ascii="Times New Roman" w:eastAsia="Times New Roman" w:hAnsi="Times New Roman" w:cs="Times New Roman"/>
            <w:color w:val="0000FF"/>
            <w:sz w:val="24"/>
            <w:szCs w:val="24"/>
            <w:u w:val="single"/>
            <w:lang w:eastAsia="en-AU"/>
          </w:rPr>
          <w:t>915 S.W.2d 718</w:t>
        </w:r>
      </w:hyperlink>
      <w:r w:rsidRPr="00B222CD">
        <w:rPr>
          <w:rFonts w:ascii="Times New Roman" w:eastAsia="Times New Roman" w:hAnsi="Times New Roman" w:cs="Times New Roman"/>
          <w:sz w:val="24"/>
          <w:szCs w:val="24"/>
          <w:lang w:eastAsia="en-AU"/>
        </w:rPr>
        <w:t xml:space="preserve"> (1996), where we stated, “Hence, </w:t>
      </w:r>
      <w:r w:rsidRPr="00B222CD">
        <w:rPr>
          <w:rFonts w:ascii="Times New Roman" w:eastAsia="Times New Roman" w:hAnsi="Times New Roman" w:cs="Times New Roman"/>
          <w:i/>
          <w:iCs/>
          <w:sz w:val="24"/>
          <w:szCs w:val="24"/>
          <w:lang w:eastAsia="en-AU"/>
        </w:rPr>
        <w:t xml:space="preserve">the instruction (AMI 614) should not have been given. It added nothing to the comparative fault analysis and only injected confusion </w:t>
      </w:r>
      <w:r w:rsidRPr="00B222CD">
        <w:rPr>
          <w:rFonts w:ascii="Times New Roman" w:eastAsia="Times New Roman" w:hAnsi="Times New Roman" w:cs="Times New Roman"/>
          <w:sz w:val="24"/>
          <w:szCs w:val="24"/>
          <w:lang w:eastAsia="en-AU"/>
        </w:rPr>
        <w:t>into complex proceedings.”</w:t>
      </w:r>
    </w:p>
    <w:p w14:paraId="04B27979" w14:textId="0B6017FE"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Such confusion over AMI 614 has flourished, rendering at least eight cases (including the present one) before this court in the ’90s alone. </w:t>
      </w:r>
      <w:r w:rsidRPr="00B222CD">
        <w:rPr>
          <w:rFonts w:ascii="Times New Roman" w:eastAsia="Times New Roman" w:hAnsi="Times New Roman" w:cs="Times New Roman"/>
          <w:i/>
          <w:iCs/>
          <w:sz w:val="24"/>
          <w:szCs w:val="24"/>
          <w:lang w:eastAsia="en-AU"/>
        </w:rPr>
        <w:t xml:space="preserve">Frisby v. Agerton Logging, Inc., </w:t>
      </w:r>
      <w:r w:rsidRPr="00B222CD">
        <w:rPr>
          <w:rFonts w:ascii="Times New Roman" w:eastAsia="Times New Roman" w:hAnsi="Times New Roman" w:cs="Times New Roman"/>
          <w:color w:val="0000FF"/>
          <w:sz w:val="24"/>
          <w:szCs w:val="24"/>
          <w:u w:val="single"/>
          <w:lang w:eastAsia="en-AU"/>
        </w:rPr>
        <w:t>323 Ark. 508</w:t>
      </w:r>
      <w:r w:rsidRPr="00B222CD">
        <w:rPr>
          <w:rFonts w:ascii="Times New Roman" w:eastAsia="Times New Roman" w:hAnsi="Times New Roman" w:cs="Times New Roman"/>
          <w:sz w:val="24"/>
          <w:szCs w:val="24"/>
          <w:lang w:eastAsia="en-AU"/>
        </w:rPr>
        <w:t xml:space="preserve">, 915 s.W.2d 708 (1996); </w:t>
      </w:r>
      <w:r w:rsidRPr="00B222CD">
        <w:rPr>
          <w:rFonts w:ascii="Times New Roman" w:eastAsia="Times New Roman" w:hAnsi="Times New Roman" w:cs="Times New Roman"/>
          <w:i/>
          <w:iCs/>
          <w:sz w:val="24"/>
          <w:szCs w:val="24"/>
          <w:lang w:eastAsia="en-AU"/>
        </w:rPr>
        <w:t xml:space="preserve">Thomson v. Littlefield, </w:t>
      </w:r>
      <w:hyperlink r:id="rId21" w:history="1">
        <w:r w:rsidRPr="00B222CD">
          <w:rPr>
            <w:rFonts w:ascii="Times New Roman" w:eastAsia="Times New Roman" w:hAnsi="Times New Roman" w:cs="Times New Roman"/>
            <w:color w:val="0000FF"/>
            <w:sz w:val="24"/>
            <w:szCs w:val="24"/>
            <w:u w:val="single"/>
            <w:lang w:eastAsia="en-AU"/>
          </w:rPr>
          <w:t>319 Ark. 648</w:t>
        </w:r>
      </w:hyperlink>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color w:val="0000FF"/>
          <w:sz w:val="24"/>
          <w:szCs w:val="24"/>
          <w:u w:val="single"/>
          <w:lang w:eastAsia="en-AU"/>
        </w:rPr>
        <w:t>893 S.W.2d 788</w:t>
      </w:r>
      <w:r w:rsidRPr="00B222CD">
        <w:rPr>
          <w:rFonts w:ascii="Times New Roman" w:eastAsia="Times New Roman" w:hAnsi="Times New Roman" w:cs="Times New Roman"/>
          <w:sz w:val="24"/>
          <w:szCs w:val="24"/>
          <w:lang w:eastAsia="en-AU"/>
        </w:rPr>
        <w:t xml:space="preserve"> (1995); </w:t>
      </w:r>
      <w:r w:rsidRPr="00B222CD">
        <w:rPr>
          <w:rFonts w:ascii="Times New Roman" w:eastAsia="Times New Roman" w:hAnsi="Times New Roman" w:cs="Times New Roman"/>
          <w:i/>
          <w:iCs/>
          <w:sz w:val="24"/>
          <w:szCs w:val="24"/>
          <w:lang w:eastAsia="en-AU"/>
        </w:rPr>
        <w:t xml:space="preserve">Druckenmiller v. Cluff, </w:t>
      </w:r>
      <w:hyperlink r:id="rId22" w:history="1">
        <w:r w:rsidRPr="00B222CD">
          <w:rPr>
            <w:rFonts w:ascii="Times New Roman" w:eastAsia="Times New Roman" w:hAnsi="Times New Roman" w:cs="Times New Roman"/>
            <w:color w:val="0000FF"/>
            <w:sz w:val="24"/>
            <w:szCs w:val="24"/>
            <w:u w:val="single"/>
            <w:lang w:eastAsia="en-AU"/>
          </w:rPr>
          <w:t>316 Ark. 517</w:t>
        </w:r>
      </w:hyperlink>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color w:val="0000FF"/>
          <w:sz w:val="24"/>
          <w:szCs w:val="24"/>
          <w:u w:val="single"/>
          <w:lang w:eastAsia="en-AU"/>
        </w:rPr>
        <w:t>873 S.W.2d 526</w:t>
      </w:r>
      <w:r w:rsidRPr="00B222CD">
        <w:rPr>
          <w:rFonts w:ascii="Times New Roman" w:eastAsia="Times New Roman" w:hAnsi="Times New Roman" w:cs="Times New Roman"/>
          <w:sz w:val="24"/>
          <w:szCs w:val="24"/>
          <w:lang w:eastAsia="en-AU"/>
        </w:rPr>
        <w:t xml:space="preserve"> (1994); </w:t>
      </w:r>
      <w:r w:rsidRPr="00B222CD">
        <w:rPr>
          <w:rFonts w:ascii="Times New Roman" w:eastAsia="Times New Roman" w:hAnsi="Times New Roman" w:cs="Times New Roman"/>
          <w:i/>
          <w:iCs/>
          <w:sz w:val="24"/>
          <w:szCs w:val="24"/>
          <w:lang w:eastAsia="en-AU"/>
        </w:rPr>
        <w:t xml:space="preserve">Diemer v. Dischler, </w:t>
      </w:r>
      <w:hyperlink r:id="rId23" w:anchor="p158" w:history="1">
        <w:r w:rsidRPr="00B222CD">
          <w:rPr>
            <w:rFonts w:ascii="Times New Roman" w:eastAsia="Times New Roman" w:hAnsi="Times New Roman" w:cs="Times New Roman"/>
            <w:color w:val="0000FF"/>
            <w:sz w:val="24"/>
            <w:szCs w:val="24"/>
            <w:u w:val="single"/>
            <w:lang w:eastAsia="en-AU"/>
          </w:rPr>
          <w:t>313 Ark. 154</w:t>
        </w:r>
      </w:hyperlink>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color w:val="0000FF"/>
          <w:sz w:val="24"/>
          <w:szCs w:val="24"/>
          <w:u w:val="single"/>
          <w:lang w:eastAsia="en-AU"/>
        </w:rPr>
        <w:t>852 S.W.2d 793</w:t>
      </w:r>
      <w:r w:rsidRPr="00B222CD">
        <w:rPr>
          <w:rFonts w:ascii="Times New Roman" w:eastAsia="Times New Roman" w:hAnsi="Times New Roman" w:cs="Times New Roman"/>
          <w:sz w:val="24"/>
          <w:szCs w:val="24"/>
          <w:lang w:eastAsia="en-AU"/>
        </w:rPr>
        <w:t xml:space="preserve"> (1993); </w:t>
      </w:r>
      <w:r w:rsidRPr="00B222CD">
        <w:rPr>
          <w:rFonts w:ascii="Times New Roman" w:eastAsia="Times New Roman" w:hAnsi="Times New Roman" w:cs="Times New Roman"/>
          <w:i/>
          <w:iCs/>
          <w:sz w:val="24"/>
          <w:szCs w:val="24"/>
          <w:lang w:eastAsia="en-AU"/>
        </w:rPr>
        <w:t xml:space="preserve">Smith v. Stevens, </w:t>
      </w:r>
      <w:hyperlink r:id="rId24" w:history="1">
        <w:r w:rsidRPr="00B222CD">
          <w:rPr>
            <w:rFonts w:ascii="Times New Roman" w:eastAsia="Times New Roman" w:hAnsi="Times New Roman" w:cs="Times New Roman"/>
            <w:color w:val="0000FF"/>
            <w:sz w:val="24"/>
            <w:szCs w:val="24"/>
            <w:u w:val="single"/>
            <w:lang w:eastAsia="en-AU"/>
          </w:rPr>
          <w:t>313 Ark. 534</w:t>
        </w:r>
      </w:hyperlink>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color w:val="0000FF"/>
          <w:sz w:val="24"/>
          <w:szCs w:val="24"/>
          <w:u w:val="single"/>
          <w:lang w:eastAsia="en-AU"/>
        </w:rPr>
        <w:t>855 S.W.2d 323</w:t>
      </w:r>
      <w:r w:rsidRPr="00B222CD">
        <w:rPr>
          <w:rFonts w:ascii="Times New Roman" w:eastAsia="Times New Roman" w:hAnsi="Times New Roman" w:cs="Times New Roman"/>
          <w:sz w:val="24"/>
          <w:szCs w:val="24"/>
          <w:lang w:eastAsia="en-AU"/>
        </w:rPr>
        <w:t xml:space="preserve"> (1993); </w:t>
      </w:r>
      <w:r w:rsidRPr="00B222CD">
        <w:rPr>
          <w:rFonts w:ascii="Times New Roman" w:eastAsia="Times New Roman" w:hAnsi="Times New Roman" w:cs="Times New Roman"/>
          <w:i/>
          <w:iCs/>
          <w:sz w:val="24"/>
          <w:szCs w:val="24"/>
          <w:lang w:eastAsia="en-AU"/>
        </w:rPr>
        <w:t xml:space="preserve">Berry v. Chapple, </w:t>
      </w:r>
      <w:hyperlink r:id="rId25" w:history="1">
        <w:r w:rsidRPr="00B222CD">
          <w:rPr>
            <w:rFonts w:ascii="Times New Roman" w:eastAsia="Times New Roman" w:hAnsi="Times New Roman" w:cs="Times New Roman"/>
            <w:color w:val="0000FF"/>
            <w:sz w:val="24"/>
            <w:szCs w:val="24"/>
            <w:u w:val="single"/>
            <w:lang w:eastAsia="en-AU"/>
          </w:rPr>
          <w:t>309 Ark. 612</w:t>
        </w:r>
      </w:hyperlink>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color w:val="0000FF"/>
          <w:sz w:val="24"/>
          <w:szCs w:val="24"/>
          <w:u w:val="single"/>
          <w:lang w:eastAsia="en-AU"/>
        </w:rPr>
        <w:t>832 S.W.2d 256</w:t>
      </w:r>
      <w:r w:rsidRPr="00B222CD">
        <w:rPr>
          <w:rFonts w:ascii="Times New Roman" w:eastAsia="Times New Roman" w:hAnsi="Times New Roman" w:cs="Times New Roman"/>
          <w:sz w:val="24"/>
          <w:szCs w:val="24"/>
          <w:lang w:eastAsia="en-AU"/>
        </w:rPr>
        <w:t xml:space="preserve"> (1992); </w:t>
      </w:r>
      <w:hyperlink r:id="rId26" w:anchor="p118" w:history="1">
        <w:r w:rsidRPr="00B222CD">
          <w:rPr>
            <w:rFonts w:ascii="Times New Roman" w:eastAsia="Times New Roman" w:hAnsi="Times New Roman" w:cs="Times New Roman"/>
            <w:color w:val="0000FF"/>
            <w:sz w:val="24"/>
            <w:szCs w:val="24"/>
            <w:u w:val="single"/>
            <w:lang w:eastAsia="en-AU"/>
          </w:rPr>
          <w:t>*118</w:t>
        </w:r>
      </w:hyperlink>
      <w:r w:rsidRPr="00B222CD">
        <w:rPr>
          <w:rFonts w:ascii="Times New Roman" w:eastAsia="Times New Roman" w:hAnsi="Times New Roman" w:cs="Times New Roman"/>
          <w:sz w:val="24"/>
          <w:szCs w:val="24"/>
          <w:lang w:eastAsia="en-AU"/>
        </w:rPr>
        <w:t xml:space="preserve"> </w:t>
      </w:r>
      <w:r w:rsidRPr="00B222CD">
        <w:rPr>
          <w:rFonts w:ascii="Times New Roman" w:eastAsia="Times New Roman" w:hAnsi="Times New Roman" w:cs="Times New Roman"/>
          <w:i/>
          <w:iCs/>
          <w:sz w:val="24"/>
          <w:szCs w:val="24"/>
          <w:lang w:eastAsia="en-AU"/>
        </w:rPr>
        <w:t xml:space="preserve">Scoggins v. Southern Farmers’ Ass’n, </w:t>
      </w:r>
      <w:r w:rsidRPr="00B222CD">
        <w:rPr>
          <w:rFonts w:ascii="Times New Roman" w:eastAsia="Times New Roman" w:hAnsi="Times New Roman" w:cs="Times New Roman"/>
          <w:color w:val="0000FF"/>
          <w:sz w:val="24"/>
          <w:szCs w:val="24"/>
          <w:u w:val="single"/>
          <w:lang w:eastAsia="en-AU"/>
        </w:rPr>
        <w:t>304 Ark. 426</w:t>
      </w:r>
      <w:r w:rsidRPr="00B222CD">
        <w:rPr>
          <w:rFonts w:ascii="Times New Roman" w:eastAsia="Times New Roman" w:hAnsi="Times New Roman" w:cs="Times New Roman"/>
          <w:sz w:val="24"/>
          <w:szCs w:val="24"/>
          <w:lang w:eastAsia="en-AU"/>
        </w:rPr>
        <w:t xml:space="preserve">, </w:t>
      </w:r>
      <w:hyperlink r:id="rId27" w:history="1">
        <w:r w:rsidRPr="00B222CD">
          <w:rPr>
            <w:rFonts w:ascii="Times New Roman" w:eastAsia="Times New Roman" w:hAnsi="Times New Roman" w:cs="Times New Roman"/>
            <w:color w:val="0000FF"/>
            <w:sz w:val="24"/>
            <w:szCs w:val="24"/>
            <w:u w:val="single"/>
            <w:lang w:eastAsia="en-AU"/>
          </w:rPr>
          <w:t>803 S.W.2d 515</w:t>
        </w:r>
      </w:hyperlink>
      <w:r w:rsidRPr="00B222CD">
        <w:rPr>
          <w:rFonts w:ascii="Times New Roman" w:eastAsia="Times New Roman" w:hAnsi="Times New Roman" w:cs="Times New Roman"/>
          <w:sz w:val="24"/>
          <w:szCs w:val="24"/>
          <w:lang w:eastAsia="en-AU"/>
        </w:rPr>
        <w:t xml:space="preserve"> (1991). Courts and attorneys alike have been befuddled on its usage (or nonusage), and jurors can only be elated to be rid of such prattle being introduced into a serious negligence case. Other negligence and comparative-fault instructions left after 614’s removal will be more than adequate to guide jurors through their deliberations.</w:t>
      </w:r>
    </w:p>
    <w:p w14:paraId="4DEAD2C0"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David Newbern, Justice,</w:t>
      </w:r>
    </w:p>
    <w:p w14:paraId="44A3E7A4"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dissenting. As the majority opinion demonstrates, some state courts have, in the last decade, considered whether the sudden emergency doctrine remains useful and appropriate in the context of comparative negligence. Some have said it does, and some have said it does not.</w:t>
      </w:r>
    </w:p>
    <w:p w14:paraId="5EFA5AE3"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The argument against the doctrine, and thus against AMI 614 which embodies it, is that it either conflicts with or is made unnecessary by the theory of comparative negligence.</w:t>
      </w:r>
    </w:p>
    <w:p w14:paraId="457DAE46"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There is no conflict. Both the standard negligence instruction, AMI 301, and AMI 614 focus on requiring conduct such as that which would be exercised by a reasonably prudent person under the same circumstances or situation. The question becomes, then, whether AMI 614 is mere surplusage. It is not, and the case now before us demonstrates the reason for that conclusion.</w:t>
      </w:r>
    </w:p>
    <w:p w14:paraId="01939E48"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For the sudden emergency instruction to have had any effect in this case, the jury must first have decided that Mr. Webb was “suddenly and unexpectedly confronted with danger to himself or others not caused by his own negligence.” A major flaw in the majority opinion is found in the remark that “. . .we believe that the instruction is tantamount to instructing the jury that Webb’s responsibility for what occurred is all but nullified by the trial court’s finding that a sudden emergency was caused solely by the negligence of Wiles.” The first question presented by the instruction is whether Mr. Webb created the emergency to any degree. It has nothing to do with deciding negligence on the part of Mr. Wiles — a matter not at issue.</w:t>
      </w:r>
    </w:p>
    <w:p w14:paraId="172BE462" w14:textId="0D3EA5D5"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Assuming the jury decided that Mr. Webb was not at fault in creating the emergency situation, its next task was to decide </w:t>
      </w:r>
      <w:r w:rsidRPr="00B222CD">
        <w:rPr>
          <w:rFonts w:ascii="Times New Roman" w:eastAsia="Times New Roman" w:hAnsi="Times New Roman" w:cs="Times New Roman"/>
          <w:color w:val="0000FF"/>
          <w:sz w:val="24"/>
          <w:szCs w:val="24"/>
          <w:u w:val="single"/>
          <w:lang w:eastAsia="en-AU"/>
        </w:rPr>
        <w:t>*119</w:t>
      </w:r>
      <w:r w:rsidRPr="00B222CD">
        <w:rPr>
          <w:rFonts w:ascii="Times New Roman" w:eastAsia="Times New Roman" w:hAnsi="Times New Roman" w:cs="Times New Roman"/>
          <w:sz w:val="24"/>
          <w:szCs w:val="24"/>
          <w:lang w:eastAsia="en-AU"/>
        </w:rPr>
        <w:t>whether he used the same “care that a reasonably careful person would use in the same situation.” The majority opinion states that the instruction “skews the analysis in favor of the defendant.” That cannot be so, for virtually the same language as appears in AMI 301 governs the determination whether the defendant acted reasonably when confronted with the sudden emergency. Nor does the instruction excuse a defendant who has not created the emergency but who, in the words of the majority opinion, is “woefully negligent in other respects.” To suggest that the instruction prompts condonation of such conduct underestimates jurors’ intelligence.</w:t>
      </w:r>
    </w:p>
    <w:p w14:paraId="09E54E3C"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 xml:space="preserve">The leading case among those decided by the jurisdictions which have considered and rejected the idea that the sudden emergency doctrine should be done away with is </w:t>
      </w:r>
      <w:r w:rsidRPr="00B222CD">
        <w:rPr>
          <w:rFonts w:ascii="Times New Roman" w:eastAsia="Times New Roman" w:hAnsi="Times New Roman" w:cs="Times New Roman"/>
          <w:i/>
          <w:iCs/>
          <w:sz w:val="24"/>
          <w:szCs w:val="24"/>
          <w:lang w:eastAsia="en-AU"/>
        </w:rPr>
        <w:t xml:space="preserve">Young v. Clark, </w:t>
      </w:r>
      <w:hyperlink r:id="rId28" w:history="1">
        <w:r w:rsidRPr="00B222CD">
          <w:rPr>
            <w:rFonts w:ascii="Times New Roman" w:eastAsia="Times New Roman" w:hAnsi="Times New Roman" w:cs="Times New Roman"/>
            <w:color w:val="0000FF"/>
            <w:sz w:val="24"/>
            <w:szCs w:val="24"/>
            <w:u w:val="single"/>
            <w:lang w:eastAsia="en-AU"/>
          </w:rPr>
          <w:t>814 P.2d 364</w:t>
        </w:r>
      </w:hyperlink>
      <w:r w:rsidRPr="00B222CD">
        <w:rPr>
          <w:rFonts w:ascii="Times New Roman" w:eastAsia="Times New Roman" w:hAnsi="Times New Roman" w:cs="Times New Roman"/>
          <w:sz w:val="24"/>
          <w:szCs w:val="24"/>
          <w:lang w:eastAsia="en-AU"/>
        </w:rPr>
        <w:t xml:space="preserve"> (Colo. 1991). Quoting an earlier Colorado case, the Colorado Supreme Court viewed the doctrine as an “evidentiary guideline by which a trier of fact may properly apply the prudent [person] rule in evaluating the evidence of negligence being considered.” Responding to criticisms such as those leveled by the majority in the case now before us, the Colorado Court said:</w:t>
      </w:r>
    </w:p>
    <w:p w14:paraId="3CF70F7A" w14:textId="77777777" w:rsidR="00B222CD" w:rsidRPr="00B222CD" w:rsidRDefault="00B222CD" w:rsidP="00B222CD">
      <w:pPr>
        <w:spacing w:after="100"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Such reasoning, in our view, is based on unfounded assumptions about how jurors perceive an instruction explaining the relatively simplistic sudden emergency doctrine. The pattern instruction used by Colorado courts... is a clear statement of the doctrine and obligates the finder of fact to do nothing more than apply the objective “reasonable person” standard to an actor in the specific context of an emergency situation. It thus does not operate to excuse fault but merely serves as an explanatory instruction, offered for purposes of clarification for the jury’s benefit. [Footnote omitted.]</w:t>
      </w:r>
    </w:p>
    <w:p w14:paraId="6D199BF0"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This is a case in which the defendant was shown to have driven into an oncoming lane of traffic, an action which would ordinarily be condemned as demonstrative of negligence at least. The sudden emergency instruction does no more than refine the factual issue.</w:t>
      </w:r>
    </w:p>
    <w:p w14:paraId="0A803BD4" w14:textId="5AAC83AC"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If the jury in this case found that Mr. Webb was confronted by a sudden emergency, there is not one whit of evidence, physi</w:t>
      </w:r>
      <w:r w:rsidRPr="00B222CD">
        <w:rPr>
          <w:rFonts w:ascii="Times New Roman" w:eastAsia="Times New Roman" w:hAnsi="Times New Roman" w:cs="Times New Roman"/>
          <w:color w:val="0000FF"/>
          <w:sz w:val="24"/>
          <w:szCs w:val="24"/>
          <w:u w:val="single"/>
          <w:lang w:eastAsia="en-AU"/>
        </w:rPr>
        <w:t>*120</w:t>
      </w:r>
      <w:r w:rsidRPr="00B222CD">
        <w:rPr>
          <w:rFonts w:ascii="Times New Roman" w:eastAsia="Times New Roman" w:hAnsi="Times New Roman" w:cs="Times New Roman"/>
          <w:sz w:val="24"/>
          <w:szCs w:val="24"/>
          <w:lang w:eastAsia="en-AU"/>
        </w:rPr>
        <w:t xml:space="preserve">cal or otherwise, that he did anything to cause that emergency, allegations of inattentive driving notwithstanding. The question became whether his reaction to it, as demonstrated by the skid marks and explained by his own testimony, was reasonable under the circumstances, </w:t>
      </w:r>
      <w:r w:rsidRPr="00B222CD">
        <w:rPr>
          <w:rFonts w:ascii="Times New Roman" w:eastAsia="Times New Roman" w:hAnsi="Times New Roman" w:cs="Times New Roman"/>
          <w:i/>
          <w:iCs/>
          <w:sz w:val="24"/>
          <w:szCs w:val="24"/>
          <w:lang w:eastAsia="en-AU"/>
        </w:rPr>
        <w:t xml:space="preserve">i.e., </w:t>
      </w:r>
      <w:r w:rsidRPr="00B222CD">
        <w:rPr>
          <w:rFonts w:ascii="Times New Roman" w:eastAsia="Times New Roman" w:hAnsi="Times New Roman" w:cs="Times New Roman"/>
          <w:sz w:val="24"/>
          <w:szCs w:val="24"/>
          <w:lang w:eastAsia="en-AU"/>
        </w:rPr>
        <w:t>whether it was unreasonable for him in that split-second situation to have veered into the oncoming lane of traffic. The jury answered that question affirmatively in response to a specific interrogatory. The judgment should be affirmed.</w:t>
      </w:r>
    </w:p>
    <w:p w14:paraId="7483EE62" w14:textId="77777777" w:rsidR="00B222CD" w:rsidRP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I respectfully dissent.</w:t>
      </w:r>
    </w:p>
    <w:p w14:paraId="045D128D" w14:textId="24FA9071" w:rsidR="00B222CD" w:rsidRDefault="00B222CD"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22CD">
        <w:rPr>
          <w:rFonts w:ascii="Times New Roman" w:eastAsia="Times New Roman" w:hAnsi="Times New Roman" w:cs="Times New Roman"/>
          <w:sz w:val="24"/>
          <w:szCs w:val="24"/>
          <w:lang w:eastAsia="en-AU"/>
        </w:rPr>
        <w:t>Arnold, C.J., and Corbin, J., join in this dissent.</w:t>
      </w:r>
    </w:p>
    <w:p w14:paraId="3B84137F" w14:textId="49613FCF" w:rsidR="007A7137" w:rsidRDefault="00A86E72" w:rsidP="00B222C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2D9CE07" w14:textId="662FFEA6" w:rsidR="00A86E72" w:rsidRDefault="00A86E72" w:rsidP="00B222C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Issue:</w:t>
      </w:r>
      <w:r>
        <w:rPr>
          <w:rFonts w:ascii="Times New Roman" w:eastAsia="Times New Roman" w:hAnsi="Times New Roman" w:cs="Times New Roman"/>
          <w:sz w:val="24"/>
          <w:szCs w:val="24"/>
          <w:lang w:eastAsia="en-AU"/>
        </w:rPr>
        <w:t xml:space="preserve"> whether the defendant driver</w:t>
      </w:r>
      <w:r w:rsidR="00290E1B">
        <w:rPr>
          <w:rFonts w:ascii="Times New Roman" w:eastAsia="Times New Roman" w:hAnsi="Times New Roman" w:cs="Times New Roman"/>
          <w:sz w:val="24"/>
          <w:szCs w:val="24"/>
          <w:lang w:eastAsia="en-AU"/>
        </w:rPr>
        <w:t xml:space="preserve"> contributed to the emergency situation that caused an accident.</w:t>
      </w:r>
    </w:p>
    <w:p w14:paraId="5A491306" w14:textId="66218FD2" w:rsidR="00290E1B" w:rsidRDefault="00290E1B" w:rsidP="00B222C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30975850" w14:textId="4F17B9E9" w:rsidR="00290E1B" w:rsidRDefault="00290E1B" w:rsidP="00290E1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C570C3">
        <w:rPr>
          <w:rFonts w:ascii="Times New Roman" w:eastAsia="Times New Roman" w:hAnsi="Times New Roman" w:cs="Times New Roman"/>
          <w:sz w:val="24"/>
          <w:szCs w:val="24"/>
          <w:lang w:eastAsia="en-AU"/>
        </w:rPr>
        <w:t>s died in a vehicle crash when their stationwagon collided with a logging truck.</w:t>
      </w:r>
    </w:p>
    <w:p w14:paraId="5C440EE9" w14:textId="4C67C390" w:rsidR="00C570C3" w:rsidRDefault="00C570C3" w:rsidP="00290E1B">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w:t>
      </w:r>
      <w:r w:rsidR="00C55B03">
        <w:rPr>
          <w:rFonts w:ascii="Times New Roman" w:eastAsia="Times New Roman" w:hAnsi="Times New Roman" w:cs="Times New Roman"/>
          <w:sz w:val="24"/>
          <w:szCs w:val="24"/>
          <w:lang w:eastAsia="en-AU"/>
        </w:rPr>
        <w:t xml:space="preserve"> defendant asserted that he should be judged against a standard of care that is lower than normal because of the </w:t>
      </w:r>
      <w:r w:rsidR="00C55B03" w:rsidRPr="006F1889">
        <w:rPr>
          <w:rFonts w:ascii="Times New Roman" w:eastAsia="Times New Roman" w:hAnsi="Times New Roman" w:cs="Times New Roman"/>
          <w:b/>
          <w:bCs/>
          <w:sz w:val="24"/>
          <w:szCs w:val="24"/>
          <w:lang w:eastAsia="en-AU"/>
        </w:rPr>
        <w:t>sudden emergency</w:t>
      </w:r>
      <w:r w:rsidR="00C55B03">
        <w:rPr>
          <w:rFonts w:ascii="Times New Roman" w:eastAsia="Times New Roman" w:hAnsi="Times New Roman" w:cs="Times New Roman"/>
          <w:sz w:val="24"/>
          <w:szCs w:val="24"/>
          <w:lang w:eastAsia="en-AU"/>
        </w:rPr>
        <w:t xml:space="preserve"> created by the plaintiff’s car pulling </w:t>
      </w:r>
      <w:r w:rsidR="003C45C5">
        <w:rPr>
          <w:rFonts w:ascii="Times New Roman" w:eastAsia="Times New Roman" w:hAnsi="Times New Roman" w:cs="Times New Roman"/>
          <w:sz w:val="24"/>
          <w:szCs w:val="24"/>
          <w:lang w:eastAsia="en-AU"/>
        </w:rPr>
        <w:t xml:space="preserve">into </w:t>
      </w:r>
      <w:r w:rsidR="006F1889">
        <w:rPr>
          <w:rFonts w:ascii="Times New Roman" w:eastAsia="Times New Roman" w:hAnsi="Times New Roman" w:cs="Times New Roman"/>
          <w:sz w:val="24"/>
          <w:szCs w:val="24"/>
          <w:lang w:eastAsia="en-AU"/>
        </w:rPr>
        <w:t>the logging truck’s lane.</w:t>
      </w:r>
    </w:p>
    <w:p w14:paraId="69C2C164" w14:textId="0F4C0F02" w:rsidR="001606B4" w:rsidRDefault="006F1889" w:rsidP="0079548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However, the court found that there was evidence of the defendant’s negligence in failing to keep a proper lookout and losing control of his truck</w:t>
      </w:r>
      <w:r w:rsidR="00A67C25">
        <w:rPr>
          <w:rFonts w:ascii="Times New Roman" w:eastAsia="Times New Roman" w:hAnsi="Times New Roman" w:cs="Times New Roman"/>
          <w:sz w:val="24"/>
          <w:szCs w:val="24"/>
          <w:lang w:eastAsia="en-AU"/>
        </w:rPr>
        <w:t xml:space="preserve">, </w:t>
      </w:r>
      <w:r w:rsidR="00AA27C4">
        <w:rPr>
          <w:rFonts w:ascii="Times New Roman" w:eastAsia="Times New Roman" w:hAnsi="Times New Roman" w:cs="Times New Roman"/>
          <w:sz w:val="24"/>
          <w:szCs w:val="24"/>
          <w:lang w:eastAsia="en-AU"/>
        </w:rPr>
        <w:t>so the jury should not have been told to assess the defendant’s actions against a lesser standard of care.</w:t>
      </w:r>
    </w:p>
    <w:p w14:paraId="73E88A21" w14:textId="337ECC7F" w:rsidR="00795488" w:rsidRPr="00795488" w:rsidRDefault="00795488" w:rsidP="00795488">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Consequently, </w:t>
      </w:r>
      <w:r w:rsidR="00C03917">
        <w:rPr>
          <w:rFonts w:ascii="Times New Roman" w:eastAsia="Times New Roman" w:hAnsi="Times New Roman" w:cs="Times New Roman"/>
          <w:sz w:val="24"/>
          <w:szCs w:val="24"/>
          <w:lang w:eastAsia="en-AU"/>
        </w:rPr>
        <w:t>the case was to be retried.</w:t>
      </w:r>
    </w:p>
    <w:sectPr w:rsidR="00795488" w:rsidRPr="007954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329AB"/>
    <w:multiLevelType w:val="hybridMultilevel"/>
    <w:tmpl w:val="934A2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6705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CD"/>
    <w:rsid w:val="00007F39"/>
    <w:rsid w:val="00054AA9"/>
    <w:rsid w:val="00073F6A"/>
    <w:rsid w:val="000C2E37"/>
    <w:rsid w:val="00116748"/>
    <w:rsid w:val="001606B4"/>
    <w:rsid w:val="0020173F"/>
    <w:rsid w:val="00290E1B"/>
    <w:rsid w:val="002E32B0"/>
    <w:rsid w:val="003C45C5"/>
    <w:rsid w:val="004400DA"/>
    <w:rsid w:val="00443D1B"/>
    <w:rsid w:val="004D3DA2"/>
    <w:rsid w:val="006239D8"/>
    <w:rsid w:val="006F1889"/>
    <w:rsid w:val="00795488"/>
    <w:rsid w:val="007A7137"/>
    <w:rsid w:val="007F4E62"/>
    <w:rsid w:val="00827199"/>
    <w:rsid w:val="008B428D"/>
    <w:rsid w:val="008D3A35"/>
    <w:rsid w:val="009042EE"/>
    <w:rsid w:val="0096422F"/>
    <w:rsid w:val="009C2EE6"/>
    <w:rsid w:val="00A537BC"/>
    <w:rsid w:val="00A62E8D"/>
    <w:rsid w:val="00A67C25"/>
    <w:rsid w:val="00A86E72"/>
    <w:rsid w:val="00AA27C4"/>
    <w:rsid w:val="00B033D8"/>
    <w:rsid w:val="00B222CD"/>
    <w:rsid w:val="00C03917"/>
    <w:rsid w:val="00C55B03"/>
    <w:rsid w:val="00C570C3"/>
    <w:rsid w:val="00D43507"/>
    <w:rsid w:val="00EA1064"/>
    <w:rsid w:val="00FA5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7FF2"/>
  <w15:chartTrackingRefBased/>
  <w15:docId w15:val="{427C6205-6A5F-46D1-BF9E-DDDFDB9E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70035">
      <w:bodyDiv w:val="1"/>
      <w:marLeft w:val="0"/>
      <w:marRight w:val="0"/>
      <w:marTop w:val="0"/>
      <w:marBottom w:val="0"/>
      <w:divBdr>
        <w:top w:val="none" w:sz="0" w:space="0" w:color="auto"/>
        <w:left w:val="none" w:sz="0" w:space="0" w:color="auto"/>
        <w:bottom w:val="none" w:sz="0" w:space="0" w:color="auto"/>
        <w:right w:val="none" w:sz="0" w:space="0" w:color="auto"/>
      </w:divBdr>
      <w:divsChild>
        <w:div w:id="1553924426">
          <w:marLeft w:val="0"/>
          <w:marRight w:val="0"/>
          <w:marTop w:val="0"/>
          <w:marBottom w:val="0"/>
          <w:divBdr>
            <w:top w:val="none" w:sz="0" w:space="0" w:color="auto"/>
            <w:left w:val="none" w:sz="0" w:space="0" w:color="auto"/>
            <w:bottom w:val="none" w:sz="0" w:space="0" w:color="auto"/>
            <w:right w:val="none" w:sz="0" w:space="0" w:color="auto"/>
          </w:divBdr>
          <w:divsChild>
            <w:div w:id="1961916569">
              <w:marLeft w:val="0"/>
              <w:marRight w:val="0"/>
              <w:marTop w:val="0"/>
              <w:marBottom w:val="0"/>
              <w:divBdr>
                <w:top w:val="none" w:sz="0" w:space="0" w:color="auto"/>
                <w:left w:val="none" w:sz="0" w:space="0" w:color="auto"/>
                <w:bottom w:val="none" w:sz="0" w:space="0" w:color="auto"/>
                <w:right w:val="none" w:sz="0" w:space="0" w:color="auto"/>
              </w:divBdr>
              <w:divsChild>
                <w:div w:id="1149595232">
                  <w:marLeft w:val="0"/>
                  <w:marRight w:val="0"/>
                  <w:marTop w:val="0"/>
                  <w:marBottom w:val="0"/>
                  <w:divBdr>
                    <w:top w:val="none" w:sz="0" w:space="0" w:color="auto"/>
                    <w:left w:val="none" w:sz="0" w:space="0" w:color="auto"/>
                    <w:bottom w:val="none" w:sz="0" w:space="0" w:color="auto"/>
                    <w:right w:val="none" w:sz="0" w:space="0" w:color="auto"/>
                  </w:divBdr>
                  <w:divsChild>
                    <w:div w:id="1676763141">
                      <w:marLeft w:val="0"/>
                      <w:marRight w:val="0"/>
                      <w:marTop w:val="0"/>
                      <w:marBottom w:val="0"/>
                      <w:divBdr>
                        <w:top w:val="none" w:sz="0" w:space="0" w:color="auto"/>
                        <w:left w:val="none" w:sz="0" w:space="0" w:color="auto"/>
                        <w:bottom w:val="none" w:sz="0" w:space="0" w:color="auto"/>
                        <w:right w:val="none" w:sz="0" w:space="0" w:color="auto"/>
                      </w:divBdr>
                    </w:div>
                    <w:div w:id="11101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2593">
              <w:marLeft w:val="0"/>
              <w:marRight w:val="0"/>
              <w:marTop w:val="0"/>
              <w:marBottom w:val="0"/>
              <w:divBdr>
                <w:top w:val="none" w:sz="0" w:space="0" w:color="auto"/>
                <w:left w:val="none" w:sz="0" w:space="0" w:color="auto"/>
                <w:bottom w:val="none" w:sz="0" w:space="0" w:color="auto"/>
                <w:right w:val="none" w:sz="0" w:space="0" w:color="auto"/>
              </w:divBdr>
              <w:divsChild>
                <w:div w:id="1010838241">
                  <w:marLeft w:val="0"/>
                  <w:marRight w:val="0"/>
                  <w:marTop w:val="0"/>
                  <w:marBottom w:val="0"/>
                  <w:divBdr>
                    <w:top w:val="none" w:sz="0" w:space="0" w:color="auto"/>
                    <w:left w:val="none" w:sz="0" w:space="0" w:color="auto"/>
                    <w:bottom w:val="none" w:sz="0" w:space="0" w:color="auto"/>
                    <w:right w:val="none" w:sz="0" w:space="0" w:color="auto"/>
                  </w:divBdr>
                </w:div>
              </w:divsChild>
            </w:div>
            <w:div w:id="7894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534009">
              <w:blockQuote w:val="1"/>
              <w:marLeft w:val="720"/>
              <w:marRight w:val="720"/>
              <w:marTop w:val="100"/>
              <w:marBottom w:val="100"/>
              <w:divBdr>
                <w:top w:val="none" w:sz="0" w:space="0" w:color="auto"/>
                <w:left w:val="none" w:sz="0" w:space="0" w:color="auto"/>
                <w:bottom w:val="none" w:sz="0" w:space="0" w:color="auto"/>
                <w:right w:val="none" w:sz="0" w:space="0" w:color="auto"/>
              </w:divBdr>
            </w:div>
            <w:div w:id="710304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76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56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600264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7852439">
      <w:bodyDiv w:val="1"/>
      <w:marLeft w:val="0"/>
      <w:marRight w:val="0"/>
      <w:marTop w:val="0"/>
      <w:marBottom w:val="0"/>
      <w:divBdr>
        <w:top w:val="none" w:sz="0" w:space="0" w:color="auto"/>
        <w:left w:val="none" w:sz="0" w:space="0" w:color="auto"/>
        <w:bottom w:val="none" w:sz="0" w:space="0" w:color="auto"/>
        <w:right w:val="none" w:sz="0" w:space="0" w:color="auto"/>
      </w:divBdr>
      <w:divsChild>
        <w:div w:id="424350850">
          <w:marLeft w:val="0"/>
          <w:marRight w:val="0"/>
          <w:marTop w:val="0"/>
          <w:marBottom w:val="0"/>
          <w:divBdr>
            <w:top w:val="none" w:sz="0" w:space="0" w:color="auto"/>
            <w:left w:val="none" w:sz="0" w:space="0" w:color="auto"/>
            <w:bottom w:val="none" w:sz="0" w:space="0" w:color="auto"/>
            <w:right w:val="none" w:sz="0" w:space="0" w:color="auto"/>
          </w:divBdr>
          <w:divsChild>
            <w:div w:id="1839152400">
              <w:marLeft w:val="0"/>
              <w:marRight w:val="0"/>
              <w:marTop w:val="0"/>
              <w:marBottom w:val="0"/>
              <w:divBdr>
                <w:top w:val="none" w:sz="0" w:space="0" w:color="auto"/>
                <w:left w:val="none" w:sz="0" w:space="0" w:color="auto"/>
                <w:bottom w:val="none" w:sz="0" w:space="0" w:color="auto"/>
                <w:right w:val="none" w:sz="0" w:space="0" w:color="auto"/>
              </w:divBdr>
              <w:divsChild>
                <w:div w:id="402146281">
                  <w:marLeft w:val="0"/>
                  <w:marRight w:val="0"/>
                  <w:marTop w:val="0"/>
                  <w:marBottom w:val="0"/>
                  <w:divBdr>
                    <w:top w:val="none" w:sz="0" w:space="0" w:color="auto"/>
                    <w:left w:val="none" w:sz="0" w:space="0" w:color="auto"/>
                    <w:bottom w:val="none" w:sz="0" w:space="0" w:color="auto"/>
                    <w:right w:val="none" w:sz="0" w:space="0" w:color="auto"/>
                  </w:divBdr>
                  <w:divsChild>
                    <w:div w:id="374163250">
                      <w:marLeft w:val="0"/>
                      <w:marRight w:val="0"/>
                      <w:marTop w:val="0"/>
                      <w:marBottom w:val="0"/>
                      <w:divBdr>
                        <w:top w:val="none" w:sz="0" w:space="0" w:color="auto"/>
                        <w:left w:val="none" w:sz="0" w:space="0" w:color="auto"/>
                        <w:bottom w:val="none" w:sz="0" w:space="0" w:color="auto"/>
                        <w:right w:val="none" w:sz="0" w:space="0" w:color="auto"/>
                      </w:divBdr>
                    </w:div>
                    <w:div w:id="15247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7369">
              <w:marLeft w:val="0"/>
              <w:marRight w:val="0"/>
              <w:marTop w:val="0"/>
              <w:marBottom w:val="0"/>
              <w:divBdr>
                <w:top w:val="none" w:sz="0" w:space="0" w:color="auto"/>
                <w:left w:val="none" w:sz="0" w:space="0" w:color="auto"/>
                <w:bottom w:val="none" w:sz="0" w:space="0" w:color="auto"/>
                <w:right w:val="none" w:sz="0" w:space="0" w:color="auto"/>
              </w:divBdr>
              <w:divsChild>
                <w:div w:id="608659895">
                  <w:marLeft w:val="0"/>
                  <w:marRight w:val="0"/>
                  <w:marTop w:val="0"/>
                  <w:marBottom w:val="0"/>
                  <w:divBdr>
                    <w:top w:val="none" w:sz="0" w:space="0" w:color="auto"/>
                    <w:left w:val="none" w:sz="0" w:space="0" w:color="auto"/>
                    <w:bottom w:val="none" w:sz="0" w:space="0" w:color="auto"/>
                    <w:right w:val="none" w:sz="0" w:space="0" w:color="auto"/>
                  </w:divBdr>
                </w:div>
              </w:divsChild>
            </w:div>
            <w:div w:id="489295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42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71731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217735">
              <w:blockQuote w:val="1"/>
              <w:marLeft w:val="720"/>
              <w:marRight w:val="720"/>
              <w:marTop w:val="100"/>
              <w:marBottom w:val="100"/>
              <w:divBdr>
                <w:top w:val="none" w:sz="0" w:space="0" w:color="auto"/>
                <w:left w:val="none" w:sz="0" w:space="0" w:color="auto"/>
                <w:bottom w:val="none" w:sz="0" w:space="0" w:color="auto"/>
                <w:right w:val="none" w:sz="0" w:space="0" w:color="auto"/>
              </w:divBdr>
            </w:div>
            <w:div w:id="27480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219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16/517/" TargetMode="External"/><Relationship Id="rId13" Type="http://schemas.openxmlformats.org/officeDocument/2006/relationships/hyperlink" Target="https://cite.case.law/citations/?q=723%20P.2d%20171" TargetMode="External"/><Relationship Id="rId18" Type="http://schemas.openxmlformats.org/officeDocument/2006/relationships/hyperlink" Target="https://cite.case.law/nw2d/510/604/" TargetMode="External"/><Relationship Id="rId26" Type="http://schemas.openxmlformats.org/officeDocument/2006/relationships/hyperlink" Target="https://cite.case.law/ark/329/108/" TargetMode="External"/><Relationship Id="rId3" Type="http://schemas.openxmlformats.org/officeDocument/2006/relationships/settings" Target="settings.xml"/><Relationship Id="rId21" Type="http://schemas.openxmlformats.org/officeDocument/2006/relationships/hyperlink" Target="https://cite.case.law/ark/319/648/" TargetMode="External"/><Relationship Id="rId7" Type="http://schemas.openxmlformats.org/officeDocument/2006/relationships/hyperlink" Target="https://cite.case.law/ark/313/154/" TargetMode="External"/><Relationship Id="rId12" Type="http://schemas.openxmlformats.org/officeDocument/2006/relationships/hyperlink" Target="https://cite.case.law/ark/316/517/" TargetMode="External"/><Relationship Id="rId17" Type="http://schemas.openxmlformats.org/officeDocument/2006/relationships/hyperlink" Target="https://cite.case.law/p2d/814/364/" TargetMode="External"/><Relationship Id="rId25" Type="http://schemas.openxmlformats.org/officeDocument/2006/relationships/hyperlink" Target="https://cite.case.law/ark/309/612/" TargetMode="External"/><Relationship Id="rId2" Type="http://schemas.openxmlformats.org/officeDocument/2006/relationships/styles" Target="styles.xml"/><Relationship Id="rId16" Type="http://schemas.openxmlformats.org/officeDocument/2006/relationships/hyperlink" Target="https://cite.case.law/citations/?q=551%20A.2d%20201" TargetMode="External"/><Relationship Id="rId20" Type="http://schemas.openxmlformats.org/officeDocument/2006/relationships/hyperlink" Target="https://cite.case.law/ark/323/50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ark/323/508/" TargetMode="External"/><Relationship Id="rId11" Type="http://schemas.openxmlformats.org/officeDocument/2006/relationships/hyperlink" Target="https://cite.case.law/ark/323/508/" TargetMode="External"/><Relationship Id="rId24" Type="http://schemas.openxmlformats.org/officeDocument/2006/relationships/hyperlink" Target="https://cite.case.law/ark/313/534/" TargetMode="External"/><Relationship Id="rId5" Type="http://schemas.openxmlformats.org/officeDocument/2006/relationships/hyperlink" Target="https://cite.case.law/ark/329/108/" TargetMode="External"/><Relationship Id="rId15" Type="http://schemas.openxmlformats.org/officeDocument/2006/relationships/hyperlink" Target="https://cite.case.law/mont/220/14/" TargetMode="External"/><Relationship Id="rId23" Type="http://schemas.openxmlformats.org/officeDocument/2006/relationships/hyperlink" Target="https://cite.case.law/ark/313/154/" TargetMode="External"/><Relationship Id="rId28" Type="http://schemas.openxmlformats.org/officeDocument/2006/relationships/hyperlink" Target="https://cite.case.law/p2d/814/364/" TargetMode="External"/><Relationship Id="rId10" Type="http://schemas.openxmlformats.org/officeDocument/2006/relationships/hyperlink" Target="https://cite.case.law/ark/323/508/" TargetMode="External"/><Relationship Id="rId19" Type="http://schemas.openxmlformats.org/officeDocument/2006/relationships/hyperlink" Target="https://cite.case.law/sw2d/895/352/" TargetMode="External"/><Relationship Id="rId4" Type="http://schemas.openxmlformats.org/officeDocument/2006/relationships/webSettings" Target="webSettings.xml"/><Relationship Id="rId9" Type="http://schemas.openxmlformats.org/officeDocument/2006/relationships/hyperlink" Target="https://cite.case.law/ark/319/648/" TargetMode="External"/><Relationship Id="rId14" Type="http://schemas.openxmlformats.org/officeDocument/2006/relationships/hyperlink" Target="https://cite.case.law/so-2d/392/196/" TargetMode="External"/><Relationship Id="rId22" Type="http://schemas.openxmlformats.org/officeDocument/2006/relationships/hyperlink" Target="https://cite.case.law/ark/316/517/" TargetMode="External"/><Relationship Id="rId27" Type="http://schemas.openxmlformats.org/officeDocument/2006/relationships/hyperlink" Target="https://cite.case.law/ark/304/42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3920</Words>
  <Characters>22349</Characters>
  <Application>Microsoft Office Word</Application>
  <DocSecurity>0</DocSecurity>
  <Lines>186</Lines>
  <Paragraphs>52</Paragraphs>
  <ScaleCrop>false</ScaleCrop>
  <Company/>
  <LinksUpToDate>false</LinksUpToDate>
  <CharactersWithSpaces>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2024-09-17T13:33:00Z</dcterms:created>
  <dcterms:modified xsi:type="dcterms:W3CDTF">2024-09-17T13:33:00Z</dcterms:modified>
</cp:coreProperties>
</file>