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AF217" w14:textId="77777777" w:rsidR="00130614" w:rsidRPr="00130614" w:rsidRDefault="00130614" w:rsidP="00130614">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130614">
        <w:rPr>
          <w:rFonts w:ascii="Times New Roman" w:eastAsia="Times New Roman" w:hAnsi="Times New Roman" w:cs="Times New Roman"/>
          <w:b/>
          <w:bCs/>
          <w:kern w:val="36"/>
          <w:sz w:val="48"/>
          <w:szCs w:val="48"/>
          <w:lang w:eastAsia="en-AU"/>
        </w:rPr>
        <w:t>Reagan v. City of Piggott, 305 Ark. 77, 805 S.W.2d 636 (1991)</w:t>
      </w:r>
    </w:p>
    <w:p w14:paraId="5E9652BE" w14:textId="77777777" w:rsidR="00130614" w:rsidRPr="00130614" w:rsidRDefault="00130614" w:rsidP="00130614">
      <w:pPr>
        <w:spacing w:after="0"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 xml:space="preserve">March 18, 1991 · Arkansas Supreme Court · 91-31 </w:t>
      </w:r>
    </w:p>
    <w:p w14:paraId="47F11C90" w14:textId="77777777" w:rsidR="00130614" w:rsidRPr="00130614" w:rsidRDefault="00130614" w:rsidP="00130614">
      <w:pPr>
        <w:spacing w:after="0"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 xml:space="preserve">305 Ark. 77, 805 S.W.2d 636 </w:t>
      </w:r>
    </w:p>
    <w:p w14:paraId="07E19C7A" w14:textId="77777777" w:rsidR="00130614" w:rsidRPr="00130614" w:rsidRDefault="00130614" w:rsidP="00130614">
      <w:pPr>
        <w:spacing w:after="0"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 xml:space="preserve">Bradley James REAGAN v. CITY OF PIGGOTT, Arkansas, d/b/a Piggott Community Hospital, and Dr. Myra Anders Ash </w:t>
      </w:r>
    </w:p>
    <w:p w14:paraId="753CB7D4" w14:textId="77777777"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805 S.W.2d 636</w:t>
      </w:r>
    </w:p>
    <w:p w14:paraId="3565331B" w14:textId="77777777"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Supreme Court of Arkansas</w:t>
      </w:r>
    </w:p>
    <w:p w14:paraId="06666CA7" w14:textId="77777777"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[Rehearing denied April 15, 1991.]</w:t>
      </w:r>
    </w:p>
    <w:p w14:paraId="2262EDFB" w14:textId="797B20CA"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color w:val="0000FF"/>
          <w:sz w:val="24"/>
          <w:szCs w:val="24"/>
          <w:u w:val="single"/>
          <w:lang w:eastAsia="en-AU"/>
        </w:rPr>
        <w:t>*78</w:t>
      </w:r>
      <w:r w:rsidRPr="00130614">
        <w:rPr>
          <w:rFonts w:ascii="Times New Roman" w:eastAsia="Times New Roman" w:hAnsi="Times New Roman" w:cs="Times New Roman"/>
          <w:sz w:val="24"/>
          <w:szCs w:val="24"/>
          <w:lang w:eastAsia="en-AU"/>
        </w:rPr>
        <w:t xml:space="preserve"> </w:t>
      </w:r>
      <w:r w:rsidRPr="00130614">
        <w:rPr>
          <w:rFonts w:ascii="Times New Roman" w:eastAsia="Times New Roman" w:hAnsi="Times New Roman" w:cs="Times New Roman"/>
          <w:i/>
          <w:iCs/>
          <w:sz w:val="24"/>
          <w:szCs w:val="24"/>
          <w:lang w:eastAsia="en-AU"/>
        </w:rPr>
        <w:t xml:space="preserve">Gus R. Camp, </w:t>
      </w:r>
      <w:r w:rsidRPr="00130614">
        <w:rPr>
          <w:rFonts w:ascii="Times New Roman" w:eastAsia="Times New Roman" w:hAnsi="Times New Roman" w:cs="Times New Roman"/>
          <w:sz w:val="24"/>
          <w:szCs w:val="24"/>
          <w:lang w:eastAsia="en-AU"/>
        </w:rPr>
        <w:t>for appellant.</w:t>
      </w:r>
    </w:p>
    <w:p w14:paraId="48506936" w14:textId="77777777"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i/>
          <w:iCs/>
          <w:sz w:val="24"/>
          <w:szCs w:val="24"/>
          <w:lang w:eastAsia="en-AU"/>
        </w:rPr>
        <w:t xml:space="preserve">Barrett, Wheatley, Smith &amp; Deacon, </w:t>
      </w:r>
      <w:r w:rsidRPr="00130614">
        <w:rPr>
          <w:rFonts w:ascii="Times New Roman" w:eastAsia="Times New Roman" w:hAnsi="Times New Roman" w:cs="Times New Roman"/>
          <w:sz w:val="24"/>
          <w:szCs w:val="24"/>
          <w:lang w:eastAsia="en-AU"/>
        </w:rPr>
        <w:t xml:space="preserve">by: </w:t>
      </w:r>
      <w:r w:rsidRPr="00130614">
        <w:rPr>
          <w:rFonts w:ascii="Times New Roman" w:eastAsia="Times New Roman" w:hAnsi="Times New Roman" w:cs="Times New Roman"/>
          <w:i/>
          <w:iCs/>
          <w:sz w:val="24"/>
          <w:szCs w:val="24"/>
          <w:lang w:eastAsia="en-AU"/>
        </w:rPr>
        <w:t xml:space="preserve">Lucinda McDaniel, </w:t>
      </w:r>
      <w:r w:rsidRPr="00130614">
        <w:rPr>
          <w:rFonts w:ascii="Times New Roman" w:eastAsia="Times New Roman" w:hAnsi="Times New Roman" w:cs="Times New Roman"/>
          <w:sz w:val="24"/>
          <w:szCs w:val="24"/>
          <w:lang w:eastAsia="en-AU"/>
        </w:rPr>
        <w:t>for appellees.</w:t>
      </w:r>
    </w:p>
    <w:p w14:paraId="4FE10AD7" w14:textId="77777777"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Donald L. Corbin, Justice.</w:t>
      </w:r>
    </w:p>
    <w:p w14:paraId="0769CC3A" w14:textId="01F9D24B"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1A3D">
        <w:rPr>
          <w:rFonts w:ascii="Times New Roman" w:eastAsia="Times New Roman" w:hAnsi="Times New Roman" w:cs="Times New Roman"/>
          <w:sz w:val="24"/>
          <w:szCs w:val="24"/>
          <w:highlight w:val="magenta"/>
          <w:lang w:eastAsia="en-AU"/>
        </w:rPr>
        <w:t>This appeal is from a judgment of the Clay County Circuit Court granting summary judgment in a medical malpractice suit</w:t>
      </w:r>
      <w:r w:rsidRPr="00130614">
        <w:rPr>
          <w:rFonts w:ascii="Times New Roman" w:eastAsia="Times New Roman" w:hAnsi="Times New Roman" w:cs="Times New Roman"/>
          <w:sz w:val="24"/>
          <w:szCs w:val="24"/>
          <w:lang w:eastAsia="en-AU"/>
        </w:rPr>
        <w:t xml:space="preserve">. </w:t>
      </w:r>
      <w:r w:rsidRPr="000F1A3D">
        <w:rPr>
          <w:rFonts w:ascii="Times New Roman" w:eastAsia="Times New Roman" w:hAnsi="Times New Roman" w:cs="Times New Roman"/>
          <w:sz w:val="24"/>
          <w:szCs w:val="24"/>
          <w:highlight w:val="yellow"/>
          <w:lang w:eastAsia="en-AU"/>
        </w:rPr>
        <w:t>Appellant, Bradley James Reagan</w:t>
      </w:r>
      <w:r w:rsidRPr="00130614">
        <w:rPr>
          <w:rFonts w:ascii="Times New Roman" w:eastAsia="Times New Roman" w:hAnsi="Times New Roman" w:cs="Times New Roman"/>
          <w:sz w:val="24"/>
          <w:szCs w:val="24"/>
          <w:lang w:eastAsia="en-AU"/>
        </w:rPr>
        <w:t xml:space="preserve">, initiated this action for medical malpractice against </w:t>
      </w:r>
      <w:r w:rsidRPr="000F1A3D">
        <w:rPr>
          <w:rFonts w:ascii="Times New Roman" w:eastAsia="Times New Roman" w:hAnsi="Times New Roman" w:cs="Times New Roman"/>
          <w:sz w:val="24"/>
          <w:szCs w:val="24"/>
          <w:highlight w:val="yellow"/>
          <w:lang w:eastAsia="en-AU"/>
        </w:rPr>
        <w:t>appellees, Dr. Myra Anders Ash and the City of Piggott, Arkansas, d/b/a Piggott Community Hospital. Appellant went to the emergency room at Piggott Community Hospital on April 21, 1985, complaining of abdominal pain, cramping, vomiting, and loose bowel movements. Appellee Dr. Ash examined appellant and gave him an injection for nausea. Dr. Ash diagnosed appellant with gastroenteritis and told him to return to the hospital if he did not improve and to see his family physician the next day. On April 22, 1985, appellant saw his family physician, Dr. Hillard Duckworth, who ordered an appendectomy which confirmed an infected appendix.</w:t>
      </w:r>
      <w:r w:rsidRPr="00130614">
        <w:rPr>
          <w:rFonts w:ascii="Times New Roman" w:eastAsia="Times New Roman" w:hAnsi="Times New Roman" w:cs="Times New Roman"/>
          <w:sz w:val="24"/>
          <w:szCs w:val="24"/>
          <w:lang w:eastAsia="en-AU"/>
        </w:rPr>
        <w:t xml:space="preserve"> Appellant subsequently brought suit against Dr. Ash and the hospital for negligence in failing to diagnose appendicitis. Appellees moved for summary judgment on the grounds that appellant had no expert testimony to establish either the standard of care or the failure of Dr. Ash to meet that standard of care. </w:t>
      </w:r>
      <w:r w:rsidRPr="001232E9">
        <w:rPr>
          <w:rFonts w:ascii="Times New Roman" w:eastAsia="Times New Roman" w:hAnsi="Times New Roman" w:cs="Times New Roman"/>
          <w:sz w:val="24"/>
          <w:szCs w:val="24"/>
          <w:highlight w:val="magenta"/>
          <w:lang w:eastAsia="en-AU"/>
        </w:rPr>
        <w:t>The trial court granted the motion for summary judgment</w:t>
      </w:r>
      <w:r w:rsidRPr="00130614">
        <w:rPr>
          <w:rFonts w:ascii="Times New Roman" w:eastAsia="Times New Roman" w:hAnsi="Times New Roman" w:cs="Times New Roman"/>
          <w:sz w:val="24"/>
          <w:szCs w:val="24"/>
          <w:lang w:eastAsia="en-AU"/>
        </w:rPr>
        <w:t xml:space="preserve"> and appellant appeals from that decision. </w:t>
      </w:r>
      <w:r w:rsidRPr="001232E9">
        <w:rPr>
          <w:rFonts w:ascii="Times New Roman" w:eastAsia="Times New Roman" w:hAnsi="Times New Roman" w:cs="Times New Roman"/>
          <w:sz w:val="24"/>
          <w:szCs w:val="24"/>
          <w:highlight w:val="red"/>
          <w:lang w:eastAsia="en-AU"/>
        </w:rPr>
        <w:t>We affirm.</w:t>
      </w:r>
    </w:p>
    <w:p w14:paraId="00CC72B0" w14:textId="77777777"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On appeal, appellant argues the trial court erred in granting summary judgment and in holding that expert testimony was required to meet his burden of proof. Appellant further alleges that portions of the Arkansas Medical Malpractice Act are unconstitutional.</w:t>
      </w:r>
    </w:p>
    <w:p w14:paraId="3E588475" w14:textId="717C61C4"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 xml:space="preserve">Appellant claims the trial court erred in granting the summary judgment because, under the proof presented, a question of fact exists as to Dr. Ash’s negligence in failing to diagnose appellant’s appendicitis. In reviewing motions for summary judgment, the burden is on the moving party to demonstrate there is no genuine issue of fact for trial. </w:t>
      </w:r>
      <w:r w:rsidRPr="00130614">
        <w:rPr>
          <w:rFonts w:ascii="Times New Roman" w:eastAsia="Times New Roman" w:hAnsi="Times New Roman" w:cs="Times New Roman"/>
          <w:i/>
          <w:iCs/>
          <w:sz w:val="24"/>
          <w:szCs w:val="24"/>
          <w:lang w:eastAsia="en-AU"/>
        </w:rPr>
        <w:t xml:space="preserve">Clemens </w:t>
      </w:r>
      <w:r w:rsidRPr="00130614">
        <w:rPr>
          <w:rFonts w:ascii="Times New Roman" w:eastAsia="Times New Roman" w:hAnsi="Times New Roman" w:cs="Times New Roman"/>
          <w:sz w:val="24"/>
          <w:szCs w:val="24"/>
          <w:lang w:eastAsia="en-AU"/>
        </w:rPr>
        <w:t xml:space="preserve">v. </w:t>
      </w:r>
      <w:r w:rsidRPr="00130614">
        <w:rPr>
          <w:rFonts w:ascii="Times New Roman" w:eastAsia="Times New Roman" w:hAnsi="Times New Roman" w:cs="Times New Roman"/>
          <w:i/>
          <w:iCs/>
          <w:sz w:val="24"/>
          <w:szCs w:val="24"/>
          <w:lang w:eastAsia="en-AU"/>
        </w:rPr>
        <w:t xml:space="preserve">First Nat’l Bank, </w:t>
      </w:r>
      <w:r w:rsidRPr="00130614">
        <w:rPr>
          <w:rFonts w:ascii="Times New Roman" w:eastAsia="Times New Roman" w:hAnsi="Times New Roman" w:cs="Times New Roman"/>
          <w:color w:val="0000FF"/>
          <w:sz w:val="24"/>
          <w:szCs w:val="24"/>
          <w:u w:val="single"/>
          <w:lang w:eastAsia="en-AU"/>
        </w:rPr>
        <w:t>286 Ark. 290</w:t>
      </w:r>
      <w:r w:rsidRPr="00130614">
        <w:rPr>
          <w:rFonts w:ascii="Times New Roman" w:eastAsia="Times New Roman" w:hAnsi="Times New Roman" w:cs="Times New Roman"/>
          <w:sz w:val="24"/>
          <w:szCs w:val="24"/>
          <w:lang w:eastAsia="en-AU"/>
        </w:rPr>
        <w:t xml:space="preserve">, </w:t>
      </w:r>
      <w:r w:rsidRPr="00130614">
        <w:rPr>
          <w:rFonts w:ascii="Times New Roman" w:eastAsia="Times New Roman" w:hAnsi="Times New Roman" w:cs="Times New Roman"/>
          <w:color w:val="0000FF"/>
          <w:sz w:val="24"/>
          <w:szCs w:val="24"/>
          <w:u w:val="single"/>
          <w:lang w:eastAsia="en-AU"/>
        </w:rPr>
        <w:t>692 S.W.2d 222</w:t>
      </w:r>
      <w:r w:rsidRPr="00130614">
        <w:rPr>
          <w:rFonts w:ascii="Times New Roman" w:eastAsia="Times New Roman" w:hAnsi="Times New Roman" w:cs="Times New Roman"/>
          <w:sz w:val="24"/>
          <w:szCs w:val="24"/>
          <w:lang w:eastAsia="en-AU"/>
        </w:rPr>
        <w:t xml:space="preserve"> (1985). The evidence submitted in support of the motion is viewed most favorably to the party against whom the relief is sought. </w:t>
      </w:r>
      <w:r w:rsidRPr="00130614">
        <w:rPr>
          <w:rFonts w:ascii="Times New Roman" w:eastAsia="Times New Roman" w:hAnsi="Times New Roman" w:cs="Times New Roman"/>
          <w:i/>
          <w:iCs/>
          <w:color w:val="0000FF"/>
          <w:sz w:val="24"/>
          <w:szCs w:val="24"/>
          <w:u w:val="single"/>
          <w:lang w:eastAsia="en-AU"/>
        </w:rPr>
        <w:t>Id.</w:t>
      </w:r>
      <w:r w:rsidRPr="00130614">
        <w:rPr>
          <w:rFonts w:ascii="Times New Roman" w:eastAsia="Times New Roman" w:hAnsi="Times New Roman" w:cs="Times New Roman"/>
          <w:sz w:val="24"/>
          <w:szCs w:val="24"/>
          <w:lang w:eastAsia="en-AU"/>
        </w:rPr>
        <w:t xml:space="preserve"> </w:t>
      </w:r>
    </w:p>
    <w:p w14:paraId="64DE5106" w14:textId="77777777"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lastRenderedPageBreak/>
        <w:t xml:space="preserve">In granting summary judgment, the trial court found that in a case involving the diagnosis of appendicitis, expert medical testimony is essential to establish the standard of care required of the diagnosing physician and that the physician failed to act in accordance with that standard. </w:t>
      </w:r>
      <w:r w:rsidRPr="00A245F9">
        <w:rPr>
          <w:rFonts w:ascii="Times New Roman" w:eastAsia="Times New Roman" w:hAnsi="Times New Roman" w:cs="Times New Roman"/>
          <w:sz w:val="24"/>
          <w:szCs w:val="24"/>
          <w:highlight w:val="green"/>
          <w:lang w:eastAsia="en-AU"/>
        </w:rPr>
        <w:t xml:space="preserve">The court further found that appellant identified no medical expert in his answers to interrogatories or in his argument at the hearing on the motion for summary judgment. </w:t>
      </w:r>
      <w:r w:rsidRPr="009E62B8">
        <w:rPr>
          <w:rFonts w:ascii="Times New Roman" w:eastAsia="Times New Roman" w:hAnsi="Times New Roman" w:cs="Times New Roman"/>
          <w:sz w:val="24"/>
          <w:szCs w:val="24"/>
          <w:highlight w:val="magenta"/>
          <w:lang w:eastAsia="en-AU"/>
        </w:rPr>
        <w:t>The court concluded that, absent testimony by a medical expert, appellant had not met his burden of proof and no issue of fact existed for trial.</w:t>
      </w:r>
      <w:r w:rsidRPr="00130614">
        <w:rPr>
          <w:rFonts w:ascii="Times New Roman" w:eastAsia="Times New Roman" w:hAnsi="Times New Roman" w:cs="Times New Roman"/>
          <w:sz w:val="24"/>
          <w:szCs w:val="24"/>
          <w:lang w:eastAsia="en-AU"/>
        </w:rPr>
        <w:t xml:space="preserve"> </w:t>
      </w:r>
      <w:r w:rsidRPr="00A245F9">
        <w:rPr>
          <w:rFonts w:ascii="Times New Roman" w:eastAsia="Times New Roman" w:hAnsi="Times New Roman" w:cs="Times New Roman"/>
          <w:sz w:val="24"/>
          <w:szCs w:val="24"/>
          <w:highlight w:val="red"/>
          <w:lang w:eastAsia="en-AU"/>
        </w:rPr>
        <w:t>We cannot say the trial court erred</w:t>
      </w:r>
      <w:r w:rsidRPr="00130614">
        <w:rPr>
          <w:rFonts w:ascii="Times New Roman" w:eastAsia="Times New Roman" w:hAnsi="Times New Roman" w:cs="Times New Roman"/>
          <w:sz w:val="24"/>
          <w:szCs w:val="24"/>
          <w:lang w:eastAsia="en-AU"/>
        </w:rPr>
        <w:t>.</w:t>
      </w:r>
    </w:p>
    <w:p w14:paraId="3FD73449" w14:textId="005B0460" w:rsidR="00130614" w:rsidRPr="00730160" w:rsidRDefault="00130614" w:rsidP="00130614">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730160">
        <w:rPr>
          <w:rFonts w:ascii="Times New Roman" w:eastAsia="Times New Roman" w:hAnsi="Times New Roman" w:cs="Times New Roman"/>
          <w:color w:val="0000FF"/>
          <w:sz w:val="24"/>
          <w:szCs w:val="24"/>
          <w:highlight w:val="cyan"/>
          <w:u w:val="single"/>
          <w:lang w:eastAsia="en-AU"/>
        </w:rPr>
        <w:t>Ark. Code Ann. § 16-114-206</w:t>
      </w:r>
      <w:r w:rsidRPr="00730160">
        <w:rPr>
          <w:rFonts w:ascii="Times New Roman" w:eastAsia="Times New Roman" w:hAnsi="Times New Roman" w:cs="Times New Roman"/>
          <w:sz w:val="24"/>
          <w:szCs w:val="24"/>
          <w:highlight w:val="cyan"/>
          <w:lang w:eastAsia="en-AU"/>
        </w:rPr>
        <w:t xml:space="preserve"> (1987)</w:t>
      </w:r>
      <w:r w:rsidRPr="00130614">
        <w:rPr>
          <w:rFonts w:ascii="Times New Roman" w:eastAsia="Times New Roman" w:hAnsi="Times New Roman" w:cs="Times New Roman"/>
          <w:sz w:val="24"/>
          <w:szCs w:val="24"/>
          <w:lang w:eastAsia="en-AU"/>
        </w:rPr>
        <w:t xml:space="preserve"> </w:t>
      </w:r>
      <w:r w:rsidRPr="00730160">
        <w:rPr>
          <w:rFonts w:ascii="Times New Roman" w:eastAsia="Times New Roman" w:hAnsi="Times New Roman" w:cs="Times New Roman"/>
          <w:sz w:val="24"/>
          <w:szCs w:val="24"/>
          <w:highlight w:val="yellow"/>
          <w:lang w:eastAsia="en-AU"/>
        </w:rPr>
        <w:t>provides:</w:t>
      </w:r>
    </w:p>
    <w:p w14:paraId="3DFDBDF2" w14:textId="77777777" w:rsidR="00130614" w:rsidRPr="00730160" w:rsidRDefault="00130614" w:rsidP="00130614">
      <w:pPr>
        <w:spacing w:after="100" w:line="240" w:lineRule="auto"/>
        <w:jc w:val="left"/>
        <w:rPr>
          <w:rFonts w:ascii="Times New Roman" w:eastAsia="Times New Roman" w:hAnsi="Times New Roman" w:cs="Times New Roman"/>
          <w:sz w:val="24"/>
          <w:szCs w:val="24"/>
          <w:highlight w:val="yellow"/>
          <w:lang w:eastAsia="en-AU"/>
        </w:rPr>
      </w:pPr>
      <w:r w:rsidRPr="00730160">
        <w:rPr>
          <w:rFonts w:ascii="Times New Roman" w:eastAsia="Times New Roman" w:hAnsi="Times New Roman" w:cs="Times New Roman"/>
          <w:sz w:val="24"/>
          <w:szCs w:val="24"/>
          <w:highlight w:val="yellow"/>
          <w:lang w:eastAsia="en-AU"/>
        </w:rPr>
        <w:t>(a) In any action for medical injury, the plaintiff shall have the burden of proving:</w:t>
      </w:r>
    </w:p>
    <w:p w14:paraId="4A6CB632" w14:textId="77777777" w:rsidR="00130614" w:rsidRPr="00730160" w:rsidRDefault="00130614" w:rsidP="00130614">
      <w:pPr>
        <w:spacing w:after="100" w:line="240" w:lineRule="auto"/>
        <w:jc w:val="left"/>
        <w:rPr>
          <w:rFonts w:ascii="Times New Roman" w:eastAsia="Times New Roman" w:hAnsi="Times New Roman" w:cs="Times New Roman"/>
          <w:sz w:val="24"/>
          <w:szCs w:val="24"/>
          <w:highlight w:val="yellow"/>
          <w:lang w:eastAsia="en-AU"/>
        </w:rPr>
      </w:pPr>
      <w:r w:rsidRPr="00730160">
        <w:rPr>
          <w:rFonts w:ascii="Times New Roman" w:eastAsia="Times New Roman" w:hAnsi="Times New Roman" w:cs="Times New Roman"/>
          <w:sz w:val="24"/>
          <w:szCs w:val="24"/>
          <w:highlight w:val="yellow"/>
          <w:lang w:eastAsia="en-AU"/>
        </w:rPr>
        <w:t>(1) The degree of skill and learning ordinarily possessed and used by members of the profession of the medical care provider in good standing, engaged in the same type of practice or specialty in the locality in which he practices or in a similar locality;</w:t>
      </w:r>
    </w:p>
    <w:p w14:paraId="4796685E" w14:textId="0500BCB0" w:rsidR="00130614" w:rsidRPr="00730160" w:rsidRDefault="00130614" w:rsidP="00130614">
      <w:pPr>
        <w:spacing w:after="100" w:line="240" w:lineRule="auto"/>
        <w:jc w:val="left"/>
        <w:rPr>
          <w:rFonts w:ascii="Times New Roman" w:eastAsia="Times New Roman" w:hAnsi="Times New Roman" w:cs="Times New Roman"/>
          <w:sz w:val="24"/>
          <w:szCs w:val="24"/>
          <w:highlight w:val="yellow"/>
          <w:lang w:eastAsia="en-AU"/>
        </w:rPr>
      </w:pPr>
      <w:r w:rsidRPr="00730160">
        <w:rPr>
          <w:rFonts w:ascii="Times New Roman" w:eastAsia="Times New Roman" w:hAnsi="Times New Roman" w:cs="Times New Roman"/>
          <w:color w:val="0000FF"/>
          <w:sz w:val="24"/>
          <w:szCs w:val="24"/>
          <w:highlight w:val="yellow"/>
          <w:u w:val="single"/>
          <w:lang w:eastAsia="en-AU"/>
        </w:rPr>
        <w:t>*80</w:t>
      </w:r>
      <w:r w:rsidRPr="00730160">
        <w:rPr>
          <w:rFonts w:ascii="Times New Roman" w:eastAsia="Times New Roman" w:hAnsi="Times New Roman" w:cs="Times New Roman"/>
          <w:sz w:val="24"/>
          <w:szCs w:val="24"/>
          <w:highlight w:val="yellow"/>
          <w:lang w:eastAsia="en-AU"/>
        </w:rPr>
        <w:t>(2) That the medical care provider failed to act in accordance with that standard; and</w:t>
      </w:r>
    </w:p>
    <w:p w14:paraId="702EAD92" w14:textId="77777777" w:rsidR="00130614" w:rsidRPr="00130614" w:rsidRDefault="00130614" w:rsidP="00130614">
      <w:pPr>
        <w:spacing w:after="100" w:line="240" w:lineRule="auto"/>
        <w:jc w:val="left"/>
        <w:rPr>
          <w:rFonts w:ascii="Times New Roman" w:eastAsia="Times New Roman" w:hAnsi="Times New Roman" w:cs="Times New Roman"/>
          <w:sz w:val="24"/>
          <w:szCs w:val="24"/>
          <w:lang w:eastAsia="en-AU"/>
        </w:rPr>
      </w:pPr>
      <w:r w:rsidRPr="00730160">
        <w:rPr>
          <w:rFonts w:ascii="Times New Roman" w:eastAsia="Times New Roman" w:hAnsi="Times New Roman" w:cs="Times New Roman"/>
          <w:sz w:val="24"/>
          <w:szCs w:val="24"/>
          <w:highlight w:val="yellow"/>
          <w:lang w:eastAsia="en-AU"/>
        </w:rPr>
        <w:t>(3) That as a proximate result thereof, the injured person suffered injuries which would not otherwise have occurred.</w:t>
      </w:r>
    </w:p>
    <w:p w14:paraId="49C5A88F" w14:textId="5897B651"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 xml:space="preserve">It is well settled that a plaintiff must meet this burden of proof by presenting expert testimony when the asserted negligence does not lie within the jury’s comprehension as a matter of common knowledge. </w:t>
      </w:r>
      <w:r w:rsidRPr="00730160">
        <w:rPr>
          <w:rFonts w:ascii="Times New Roman" w:eastAsia="Times New Roman" w:hAnsi="Times New Roman" w:cs="Times New Roman"/>
          <w:i/>
          <w:iCs/>
          <w:sz w:val="24"/>
          <w:szCs w:val="24"/>
          <w:highlight w:val="cyan"/>
          <w:lang w:eastAsia="en-AU"/>
        </w:rPr>
        <w:t xml:space="preserve">Prater </w:t>
      </w:r>
      <w:r w:rsidRPr="00730160">
        <w:rPr>
          <w:rFonts w:ascii="Times New Roman" w:eastAsia="Times New Roman" w:hAnsi="Times New Roman" w:cs="Times New Roman"/>
          <w:sz w:val="24"/>
          <w:szCs w:val="24"/>
          <w:highlight w:val="cyan"/>
          <w:lang w:eastAsia="en-AU"/>
        </w:rPr>
        <w:t xml:space="preserve">v. </w:t>
      </w:r>
      <w:r w:rsidRPr="00730160">
        <w:rPr>
          <w:rFonts w:ascii="Times New Roman" w:eastAsia="Times New Roman" w:hAnsi="Times New Roman" w:cs="Times New Roman"/>
          <w:i/>
          <w:iCs/>
          <w:sz w:val="24"/>
          <w:szCs w:val="24"/>
          <w:highlight w:val="cyan"/>
          <w:lang w:eastAsia="en-AU"/>
        </w:rPr>
        <w:t xml:space="preserve">St. Paul Ins. Co., </w:t>
      </w:r>
      <w:r w:rsidRPr="00730160">
        <w:rPr>
          <w:rFonts w:ascii="Times New Roman" w:eastAsia="Times New Roman" w:hAnsi="Times New Roman" w:cs="Times New Roman"/>
          <w:color w:val="0000FF"/>
          <w:sz w:val="24"/>
          <w:szCs w:val="24"/>
          <w:highlight w:val="cyan"/>
          <w:u w:val="single"/>
          <w:lang w:eastAsia="en-AU"/>
        </w:rPr>
        <w:t>293 Ark. 547</w:t>
      </w:r>
      <w:r w:rsidRPr="00730160">
        <w:rPr>
          <w:rFonts w:ascii="Times New Roman" w:eastAsia="Times New Roman" w:hAnsi="Times New Roman" w:cs="Times New Roman"/>
          <w:sz w:val="24"/>
          <w:szCs w:val="24"/>
          <w:highlight w:val="cyan"/>
          <w:lang w:eastAsia="en-AU"/>
        </w:rPr>
        <w:t xml:space="preserve">, </w:t>
      </w:r>
      <w:r w:rsidRPr="00730160">
        <w:rPr>
          <w:rFonts w:ascii="Times New Roman" w:eastAsia="Times New Roman" w:hAnsi="Times New Roman" w:cs="Times New Roman"/>
          <w:color w:val="0000FF"/>
          <w:sz w:val="24"/>
          <w:szCs w:val="24"/>
          <w:highlight w:val="cyan"/>
          <w:u w:val="single"/>
          <w:lang w:eastAsia="en-AU"/>
        </w:rPr>
        <w:t>739 S.W.2d 676</w:t>
      </w:r>
      <w:r w:rsidRPr="00730160">
        <w:rPr>
          <w:rFonts w:ascii="Times New Roman" w:eastAsia="Times New Roman" w:hAnsi="Times New Roman" w:cs="Times New Roman"/>
          <w:sz w:val="24"/>
          <w:szCs w:val="24"/>
          <w:highlight w:val="cyan"/>
          <w:lang w:eastAsia="en-AU"/>
        </w:rPr>
        <w:t xml:space="preserve"> (1987); </w:t>
      </w:r>
      <w:r w:rsidRPr="00730160">
        <w:rPr>
          <w:rFonts w:ascii="Times New Roman" w:eastAsia="Times New Roman" w:hAnsi="Times New Roman" w:cs="Times New Roman"/>
          <w:i/>
          <w:iCs/>
          <w:sz w:val="24"/>
          <w:szCs w:val="24"/>
          <w:highlight w:val="cyan"/>
          <w:lang w:eastAsia="en-AU"/>
        </w:rPr>
        <w:t xml:space="preserve">David </w:t>
      </w:r>
      <w:r w:rsidRPr="00730160">
        <w:rPr>
          <w:rFonts w:ascii="Times New Roman" w:eastAsia="Times New Roman" w:hAnsi="Times New Roman" w:cs="Times New Roman"/>
          <w:sz w:val="24"/>
          <w:szCs w:val="24"/>
          <w:highlight w:val="cyan"/>
          <w:lang w:eastAsia="en-AU"/>
        </w:rPr>
        <w:t xml:space="preserve">v. </w:t>
      </w:r>
      <w:r w:rsidRPr="00730160">
        <w:rPr>
          <w:rFonts w:ascii="Times New Roman" w:eastAsia="Times New Roman" w:hAnsi="Times New Roman" w:cs="Times New Roman"/>
          <w:i/>
          <w:iCs/>
          <w:sz w:val="24"/>
          <w:szCs w:val="24"/>
          <w:highlight w:val="cyan"/>
          <w:lang w:eastAsia="en-AU"/>
        </w:rPr>
        <w:t xml:space="preserve">Kemp, </w:t>
      </w:r>
      <w:r w:rsidRPr="00730160">
        <w:rPr>
          <w:rFonts w:ascii="Times New Roman" w:eastAsia="Times New Roman" w:hAnsi="Times New Roman" w:cs="Times New Roman"/>
          <w:color w:val="0000FF"/>
          <w:sz w:val="24"/>
          <w:szCs w:val="24"/>
          <w:highlight w:val="cyan"/>
          <w:u w:val="single"/>
          <w:lang w:eastAsia="en-AU"/>
        </w:rPr>
        <w:t>252 Ark. 925</w:t>
      </w:r>
      <w:r w:rsidRPr="00730160">
        <w:rPr>
          <w:rFonts w:ascii="Times New Roman" w:eastAsia="Times New Roman" w:hAnsi="Times New Roman" w:cs="Times New Roman"/>
          <w:sz w:val="24"/>
          <w:szCs w:val="24"/>
          <w:highlight w:val="cyan"/>
          <w:lang w:eastAsia="en-AU"/>
        </w:rPr>
        <w:t xml:space="preserve">, </w:t>
      </w:r>
      <w:r w:rsidRPr="00730160">
        <w:rPr>
          <w:rFonts w:ascii="Times New Roman" w:eastAsia="Times New Roman" w:hAnsi="Times New Roman" w:cs="Times New Roman"/>
          <w:color w:val="0000FF"/>
          <w:sz w:val="24"/>
          <w:szCs w:val="24"/>
          <w:highlight w:val="cyan"/>
          <w:u w:val="single"/>
          <w:lang w:eastAsia="en-AU"/>
        </w:rPr>
        <w:t>481 S.W.2d 12</w:t>
      </w:r>
      <w:r w:rsidRPr="00730160">
        <w:rPr>
          <w:rFonts w:ascii="Times New Roman" w:eastAsia="Times New Roman" w:hAnsi="Times New Roman" w:cs="Times New Roman"/>
          <w:sz w:val="24"/>
          <w:szCs w:val="24"/>
          <w:highlight w:val="cyan"/>
          <w:lang w:eastAsia="en-AU"/>
        </w:rPr>
        <w:t xml:space="preserve"> (1972); </w:t>
      </w:r>
      <w:r w:rsidRPr="00730160">
        <w:rPr>
          <w:rFonts w:ascii="Times New Roman" w:eastAsia="Times New Roman" w:hAnsi="Times New Roman" w:cs="Times New Roman"/>
          <w:i/>
          <w:iCs/>
          <w:sz w:val="24"/>
          <w:szCs w:val="24"/>
          <w:highlight w:val="cyan"/>
          <w:lang w:eastAsia="en-AU"/>
        </w:rPr>
        <w:t xml:space="preserve">Lanier </w:t>
      </w:r>
      <w:r w:rsidRPr="00730160">
        <w:rPr>
          <w:rFonts w:ascii="Times New Roman" w:eastAsia="Times New Roman" w:hAnsi="Times New Roman" w:cs="Times New Roman"/>
          <w:sz w:val="24"/>
          <w:szCs w:val="24"/>
          <w:highlight w:val="cyan"/>
          <w:lang w:eastAsia="en-AU"/>
        </w:rPr>
        <w:t xml:space="preserve">v. </w:t>
      </w:r>
      <w:r w:rsidRPr="00730160">
        <w:rPr>
          <w:rFonts w:ascii="Times New Roman" w:eastAsia="Times New Roman" w:hAnsi="Times New Roman" w:cs="Times New Roman"/>
          <w:i/>
          <w:iCs/>
          <w:sz w:val="24"/>
          <w:szCs w:val="24"/>
          <w:highlight w:val="cyan"/>
          <w:lang w:eastAsia="en-AU"/>
        </w:rPr>
        <w:t xml:space="preserve">Trammell, </w:t>
      </w:r>
      <w:r w:rsidRPr="00730160">
        <w:rPr>
          <w:rFonts w:ascii="Times New Roman" w:eastAsia="Times New Roman" w:hAnsi="Times New Roman" w:cs="Times New Roman"/>
          <w:color w:val="0000FF"/>
          <w:sz w:val="24"/>
          <w:szCs w:val="24"/>
          <w:highlight w:val="cyan"/>
          <w:u w:val="single"/>
          <w:lang w:eastAsia="en-AU"/>
        </w:rPr>
        <w:t>207 Ark. 372</w:t>
      </w:r>
      <w:r w:rsidRPr="00730160">
        <w:rPr>
          <w:rFonts w:ascii="Times New Roman" w:eastAsia="Times New Roman" w:hAnsi="Times New Roman" w:cs="Times New Roman"/>
          <w:sz w:val="24"/>
          <w:szCs w:val="24"/>
          <w:highlight w:val="cyan"/>
          <w:lang w:eastAsia="en-AU"/>
        </w:rPr>
        <w:t xml:space="preserve">, </w:t>
      </w:r>
      <w:r w:rsidRPr="00730160">
        <w:rPr>
          <w:rFonts w:ascii="Times New Roman" w:eastAsia="Times New Roman" w:hAnsi="Times New Roman" w:cs="Times New Roman"/>
          <w:color w:val="0000FF"/>
          <w:sz w:val="24"/>
          <w:szCs w:val="24"/>
          <w:highlight w:val="cyan"/>
          <w:u w:val="single"/>
          <w:lang w:eastAsia="en-AU"/>
        </w:rPr>
        <w:t>180 S.W.2d 818</w:t>
      </w:r>
      <w:r w:rsidRPr="00730160">
        <w:rPr>
          <w:rFonts w:ascii="Times New Roman" w:eastAsia="Times New Roman" w:hAnsi="Times New Roman" w:cs="Times New Roman"/>
          <w:sz w:val="24"/>
          <w:szCs w:val="24"/>
          <w:highlight w:val="cyan"/>
          <w:lang w:eastAsia="en-AU"/>
        </w:rPr>
        <w:t xml:space="preserve"> (1944).</w:t>
      </w:r>
    </w:p>
    <w:p w14:paraId="3EE04CCB" w14:textId="77777777"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62B8">
        <w:rPr>
          <w:rFonts w:ascii="Times New Roman" w:eastAsia="Times New Roman" w:hAnsi="Times New Roman" w:cs="Times New Roman"/>
          <w:sz w:val="24"/>
          <w:szCs w:val="24"/>
          <w:highlight w:val="green"/>
          <w:lang w:eastAsia="en-AU"/>
        </w:rPr>
        <w:t>In this case, appellant presented neither expert nor lay testimony as to the appropriate standard of care to be used. Likewise, appellant did not present any evidence that Dr. Ash failed to act in accordance with the standard of care.</w:t>
      </w:r>
      <w:r w:rsidRPr="00130614">
        <w:rPr>
          <w:rFonts w:ascii="Times New Roman" w:eastAsia="Times New Roman" w:hAnsi="Times New Roman" w:cs="Times New Roman"/>
          <w:sz w:val="24"/>
          <w:szCs w:val="24"/>
          <w:lang w:eastAsia="en-AU"/>
        </w:rPr>
        <w:t xml:space="preserve"> The only evidence appellant did offer relating to a standard of care or breach thereof was the </w:t>
      </w:r>
      <w:r w:rsidRPr="009E62B8">
        <w:rPr>
          <w:rFonts w:ascii="Times New Roman" w:eastAsia="Times New Roman" w:hAnsi="Times New Roman" w:cs="Times New Roman"/>
          <w:sz w:val="24"/>
          <w:szCs w:val="24"/>
          <w:highlight w:val="yellow"/>
          <w:lang w:eastAsia="en-AU"/>
        </w:rPr>
        <w:t>testimony of Dr. Duckworth, appellant’s family physician who ordered the appendectomy.</w:t>
      </w:r>
      <w:r w:rsidRPr="00130614">
        <w:rPr>
          <w:rFonts w:ascii="Times New Roman" w:eastAsia="Times New Roman" w:hAnsi="Times New Roman" w:cs="Times New Roman"/>
          <w:sz w:val="24"/>
          <w:szCs w:val="24"/>
          <w:lang w:eastAsia="en-AU"/>
        </w:rPr>
        <w:t xml:space="preserve"> Without stating exactly what the appropriate standard of care was, </w:t>
      </w:r>
      <w:r w:rsidRPr="009E62B8">
        <w:rPr>
          <w:rFonts w:ascii="Times New Roman" w:eastAsia="Times New Roman" w:hAnsi="Times New Roman" w:cs="Times New Roman"/>
          <w:sz w:val="24"/>
          <w:szCs w:val="24"/>
          <w:highlight w:val="yellow"/>
          <w:lang w:eastAsia="en-AU"/>
        </w:rPr>
        <w:t>Dr. Duckworth testified that Dr. Ash acted in accordance with the standard of care.</w:t>
      </w:r>
      <w:r w:rsidRPr="00130614">
        <w:rPr>
          <w:rFonts w:ascii="Times New Roman" w:eastAsia="Times New Roman" w:hAnsi="Times New Roman" w:cs="Times New Roman"/>
          <w:sz w:val="24"/>
          <w:szCs w:val="24"/>
          <w:lang w:eastAsia="en-AU"/>
        </w:rPr>
        <w:t xml:space="preserve"> The only other evidence offered by appellant consisted of the depositions of appellant and his parents; these depositions contained broad statements about the incident but related nothing about a standard of care or breach thereof.</w:t>
      </w:r>
    </w:p>
    <w:p w14:paraId="3DEECF3A" w14:textId="77777777" w:rsidR="00130614" w:rsidRPr="00CD2B09" w:rsidRDefault="00130614" w:rsidP="00130614">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CD2B09">
        <w:rPr>
          <w:rFonts w:ascii="Times New Roman" w:eastAsia="Times New Roman" w:hAnsi="Times New Roman" w:cs="Times New Roman"/>
          <w:sz w:val="24"/>
          <w:szCs w:val="24"/>
          <w:highlight w:val="green"/>
          <w:lang w:eastAsia="en-AU"/>
        </w:rPr>
        <w:t>In short, appellant presented no evidence indicating the existence of an issue of fact. To the contrary, the expert testimony presented does not meet the statutory burden of proof.</w:t>
      </w:r>
      <w:r w:rsidRPr="00130614">
        <w:rPr>
          <w:rFonts w:ascii="Times New Roman" w:eastAsia="Times New Roman" w:hAnsi="Times New Roman" w:cs="Times New Roman"/>
          <w:sz w:val="24"/>
          <w:szCs w:val="24"/>
          <w:lang w:eastAsia="en-AU"/>
        </w:rPr>
        <w:t xml:space="preserve"> </w:t>
      </w:r>
      <w:r w:rsidRPr="00CD2B09">
        <w:rPr>
          <w:rFonts w:ascii="Times New Roman" w:eastAsia="Times New Roman" w:hAnsi="Times New Roman" w:cs="Times New Roman"/>
          <w:sz w:val="24"/>
          <w:szCs w:val="24"/>
          <w:highlight w:val="yellow"/>
          <w:lang w:eastAsia="en-AU"/>
        </w:rPr>
        <w:t>Dr. Duckworth, whom appellant listed as his expert medical witness in answers to interrogatories, stated in his affidavit:</w:t>
      </w:r>
    </w:p>
    <w:p w14:paraId="0D90C8DA" w14:textId="77777777" w:rsidR="00130614" w:rsidRPr="00130614" w:rsidRDefault="00130614" w:rsidP="00130614">
      <w:pPr>
        <w:spacing w:after="100" w:line="240" w:lineRule="auto"/>
        <w:jc w:val="left"/>
        <w:rPr>
          <w:rFonts w:ascii="Times New Roman" w:eastAsia="Times New Roman" w:hAnsi="Times New Roman" w:cs="Times New Roman"/>
          <w:sz w:val="24"/>
          <w:szCs w:val="24"/>
          <w:lang w:eastAsia="en-AU"/>
        </w:rPr>
      </w:pPr>
      <w:r w:rsidRPr="00CD2B09">
        <w:rPr>
          <w:rFonts w:ascii="Times New Roman" w:eastAsia="Times New Roman" w:hAnsi="Times New Roman" w:cs="Times New Roman"/>
          <w:sz w:val="24"/>
          <w:szCs w:val="24"/>
          <w:highlight w:val="yellow"/>
          <w:lang w:eastAsia="en-AU"/>
        </w:rPr>
        <w:t>The diagnosis made by Dr. Ash and the instructions given by her on the morning of April 21, 1985, in my opinion, were in accord with the degree of skill and learning ordinarily possessed and used by members of the medical profession in good standing engaged in a similar practice, in Piggott, Arkansas, or in a similar locality.</w:t>
      </w:r>
    </w:p>
    <w:p w14:paraId="06761270" w14:textId="77777777" w:rsidR="00130614" w:rsidRPr="004C4612" w:rsidRDefault="00130614" w:rsidP="00130614">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4C4612">
        <w:rPr>
          <w:rFonts w:ascii="Times New Roman" w:eastAsia="Times New Roman" w:hAnsi="Times New Roman" w:cs="Times New Roman"/>
          <w:sz w:val="24"/>
          <w:szCs w:val="24"/>
          <w:highlight w:val="yellow"/>
          <w:lang w:eastAsia="en-AU"/>
        </w:rPr>
        <w:t>Dr. Duckworth testified in his deposition:</w:t>
      </w:r>
    </w:p>
    <w:p w14:paraId="7AAE11D9" w14:textId="744DFD52" w:rsidR="00130614" w:rsidRPr="004C4612" w:rsidRDefault="00130614" w:rsidP="00130614">
      <w:pPr>
        <w:spacing w:after="100" w:line="240" w:lineRule="auto"/>
        <w:jc w:val="left"/>
        <w:rPr>
          <w:rFonts w:ascii="Times New Roman" w:eastAsia="Times New Roman" w:hAnsi="Times New Roman" w:cs="Times New Roman"/>
          <w:sz w:val="24"/>
          <w:szCs w:val="24"/>
          <w:highlight w:val="yellow"/>
          <w:lang w:eastAsia="en-AU"/>
        </w:rPr>
      </w:pPr>
      <w:r w:rsidRPr="004C4612">
        <w:rPr>
          <w:rFonts w:ascii="Times New Roman" w:eastAsia="Times New Roman" w:hAnsi="Times New Roman" w:cs="Times New Roman"/>
          <w:sz w:val="24"/>
          <w:szCs w:val="24"/>
          <w:highlight w:val="yellow"/>
          <w:lang w:eastAsia="en-AU"/>
        </w:rPr>
        <w:t>Q. But at the time that Dr. Ash saw Bradley Reagan you believe that she exercised the degree of skill required at that time?</w:t>
      </w:r>
    </w:p>
    <w:p w14:paraId="02EFB6C2" w14:textId="77777777" w:rsidR="00130614" w:rsidRPr="00130614" w:rsidRDefault="00130614" w:rsidP="00130614">
      <w:pPr>
        <w:spacing w:after="100" w:line="240" w:lineRule="auto"/>
        <w:jc w:val="left"/>
        <w:rPr>
          <w:rFonts w:ascii="Times New Roman" w:eastAsia="Times New Roman" w:hAnsi="Times New Roman" w:cs="Times New Roman"/>
          <w:sz w:val="24"/>
          <w:szCs w:val="24"/>
          <w:lang w:eastAsia="en-AU"/>
        </w:rPr>
      </w:pPr>
      <w:r w:rsidRPr="004C4612">
        <w:rPr>
          <w:rFonts w:ascii="Times New Roman" w:eastAsia="Times New Roman" w:hAnsi="Times New Roman" w:cs="Times New Roman"/>
          <w:sz w:val="24"/>
          <w:szCs w:val="24"/>
          <w:highlight w:val="yellow"/>
          <w:lang w:eastAsia="en-AU"/>
        </w:rPr>
        <w:t>A. Yes, at that time.</w:t>
      </w:r>
    </w:p>
    <w:p w14:paraId="4142ECF2" w14:textId="6BF24F62"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lastRenderedPageBreak/>
        <w:t xml:space="preserve">We need only to decide if the granting of summary judgment was appropriate based on whether the evidence presented in support of the motion left a material question of fact unanswered. </w:t>
      </w:r>
      <w:r w:rsidRPr="00130614">
        <w:rPr>
          <w:rFonts w:ascii="Times New Roman" w:eastAsia="Times New Roman" w:hAnsi="Times New Roman" w:cs="Times New Roman"/>
          <w:i/>
          <w:iCs/>
          <w:sz w:val="24"/>
          <w:szCs w:val="24"/>
          <w:lang w:eastAsia="en-AU"/>
        </w:rPr>
        <w:t xml:space="preserve">Barraclough </w:t>
      </w:r>
      <w:r w:rsidRPr="00130614">
        <w:rPr>
          <w:rFonts w:ascii="Times New Roman" w:eastAsia="Times New Roman" w:hAnsi="Times New Roman" w:cs="Times New Roman"/>
          <w:sz w:val="24"/>
          <w:szCs w:val="24"/>
          <w:lang w:eastAsia="en-AU"/>
        </w:rPr>
        <w:t xml:space="preserve">v. </w:t>
      </w:r>
      <w:r w:rsidRPr="00130614">
        <w:rPr>
          <w:rFonts w:ascii="Times New Roman" w:eastAsia="Times New Roman" w:hAnsi="Times New Roman" w:cs="Times New Roman"/>
          <w:i/>
          <w:iCs/>
          <w:sz w:val="24"/>
          <w:szCs w:val="24"/>
          <w:lang w:eastAsia="en-AU"/>
        </w:rPr>
        <w:t xml:space="preserve">Arkansas Power and Light Co., </w:t>
      </w:r>
      <w:r w:rsidRPr="00130614">
        <w:rPr>
          <w:rFonts w:ascii="Times New Roman" w:eastAsia="Times New Roman" w:hAnsi="Times New Roman" w:cs="Times New Roman"/>
          <w:color w:val="0000FF"/>
          <w:sz w:val="24"/>
          <w:szCs w:val="24"/>
          <w:u w:val="single"/>
          <w:lang w:eastAsia="en-AU"/>
        </w:rPr>
        <w:t>268 Ark. 1026</w:t>
      </w:r>
      <w:r w:rsidRPr="00130614">
        <w:rPr>
          <w:rFonts w:ascii="Times New Roman" w:eastAsia="Times New Roman" w:hAnsi="Times New Roman" w:cs="Times New Roman"/>
          <w:sz w:val="24"/>
          <w:szCs w:val="24"/>
          <w:lang w:eastAsia="en-AU"/>
        </w:rPr>
        <w:t xml:space="preserve">, </w:t>
      </w:r>
      <w:r w:rsidRPr="00130614">
        <w:rPr>
          <w:rFonts w:ascii="Times New Roman" w:eastAsia="Times New Roman" w:hAnsi="Times New Roman" w:cs="Times New Roman"/>
          <w:color w:val="0000FF"/>
          <w:sz w:val="24"/>
          <w:szCs w:val="24"/>
          <w:u w:val="single"/>
          <w:lang w:eastAsia="en-AU"/>
        </w:rPr>
        <w:t>597 S.W.2d 861</w:t>
      </w:r>
      <w:r w:rsidRPr="00130614">
        <w:rPr>
          <w:rFonts w:ascii="Times New Roman" w:eastAsia="Times New Roman" w:hAnsi="Times New Roman" w:cs="Times New Roman"/>
          <w:sz w:val="24"/>
          <w:szCs w:val="24"/>
          <w:lang w:eastAsia="en-AU"/>
        </w:rPr>
        <w:t xml:space="preserve"> (1980). Once the moving party makes a prima facie showing of entitlement of summary judgment, the opposing party must meet proof with proof by showing a genuine issue as to material fact. </w:t>
      </w:r>
      <w:r w:rsidRPr="00130614">
        <w:rPr>
          <w:rFonts w:ascii="Times New Roman" w:eastAsia="Times New Roman" w:hAnsi="Times New Roman" w:cs="Times New Roman"/>
          <w:i/>
          <w:iCs/>
          <w:sz w:val="24"/>
          <w:szCs w:val="24"/>
          <w:lang w:eastAsia="en-AU"/>
        </w:rPr>
        <w:t xml:space="preserve">Hughes Western World, Inc. </w:t>
      </w:r>
      <w:r w:rsidRPr="00130614">
        <w:rPr>
          <w:rFonts w:ascii="Times New Roman" w:eastAsia="Times New Roman" w:hAnsi="Times New Roman" w:cs="Times New Roman"/>
          <w:sz w:val="24"/>
          <w:szCs w:val="24"/>
          <w:lang w:eastAsia="en-AU"/>
        </w:rPr>
        <w:t xml:space="preserve">v. </w:t>
      </w:r>
      <w:r w:rsidRPr="00130614">
        <w:rPr>
          <w:rFonts w:ascii="Times New Roman" w:eastAsia="Times New Roman" w:hAnsi="Times New Roman" w:cs="Times New Roman"/>
          <w:i/>
          <w:iCs/>
          <w:sz w:val="24"/>
          <w:szCs w:val="24"/>
          <w:lang w:eastAsia="en-AU"/>
        </w:rPr>
        <w:t xml:space="preserve">Westmoor Mfg. Co., </w:t>
      </w:r>
      <w:r w:rsidRPr="00130614">
        <w:rPr>
          <w:rFonts w:ascii="Times New Roman" w:eastAsia="Times New Roman" w:hAnsi="Times New Roman" w:cs="Times New Roman"/>
          <w:color w:val="0000FF"/>
          <w:sz w:val="24"/>
          <w:szCs w:val="24"/>
          <w:u w:val="single"/>
          <w:lang w:eastAsia="en-AU"/>
        </w:rPr>
        <w:t>269 Ark. 300</w:t>
      </w:r>
      <w:r w:rsidRPr="00130614">
        <w:rPr>
          <w:rFonts w:ascii="Times New Roman" w:eastAsia="Times New Roman" w:hAnsi="Times New Roman" w:cs="Times New Roman"/>
          <w:sz w:val="24"/>
          <w:szCs w:val="24"/>
          <w:lang w:eastAsia="en-AU"/>
        </w:rPr>
        <w:t xml:space="preserve">, </w:t>
      </w:r>
      <w:r w:rsidRPr="00130614">
        <w:rPr>
          <w:rFonts w:ascii="Times New Roman" w:eastAsia="Times New Roman" w:hAnsi="Times New Roman" w:cs="Times New Roman"/>
          <w:color w:val="0000FF"/>
          <w:sz w:val="24"/>
          <w:szCs w:val="24"/>
          <w:u w:val="single"/>
          <w:lang w:eastAsia="en-AU"/>
        </w:rPr>
        <w:t>601 S.W.2d 826</w:t>
      </w:r>
      <w:r w:rsidRPr="00130614">
        <w:rPr>
          <w:rFonts w:ascii="Times New Roman" w:eastAsia="Times New Roman" w:hAnsi="Times New Roman" w:cs="Times New Roman"/>
          <w:sz w:val="24"/>
          <w:szCs w:val="24"/>
          <w:lang w:eastAsia="en-AU"/>
        </w:rPr>
        <w:t xml:space="preserve"> (1980). </w:t>
      </w:r>
      <w:r w:rsidRPr="004C4612">
        <w:rPr>
          <w:rFonts w:ascii="Times New Roman" w:eastAsia="Times New Roman" w:hAnsi="Times New Roman" w:cs="Times New Roman"/>
          <w:sz w:val="24"/>
          <w:szCs w:val="24"/>
          <w:highlight w:val="green"/>
          <w:lang w:eastAsia="en-AU"/>
        </w:rPr>
        <w:t>We can find no testimony that creates an issue of fact requiring presentation of this case to a jury</w:t>
      </w:r>
      <w:r w:rsidRPr="00130614">
        <w:rPr>
          <w:rFonts w:ascii="Times New Roman" w:eastAsia="Times New Roman" w:hAnsi="Times New Roman" w:cs="Times New Roman"/>
          <w:sz w:val="24"/>
          <w:szCs w:val="24"/>
          <w:lang w:eastAsia="en-AU"/>
        </w:rPr>
        <w:t xml:space="preserve">. </w:t>
      </w:r>
      <w:r w:rsidRPr="004C4612">
        <w:rPr>
          <w:rFonts w:ascii="Times New Roman" w:eastAsia="Times New Roman" w:hAnsi="Times New Roman" w:cs="Times New Roman"/>
          <w:sz w:val="24"/>
          <w:szCs w:val="24"/>
          <w:highlight w:val="red"/>
          <w:lang w:eastAsia="en-AU"/>
        </w:rPr>
        <w:t>We cannot say the trial court erred and we therefore affirm the granting of summary judgment.</w:t>
      </w:r>
    </w:p>
    <w:p w14:paraId="3F88C9CC" w14:textId="4FD8263E"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 xml:space="preserve">Appellant asserts that parts of the Arkansas Medical Malpractice Act are unconstitutional. Specifically, appellant challenges </w:t>
      </w:r>
      <w:r w:rsidRPr="00130614">
        <w:rPr>
          <w:rFonts w:ascii="Times New Roman" w:eastAsia="Times New Roman" w:hAnsi="Times New Roman" w:cs="Times New Roman"/>
          <w:color w:val="0000FF"/>
          <w:sz w:val="24"/>
          <w:szCs w:val="24"/>
          <w:u w:val="single"/>
          <w:lang w:eastAsia="en-AU"/>
        </w:rPr>
        <w:t>Ark. Code Ann. §§ 16-114-206</w:t>
      </w:r>
      <w:r w:rsidRPr="00130614">
        <w:rPr>
          <w:rFonts w:ascii="Times New Roman" w:eastAsia="Times New Roman" w:hAnsi="Times New Roman" w:cs="Times New Roman"/>
          <w:sz w:val="24"/>
          <w:szCs w:val="24"/>
          <w:lang w:eastAsia="en-AU"/>
        </w:rPr>
        <w:t xml:space="preserve"> to -208 (1987) as special or class legislation. Appellant argues these statutes give medical care providers and insurance carriers certain privileges not otherwise available to other persons. Appellee responds that appellant has no standing to challenge these sections of the Medical Malpractice Act as they were not applied so as to injure appellant. Appellee also points out appellant’s failure to notify the Attorney General as required by </w:t>
      </w:r>
      <w:r w:rsidRPr="00130614">
        <w:rPr>
          <w:rFonts w:ascii="Times New Roman" w:eastAsia="Times New Roman" w:hAnsi="Times New Roman" w:cs="Times New Roman"/>
          <w:color w:val="0000FF"/>
          <w:sz w:val="24"/>
          <w:szCs w:val="24"/>
          <w:u w:val="single"/>
          <w:lang w:eastAsia="en-AU"/>
        </w:rPr>
        <w:t>Ark. Code Ann. § 16-111-106</w:t>
      </w:r>
      <w:r w:rsidRPr="00130614">
        <w:rPr>
          <w:rFonts w:ascii="Times New Roman" w:eastAsia="Times New Roman" w:hAnsi="Times New Roman" w:cs="Times New Roman"/>
          <w:sz w:val="24"/>
          <w:szCs w:val="24"/>
          <w:lang w:eastAsia="en-AU"/>
        </w:rPr>
        <w:t xml:space="preserve"> (1987).</w:t>
      </w:r>
    </w:p>
    <w:p w14:paraId="7DB26555" w14:textId="47E8494A" w:rsidR="00130614" w:rsidRP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30614">
        <w:rPr>
          <w:rFonts w:ascii="Times New Roman" w:eastAsia="Times New Roman" w:hAnsi="Times New Roman" w:cs="Times New Roman"/>
          <w:sz w:val="24"/>
          <w:szCs w:val="24"/>
          <w:lang w:eastAsia="en-AU"/>
        </w:rPr>
        <w:t xml:space="preserve">We agree that appellant’s constitutional claims cannot be heard. Section 16-111-106 requires that the Attorney General be notified of any declaratory judgment action involving a constitutional challenge to any statute. It is generally reversible error when the Attorney General fails to receive notice of a constitutional attack on a statute. </w:t>
      </w:r>
      <w:r w:rsidRPr="00130614">
        <w:rPr>
          <w:rFonts w:ascii="Times New Roman" w:eastAsia="Times New Roman" w:hAnsi="Times New Roman" w:cs="Times New Roman"/>
          <w:i/>
          <w:iCs/>
          <w:sz w:val="24"/>
          <w:szCs w:val="24"/>
          <w:lang w:eastAsia="en-AU"/>
        </w:rPr>
        <w:t xml:space="preserve">Olmstead </w:t>
      </w:r>
      <w:r w:rsidRPr="00130614">
        <w:rPr>
          <w:rFonts w:ascii="Times New Roman" w:eastAsia="Times New Roman" w:hAnsi="Times New Roman" w:cs="Times New Roman"/>
          <w:sz w:val="24"/>
          <w:szCs w:val="24"/>
          <w:lang w:eastAsia="en-AU"/>
        </w:rPr>
        <w:t xml:space="preserve">v. </w:t>
      </w:r>
      <w:r w:rsidRPr="00130614">
        <w:rPr>
          <w:rFonts w:ascii="Times New Roman" w:eastAsia="Times New Roman" w:hAnsi="Times New Roman" w:cs="Times New Roman"/>
          <w:i/>
          <w:iCs/>
          <w:sz w:val="24"/>
          <w:szCs w:val="24"/>
          <w:lang w:eastAsia="en-AU"/>
        </w:rPr>
        <w:t xml:space="preserve">Logan, </w:t>
      </w:r>
      <w:r w:rsidRPr="00130614">
        <w:rPr>
          <w:rFonts w:ascii="Times New Roman" w:eastAsia="Times New Roman" w:hAnsi="Times New Roman" w:cs="Times New Roman"/>
          <w:color w:val="0000FF"/>
          <w:sz w:val="24"/>
          <w:szCs w:val="24"/>
          <w:u w:val="single"/>
          <w:lang w:eastAsia="en-AU"/>
        </w:rPr>
        <w:t>298 Ark. 421</w:t>
      </w:r>
      <w:r w:rsidRPr="00130614">
        <w:rPr>
          <w:rFonts w:ascii="Times New Roman" w:eastAsia="Times New Roman" w:hAnsi="Times New Roman" w:cs="Times New Roman"/>
          <w:sz w:val="24"/>
          <w:szCs w:val="24"/>
          <w:lang w:eastAsia="en-AU"/>
        </w:rPr>
        <w:t xml:space="preserve">, </w:t>
      </w:r>
      <w:r w:rsidRPr="00130614">
        <w:rPr>
          <w:rFonts w:ascii="Times New Roman" w:eastAsia="Times New Roman" w:hAnsi="Times New Roman" w:cs="Times New Roman"/>
          <w:color w:val="0000FF"/>
          <w:sz w:val="24"/>
          <w:szCs w:val="24"/>
          <w:u w:val="single"/>
          <w:lang w:eastAsia="en-AU"/>
        </w:rPr>
        <w:t>768 S.W.2d 26</w:t>
      </w:r>
      <w:r w:rsidRPr="00130614">
        <w:rPr>
          <w:rFonts w:ascii="Times New Roman" w:eastAsia="Times New Roman" w:hAnsi="Times New Roman" w:cs="Times New Roman"/>
          <w:sz w:val="24"/>
          <w:szCs w:val="24"/>
          <w:lang w:eastAsia="en-AU"/>
        </w:rPr>
        <w:t xml:space="preserve"> (1989); </w:t>
      </w:r>
      <w:r w:rsidRPr="00130614">
        <w:rPr>
          <w:rFonts w:ascii="Times New Roman" w:eastAsia="Times New Roman" w:hAnsi="Times New Roman" w:cs="Times New Roman"/>
          <w:i/>
          <w:iCs/>
          <w:sz w:val="24"/>
          <w:szCs w:val="24"/>
          <w:lang w:eastAsia="en-AU"/>
        </w:rPr>
        <w:t xml:space="preserve">City of Little Rock v. Cash, </w:t>
      </w:r>
      <w:r w:rsidRPr="00130614">
        <w:rPr>
          <w:rFonts w:ascii="Times New Roman" w:eastAsia="Times New Roman" w:hAnsi="Times New Roman" w:cs="Times New Roman"/>
          <w:color w:val="0000FF"/>
          <w:sz w:val="24"/>
          <w:szCs w:val="24"/>
          <w:u w:val="single"/>
          <w:lang w:eastAsia="en-AU"/>
        </w:rPr>
        <w:t>277 Ark. 494</w:t>
      </w:r>
      <w:r w:rsidRPr="00130614">
        <w:rPr>
          <w:rFonts w:ascii="Times New Roman" w:eastAsia="Times New Roman" w:hAnsi="Times New Roman" w:cs="Times New Roman"/>
          <w:sz w:val="24"/>
          <w:szCs w:val="24"/>
          <w:lang w:eastAsia="en-AU"/>
        </w:rPr>
        <w:t xml:space="preserve">, </w:t>
      </w:r>
      <w:r w:rsidRPr="00130614">
        <w:rPr>
          <w:rFonts w:ascii="Times New Roman" w:eastAsia="Times New Roman" w:hAnsi="Times New Roman" w:cs="Times New Roman"/>
          <w:color w:val="0000FF"/>
          <w:sz w:val="24"/>
          <w:szCs w:val="24"/>
          <w:u w:val="single"/>
          <w:lang w:eastAsia="en-AU"/>
        </w:rPr>
        <w:t>644 S.W.2d 29</w:t>
      </w:r>
      <w:r w:rsidRPr="00130614">
        <w:rPr>
          <w:rFonts w:ascii="Times New Roman" w:eastAsia="Times New Roman" w:hAnsi="Times New Roman" w:cs="Times New Roman"/>
          <w:sz w:val="24"/>
          <w:szCs w:val="24"/>
          <w:lang w:eastAsia="en-AU"/>
        </w:rPr>
        <w:t xml:space="preserve"> (1982), </w:t>
      </w:r>
      <w:r w:rsidRPr="00130614">
        <w:rPr>
          <w:rFonts w:ascii="Times New Roman" w:eastAsia="Times New Roman" w:hAnsi="Times New Roman" w:cs="Times New Roman"/>
          <w:i/>
          <w:iCs/>
          <w:sz w:val="24"/>
          <w:szCs w:val="24"/>
          <w:lang w:eastAsia="en-AU"/>
        </w:rPr>
        <w:t xml:space="preserve">cert. denied, </w:t>
      </w:r>
      <w:r w:rsidRPr="00130614">
        <w:rPr>
          <w:rFonts w:ascii="Times New Roman" w:eastAsia="Times New Roman" w:hAnsi="Times New Roman" w:cs="Times New Roman"/>
          <w:color w:val="0000FF"/>
          <w:sz w:val="24"/>
          <w:szCs w:val="24"/>
          <w:u w:val="single"/>
          <w:lang w:eastAsia="en-AU"/>
        </w:rPr>
        <w:t>462 U.S. 1111</w:t>
      </w:r>
      <w:r w:rsidRPr="00130614">
        <w:rPr>
          <w:rFonts w:ascii="Times New Roman" w:eastAsia="Times New Roman" w:hAnsi="Times New Roman" w:cs="Times New Roman"/>
          <w:sz w:val="24"/>
          <w:szCs w:val="24"/>
          <w:lang w:eastAsia="en-AU"/>
        </w:rPr>
        <w:t xml:space="preserve"> (1983). This general rule has not been applied in some exceptional circumstances, those being where all the issues have been briefed and argued by litigants who are clearly adversarial. This case is not such an exceptional situation. Although appellant did argue </w:t>
      </w:r>
      <w:r w:rsidRPr="00130614">
        <w:rPr>
          <w:rFonts w:ascii="Times New Roman" w:eastAsia="Times New Roman" w:hAnsi="Times New Roman" w:cs="Times New Roman"/>
          <w:color w:val="0000FF"/>
          <w:sz w:val="24"/>
          <w:szCs w:val="24"/>
          <w:u w:val="single"/>
          <w:lang w:eastAsia="en-AU"/>
        </w:rPr>
        <w:t>*82</w:t>
      </w:r>
      <w:r w:rsidRPr="00130614">
        <w:rPr>
          <w:rFonts w:ascii="Times New Roman" w:eastAsia="Times New Roman" w:hAnsi="Times New Roman" w:cs="Times New Roman"/>
          <w:sz w:val="24"/>
          <w:szCs w:val="24"/>
          <w:lang w:eastAsia="en-AU"/>
        </w:rPr>
        <w:t>his constitutional claim to the trial court, the record does not reveal that either the Attorney General was notified of the state’s right to be represented in the proceeding, or that the issues were otherwise adequately argued or briefed by truly adversarial parties. Therefore, we do not consider the constitutional challenge on this appeal.</w:t>
      </w:r>
    </w:p>
    <w:p w14:paraId="3FE65FFF" w14:textId="19C0B503" w:rsidR="00130614" w:rsidRDefault="00130614"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7793">
        <w:rPr>
          <w:rFonts w:ascii="Times New Roman" w:eastAsia="Times New Roman" w:hAnsi="Times New Roman" w:cs="Times New Roman"/>
          <w:sz w:val="24"/>
          <w:szCs w:val="24"/>
          <w:highlight w:val="red"/>
          <w:lang w:eastAsia="en-AU"/>
        </w:rPr>
        <w:t>Affirmed.</w:t>
      </w:r>
    </w:p>
    <w:p w14:paraId="10ECEDDD" w14:textId="6C6DEC7B" w:rsidR="009E7793" w:rsidRDefault="009E7793"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50162989" w14:textId="105293F2" w:rsidR="009E7793" w:rsidRDefault="009E7793" w:rsidP="0013061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B02589F" w14:textId="61CBF406" w:rsidR="009E7793" w:rsidRDefault="009E7793" w:rsidP="00130614">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defendant physician’s failure to identify and diagnose plaintiff’s appendicitis was negligent.</w:t>
      </w:r>
    </w:p>
    <w:p w14:paraId="685D87D5" w14:textId="2AF6B243" w:rsidR="009E7793" w:rsidRDefault="009E7793" w:rsidP="0013061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 xml:space="preserve">Summary: </w:t>
      </w:r>
    </w:p>
    <w:p w14:paraId="6F191B2C" w14:textId="5AAB9CF6" w:rsidR="00ED185C" w:rsidRDefault="009E7793" w:rsidP="00ED185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presented to hospital complaining of abdominal pain,</w:t>
      </w:r>
      <w:r w:rsidR="00ED185C">
        <w:rPr>
          <w:rFonts w:ascii="Times New Roman" w:eastAsia="Times New Roman" w:hAnsi="Times New Roman" w:cs="Times New Roman"/>
          <w:sz w:val="24"/>
          <w:szCs w:val="24"/>
          <w:lang w:eastAsia="en-AU"/>
        </w:rPr>
        <w:t xml:space="preserve"> cramping, and other symptoms, and the defendant examined the plaintiff, </w:t>
      </w:r>
      <w:r w:rsidR="00050E5A">
        <w:rPr>
          <w:rFonts w:ascii="Times New Roman" w:eastAsia="Times New Roman" w:hAnsi="Times New Roman" w:cs="Times New Roman"/>
          <w:sz w:val="24"/>
          <w:szCs w:val="24"/>
          <w:lang w:eastAsia="en-AU"/>
        </w:rPr>
        <w:t xml:space="preserve">diagnosed him with gastroenteritis, </w:t>
      </w:r>
      <w:r w:rsidR="00ED185C">
        <w:rPr>
          <w:rFonts w:ascii="Times New Roman" w:eastAsia="Times New Roman" w:hAnsi="Times New Roman" w:cs="Times New Roman"/>
          <w:sz w:val="24"/>
          <w:szCs w:val="24"/>
          <w:lang w:eastAsia="en-AU"/>
        </w:rPr>
        <w:t>gave him an injection, and told him to visit his regular doctor the next day.</w:t>
      </w:r>
    </w:p>
    <w:p w14:paraId="1B334689" w14:textId="769597A7" w:rsidR="00ED185C" w:rsidRDefault="00ED185C" w:rsidP="00ED185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plaintiff’s regular doctor</w:t>
      </w:r>
      <w:r w:rsidR="00050E5A">
        <w:rPr>
          <w:rFonts w:ascii="Times New Roman" w:eastAsia="Times New Roman" w:hAnsi="Times New Roman" w:cs="Times New Roman"/>
          <w:sz w:val="24"/>
          <w:szCs w:val="24"/>
          <w:lang w:eastAsia="en-AU"/>
        </w:rPr>
        <w:t xml:space="preserve"> ordered </w:t>
      </w:r>
      <w:r w:rsidR="00741DA5">
        <w:rPr>
          <w:rFonts w:ascii="Times New Roman" w:eastAsia="Times New Roman" w:hAnsi="Times New Roman" w:cs="Times New Roman"/>
          <w:sz w:val="24"/>
          <w:szCs w:val="24"/>
          <w:lang w:eastAsia="en-AU"/>
        </w:rPr>
        <w:t>removal of the plaintiff’s appendix which confirmed it was infected.</w:t>
      </w:r>
    </w:p>
    <w:p w14:paraId="63E7CED6" w14:textId="6FE7D57D" w:rsidR="00741DA5" w:rsidRDefault="00741DA5" w:rsidP="00ED185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alleged that the defendant physician was negligent in failing to</w:t>
      </w:r>
      <w:r w:rsidR="0032755B">
        <w:rPr>
          <w:rFonts w:ascii="Times New Roman" w:eastAsia="Times New Roman" w:hAnsi="Times New Roman" w:cs="Times New Roman"/>
          <w:sz w:val="24"/>
          <w:szCs w:val="24"/>
          <w:lang w:eastAsia="en-AU"/>
        </w:rPr>
        <w:t xml:space="preserve"> diagnose appendicitis.</w:t>
      </w:r>
    </w:p>
    <w:p w14:paraId="2BF60D7A" w14:textId="18A74862" w:rsidR="0032755B" w:rsidRDefault="0032755B" w:rsidP="00ED185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plaintiff’s regular doctor testified that the defendant’s conduct was</w:t>
      </w:r>
      <w:r w:rsidR="00664EF7">
        <w:rPr>
          <w:rFonts w:ascii="Times New Roman" w:eastAsia="Times New Roman" w:hAnsi="Times New Roman" w:cs="Times New Roman"/>
          <w:sz w:val="24"/>
          <w:szCs w:val="24"/>
          <w:lang w:eastAsia="en-AU"/>
        </w:rPr>
        <w:t xml:space="preserve"> in conformity with the applicable standard of care and not negligent, and the plaintiff offered no other expert testimony establishing the relevant standard of care and claiming that the defendant’s conduct fell below it.</w:t>
      </w:r>
    </w:p>
    <w:p w14:paraId="649094F7" w14:textId="000007FA" w:rsidR="00664EF7" w:rsidRPr="00ED185C" w:rsidRDefault="00664EF7" w:rsidP="00ED185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Thus, the defendant, in failing to diagnose appendicitis, was not negligent.</w:t>
      </w:r>
    </w:p>
    <w:p w14:paraId="4506537E"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3C4B"/>
    <w:multiLevelType w:val="hybridMultilevel"/>
    <w:tmpl w:val="A2F62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319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14"/>
    <w:rsid w:val="00050E5A"/>
    <w:rsid w:val="000E3946"/>
    <w:rsid w:val="000F1A3D"/>
    <w:rsid w:val="001232E9"/>
    <w:rsid w:val="00130614"/>
    <w:rsid w:val="001606B4"/>
    <w:rsid w:val="0032755B"/>
    <w:rsid w:val="004C4612"/>
    <w:rsid w:val="00664EF7"/>
    <w:rsid w:val="00730160"/>
    <w:rsid w:val="00741DA5"/>
    <w:rsid w:val="009E62B8"/>
    <w:rsid w:val="009E7793"/>
    <w:rsid w:val="00A245F9"/>
    <w:rsid w:val="00A62E8D"/>
    <w:rsid w:val="00AF7BFB"/>
    <w:rsid w:val="00CD2B09"/>
    <w:rsid w:val="00ED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8C92"/>
  <w15:chartTrackingRefBased/>
  <w15:docId w15:val="{0431F90B-EA2B-4B26-B5DD-D34C25BC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2190">
      <w:bodyDiv w:val="1"/>
      <w:marLeft w:val="0"/>
      <w:marRight w:val="0"/>
      <w:marTop w:val="0"/>
      <w:marBottom w:val="0"/>
      <w:divBdr>
        <w:top w:val="none" w:sz="0" w:space="0" w:color="auto"/>
        <w:left w:val="none" w:sz="0" w:space="0" w:color="auto"/>
        <w:bottom w:val="none" w:sz="0" w:space="0" w:color="auto"/>
        <w:right w:val="none" w:sz="0" w:space="0" w:color="auto"/>
      </w:divBdr>
      <w:divsChild>
        <w:div w:id="371883874">
          <w:marLeft w:val="0"/>
          <w:marRight w:val="0"/>
          <w:marTop w:val="0"/>
          <w:marBottom w:val="0"/>
          <w:divBdr>
            <w:top w:val="none" w:sz="0" w:space="0" w:color="auto"/>
            <w:left w:val="none" w:sz="0" w:space="0" w:color="auto"/>
            <w:bottom w:val="none" w:sz="0" w:space="0" w:color="auto"/>
            <w:right w:val="none" w:sz="0" w:space="0" w:color="auto"/>
          </w:divBdr>
          <w:divsChild>
            <w:div w:id="269095095">
              <w:marLeft w:val="0"/>
              <w:marRight w:val="0"/>
              <w:marTop w:val="0"/>
              <w:marBottom w:val="0"/>
              <w:divBdr>
                <w:top w:val="none" w:sz="0" w:space="0" w:color="auto"/>
                <w:left w:val="none" w:sz="0" w:space="0" w:color="auto"/>
                <w:bottom w:val="none" w:sz="0" w:space="0" w:color="auto"/>
                <w:right w:val="none" w:sz="0" w:space="0" w:color="auto"/>
              </w:divBdr>
              <w:divsChild>
                <w:div w:id="562981712">
                  <w:marLeft w:val="0"/>
                  <w:marRight w:val="0"/>
                  <w:marTop w:val="0"/>
                  <w:marBottom w:val="0"/>
                  <w:divBdr>
                    <w:top w:val="none" w:sz="0" w:space="0" w:color="auto"/>
                    <w:left w:val="none" w:sz="0" w:space="0" w:color="auto"/>
                    <w:bottom w:val="none" w:sz="0" w:space="0" w:color="auto"/>
                    <w:right w:val="none" w:sz="0" w:space="0" w:color="auto"/>
                  </w:divBdr>
                  <w:divsChild>
                    <w:div w:id="561911515">
                      <w:marLeft w:val="0"/>
                      <w:marRight w:val="0"/>
                      <w:marTop w:val="0"/>
                      <w:marBottom w:val="0"/>
                      <w:divBdr>
                        <w:top w:val="none" w:sz="0" w:space="0" w:color="auto"/>
                        <w:left w:val="none" w:sz="0" w:space="0" w:color="auto"/>
                        <w:bottom w:val="none" w:sz="0" w:space="0" w:color="auto"/>
                        <w:right w:val="none" w:sz="0" w:space="0" w:color="auto"/>
                      </w:divBdr>
                    </w:div>
                    <w:div w:id="13218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908">
              <w:marLeft w:val="0"/>
              <w:marRight w:val="0"/>
              <w:marTop w:val="0"/>
              <w:marBottom w:val="0"/>
              <w:divBdr>
                <w:top w:val="none" w:sz="0" w:space="0" w:color="auto"/>
                <w:left w:val="none" w:sz="0" w:space="0" w:color="auto"/>
                <w:bottom w:val="none" w:sz="0" w:space="0" w:color="auto"/>
                <w:right w:val="none" w:sz="0" w:space="0" w:color="auto"/>
              </w:divBdr>
              <w:divsChild>
                <w:div w:id="1115370607">
                  <w:marLeft w:val="0"/>
                  <w:marRight w:val="0"/>
                  <w:marTop w:val="0"/>
                  <w:marBottom w:val="0"/>
                  <w:divBdr>
                    <w:top w:val="none" w:sz="0" w:space="0" w:color="auto"/>
                    <w:left w:val="none" w:sz="0" w:space="0" w:color="auto"/>
                    <w:bottom w:val="none" w:sz="0" w:space="0" w:color="auto"/>
                    <w:right w:val="none" w:sz="0" w:space="0" w:color="auto"/>
                  </w:divBdr>
                </w:div>
              </w:divsChild>
            </w:div>
            <w:div w:id="94052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947933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624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708619">
              <w:blockQuote w:val="1"/>
              <w:marLeft w:val="720"/>
              <w:marRight w:val="720"/>
              <w:marTop w:val="100"/>
              <w:marBottom w:val="100"/>
              <w:divBdr>
                <w:top w:val="none" w:sz="0" w:space="0" w:color="auto"/>
                <w:left w:val="none" w:sz="0" w:space="0" w:color="auto"/>
                <w:bottom w:val="none" w:sz="0" w:space="0" w:color="auto"/>
                <w:right w:val="none" w:sz="0" w:space="0" w:color="auto"/>
              </w:divBdr>
            </w:div>
            <w:div w:id="297689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04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315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1863059">
      <w:bodyDiv w:val="1"/>
      <w:marLeft w:val="0"/>
      <w:marRight w:val="0"/>
      <w:marTop w:val="0"/>
      <w:marBottom w:val="0"/>
      <w:divBdr>
        <w:top w:val="none" w:sz="0" w:space="0" w:color="auto"/>
        <w:left w:val="none" w:sz="0" w:space="0" w:color="auto"/>
        <w:bottom w:val="none" w:sz="0" w:space="0" w:color="auto"/>
        <w:right w:val="none" w:sz="0" w:space="0" w:color="auto"/>
      </w:divBdr>
      <w:divsChild>
        <w:div w:id="1822696853">
          <w:marLeft w:val="0"/>
          <w:marRight w:val="0"/>
          <w:marTop w:val="0"/>
          <w:marBottom w:val="0"/>
          <w:divBdr>
            <w:top w:val="none" w:sz="0" w:space="0" w:color="auto"/>
            <w:left w:val="none" w:sz="0" w:space="0" w:color="auto"/>
            <w:bottom w:val="none" w:sz="0" w:space="0" w:color="auto"/>
            <w:right w:val="none" w:sz="0" w:space="0" w:color="auto"/>
          </w:divBdr>
          <w:divsChild>
            <w:div w:id="701125890">
              <w:marLeft w:val="0"/>
              <w:marRight w:val="0"/>
              <w:marTop w:val="0"/>
              <w:marBottom w:val="0"/>
              <w:divBdr>
                <w:top w:val="none" w:sz="0" w:space="0" w:color="auto"/>
                <w:left w:val="none" w:sz="0" w:space="0" w:color="auto"/>
                <w:bottom w:val="none" w:sz="0" w:space="0" w:color="auto"/>
                <w:right w:val="none" w:sz="0" w:space="0" w:color="auto"/>
              </w:divBdr>
              <w:divsChild>
                <w:div w:id="101846592">
                  <w:marLeft w:val="0"/>
                  <w:marRight w:val="0"/>
                  <w:marTop w:val="0"/>
                  <w:marBottom w:val="0"/>
                  <w:divBdr>
                    <w:top w:val="none" w:sz="0" w:space="0" w:color="auto"/>
                    <w:left w:val="none" w:sz="0" w:space="0" w:color="auto"/>
                    <w:bottom w:val="none" w:sz="0" w:space="0" w:color="auto"/>
                    <w:right w:val="none" w:sz="0" w:space="0" w:color="auto"/>
                  </w:divBdr>
                  <w:divsChild>
                    <w:div w:id="1275135915">
                      <w:marLeft w:val="0"/>
                      <w:marRight w:val="0"/>
                      <w:marTop w:val="0"/>
                      <w:marBottom w:val="0"/>
                      <w:divBdr>
                        <w:top w:val="none" w:sz="0" w:space="0" w:color="auto"/>
                        <w:left w:val="none" w:sz="0" w:space="0" w:color="auto"/>
                        <w:bottom w:val="none" w:sz="0" w:space="0" w:color="auto"/>
                        <w:right w:val="none" w:sz="0" w:space="0" w:color="auto"/>
                      </w:divBdr>
                    </w:div>
                    <w:div w:id="656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3478">
              <w:marLeft w:val="0"/>
              <w:marRight w:val="0"/>
              <w:marTop w:val="0"/>
              <w:marBottom w:val="0"/>
              <w:divBdr>
                <w:top w:val="none" w:sz="0" w:space="0" w:color="auto"/>
                <w:left w:val="none" w:sz="0" w:space="0" w:color="auto"/>
                <w:bottom w:val="none" w:sz="0" w:space="0" w:color="auto"/>
                <w:right w:val="none" w:sz="0" w:space="0" w:color="auto"/>
              </w:divBdr>
              <w:divsChild>
                <w:div w:id="1083643467">
                  <w:marLeft w:val="0"/>
                  <w:marRight w:val="0"/>
                  <w:marTop w:val="0"/>
                  <w:marBottom w:val="0"/>
                  <w:divBdr>
                    <w:top w:val="none" w:sz="0" w:space="0" w:color="auto"/>
                    <w:left w:val="none" w:sz="0" w:space="0" w:color="auto"/>
                    <w:bottom w:val="none" w:sz="0" w:space="0" w:color="auto"/>
                    <w:right w:val="none" w:sz="0" w:space="0" w:color="auto"/>
                  </w:divBdr>
                </w:div>
              </w:divsChild>
            </w:div>
            <w:div w:id="35392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5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550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050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871143">
              <w:blockQuote w:val="1"/>
              <w:marLeft w:val="720"/>
              <w:marRight w:val="720"/>
              <w:marTop w:val="100"/>
              <w:marBottom w:val="100"/>
              <w:divBdr>
                <w:top w:val="none" w:sz="0" w:space="0" w:color="auto"/>
                <w:left w:val="none" w:sz="0" w:space="0" w:color="auto"/>
                <w:bottom w:val="none" w:sz="0" w:space="0" w:color="auto"/>
                <w:right w:val="none" w:sz="0" w:space="0" w:color="auto"/>
              </w:divBdr>
            </w:div>
            <w:div w:id="752288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27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437503">
      <w:bodyDiv w:val="1"/>
      <w:marLeft w:val="0"/>
      <w:marRight w:val="0"/>
      <w:marTop w:val="0"/>
      <w:marBottom w:val="0"/>
      <w:divBdr>
        <w:top w:val="none" w:sz="0" w:space="0" w:color="auto"/>
        <w:left w:val="none" w:sz="0" w:space="0" w:color="auto"/>
        <w:bottom w:val="none" w:sz="0" w:space="0" w:color="auto"/>
        <w:right w:val="none" w:sz="0" w:space="0" w:color="auto"/>
      </w:divBdr>
      <w:divsChild>
        <w:div w:id="172913311">
          <w:marLeft w:val="0"/>
          <w:marRight w:val="0"/>
          <w:marTop w:val="0"/>
          <w:marBottom w:val="0"/>
          <w:divBdr>
            <w:top w:val="none" w:sz="0" w:space="0" w:color="auto"/>
            <w:left w:val="none" w:sz="0" w:space="0" w:color="auto"/>
            <w:bottom w:val="none" w:sz="0" w:space="0" w:color="auto"/>
            <w:right w:val="none" w:sz="0" w:space="0" w:color="auto"/>
          </w:divBdr>
          <w:divsChild>
            <w:div w:id="2022201416">
              <w:marLeft w:val="0"/>
              <w:marRight w:val="0"/>
              <w:marTop w:val="0"/>
              <w:marBottom w:val="0"/>
              <w:divBdr>
                <w:top w:val="none" w:sz="0" w:space="0" w:color="auto"/>
                <w:left w:val="none" w:sz="0" w:space="0" w:color="auto"/>
                <w:bottom w:val="none" w:sz="0" w:space="0" w:color="auto"/>
                <w:right w:val="none" w:sz="0" w:space="0" w:color="auto"/>
              </w:divBdr>
              <w:divsChild>
                <w:div w:id="746652812">
                  <w:marLeft w:val="0"/>
                  <w:marRight w:val="0"/>
                  <w:marTop w:val="0"/>
                  <w:marBottom w:val="0"/>
                  <w:divBdr>
                    <w:top w:val="none" w:sz="0" w:space="0" w:color="auto"/>
                    <w:left w:val="none" w:sz="0" w:space="0" w:color="auto"/>
                    <w:bottom w:val="none" w:sz="0" w:space="0" w:color="auto"/>
                    <w:right w:val="none" w:sz="0" w:space="0" w:color="auto"/>
                  </w:divBdr>
                  <w:divsChild>
                    <w:div w:id="459106554">
                      <w:marLeft w:val="0"/>
                      <w:marRight w:val="0"/>
                      <w:marTop w:val="0"/>
                      <w:marBottom w:val="0"/>
                      <w:divBdr>
                        <w:top w:val="none" w:sz="0" w:space="0" w:color="auto"/>
                        <w:left w:val="none" w:sz="0" w:space="0" w:color="auto"/>
                        <w:bottom w:val="none" w:sz="0" w:space="0" w:color="auto"/>
                        <w:right w:val="none" w:sz="0" w:space="0" w:color="auto"/>
                      </w:divBdr>
                    </w:div>
                    <w:div w:id="14118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335">
              <w:marLeft w:val="0"/>
              <w:marRight w:val="0"/>
              <w:marTop w:val="0"/>
              <w:marBottom w:val="0"/>
              <w:divBdr>
                <w:top w:val="none" w:sz="0" w:space="0" w:color="auto"/>
                <w:left w:val="none" w:sz="0" w:space="0" w:color="auto"/>
                <w:bottom w:val="none" w:sz="0" w:space="0" w:color="auto"/>
                <w:right w:val="none" w:sz="0" w:space="0" w:color="auto"/>
              </w:divBdr>
              <w:divsChild>
                <w:div w:id="1975286355">
                  <w:marLeft w:val="0"/>
                  <w:marRight w:val="0"/>
                  <w:marTop w:val="0"/>
                  <w:marBottom w:val="0"/>
                  <w:divBdr>
                    <w:top w:val="none" w:sz="0" w:space="0" w:color="auto"/>
                    <w:left w:val="none" w:sz="0" w:space="0" w:color="auto"/>
                    <w:bottom w:val="none" w:sz="0" w:space="0" w:color="auto"/>
                    <w:right w:val="none" w:sz="0" w:space="0" w:color="auto"/>
                  </w:divBdr>
                </w:div>
              </w:divsChild>
            </w:div>
            <w:div w:id="2078016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99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0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762187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1514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562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30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2024-09-17T13:37:00Z</dcterms:created>
  <dcterms:modified xsi:type="dcterms:W3CDTF">2024-09-17T13:37:00Z</dcterms:modified>
</cp:coreProperties>
</file>