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68985" w14:textId="77777777" w:rsidR="00382728" w:rsidRPr="00382728" w:rsidRDefault="00382728" w:rsidP="00382728">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382728">
        <w:rPr>
          <w:rFonts w:ascii="Baskerville" w:eastAsia="Times New Roman" w:hAnsi="Baskerville" w:cs="Times New Roman"/>
          <w:b/>
          <w:bCs/>
          <w:color w:val="2F2F2F"/>
          <w:spacing w:val="3"/>
          <w:kern w:val="36"/>
          <w:sz w:val="35"/>
          <w:szCs w:val="35"/>
          <w:lang w:eastAsia="en-GB"/>
        </w:rPr>
        <w:t>Scully v. Middleton, 295 Ark. 603, 751 S.W.2d 5 (1988)</w:t>
      </w:r>
    </w:p>
    <w:p w14:paraId="4AD69087" w14:textId="77777777" w:rsidR="00382728" w:rsidRPr="00382728" w:rsidRDefault="00382728" w:rsidP="00382728">
      <w:pPr>
        <w:shd w:val="clear" w:color="auto" w:fill="FFFFFF"/>
        <w:jc w:val="center"/>
        <w:rPr>
          <w:rFonts w:ascii="Baskerville" w:eastAsia="Times New Roman" w:hAnsi="Baskerville" w:cs="Times New Roman"/>
          <w:color w:val="2F2F2F"/>
          <w:spacing w:val="3"/>
          <w:sz w:val="27"/>
          <w:szCs w:val="27"/>
          <w:lang w:eastAsia="en-GB"/>
        </w:rPr>
      </w:pPr>
      <w:r w:rsidRPr="00382728">
        <w:rPr>
          <w:rFonts w:ascii="Baskerville" w:eastAsia="Times New Roman" w:hAnsi="Baskerville" w:cs="Times New Roman"/>
          <w:color w:val="2F2F2F"/>
          <w:spacing w:val="3"/>
          <w:sz w:val="27"/>
          <w:szCs w:val="27"/>
          <w:lang w:eastAsia="en-GB"/>
        </w:rPr>
        <w:t>May 31, 1988 · Arkansas Supreme Court · 88-30</w:t>
      </w:r>
    </w:p>
    <w:p w14:paraId="24736363" w14:textId="77777777" w:rsidR="00382728" w:rsidRPr="00382728" w:rsidRDefault="00382728" w:rsidP="00382728">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382728">
        <w:rPr>
          <w:rFonts w:ascii="Baskerville" w:eastAsia="Times New Roman" w:hAnsi="Baskerville" w:cs="Times New Roman"/>
          <w:color w:val="2F2F2F"/>
          <w:spacing w:val="3"/>
          <w:sz w:val="27"/>
          <w:szCs w:val="27"/>
          <w:lang w:eastAsia="en-GB"/>
        </w:rPr>
        <w:t>295 Ark. 603, 751 S.W.2d 5</w:t>
      </w:r>
    </w:p>
    <w:p w14:paraId="79B8865B" w14:textId="77777777" w:rsidR="00382728" w:rsidRPr="00382728" w:rsidRDefault="00382728" w:rsidP="00382728">
      <w:pPr>
        <w:shd w:val="clear" w:color="auto" w:fill="FFFFFF"/>
        <w:rPr>
          <w:rFonts w:ascii="Baskerville" w:eastAsia="Times New Roman" w:hAnsi="Baskerville" w:cs="Times New Roman"/>
          <w:color w:val="2F2F2F"/>
          <w:spacing w:val="3"/>
          <w:sz w:val="30"/>
          <w:szCs w:val="30"/>
          <w:lang w:eastAsia="en-GB"/>
        </w:rPr>
      </w:pPr>
      <w:r w:rsidRPr="00382728">
        <w:rPr>
          <w:rFonts w:ascii="Baskerville" w:eastAsia="Times New Roman" w:hAnsi="Baskerville" w:cs="Times New Roman"/>
          <w:color w:val="2F2F2F"/>
          <w:spacing w:val="3"/>
          <w:sz w:val="30"/>
          <w:szCs w:val="30"/>
          <w:lang w:eastAsia="en-GB"/>
        </w:rPr>
        <w:t>John W. SCULLY and Margaret Scully, His Wife</w:t>
      </w:r>
      <w:r w:rsidRPr="00382728">
        <w:rPr>
          <w:rFonts w:ascii="Baskerville" w:eastAsia="Times New Roman" w:hAnsi="Baskerville" w:cs="Times New Roman"/>
          <w:i/>
          <w:iCs/>
          <w:color w:val="2F2F2F"/>
          <w:spacing w:val="3"/>
          <w:sz w:val="30"/>
          <w:szCs w:val="30"/>
          <w:lang w:eastAsia="en-GB"/>
        </w:rPr>
        <w:t>v.</w:t>
      </w:r>
      <w:r w:rsidRPr="00382728">
        <w:rPr>
          <w:rFonts w:ascii="Baskerville" w:eastAsia="Times New Roman" w:hAnsi="Baskerville" w:cs="Times New Roman"/>
          <w:color w:val="2F2F2F"/>
          <w:spacing w:val="3"/>
          <w:sz w:val="30"/>
          <w:szCs w:val="30"/>
          <w:lang w:eastAsia="en-GB"/>
        </w:rPr>
        <w:t>Frederick MIDDLETON</w:t>
      </w:r>
    </w:p>
    <w:p w14:paraId="37075682" w14:textId="77777777" w:rsidR="00382728" w:rsidRPr="00382728" w:rsidRDefault="00382728" w:rsidP="00382728">
      <w:pPr>
        <w:spacing w:before="100" w:beforeAutospacing="1" w:after="100" w:afterAutospacing="1"/>
        <w:rPr>
          <w:rFonts w:ascii="Baskerville" w:eastAsia="Times New Roman" w:hAnsi="Baskerville" w:cs="Times New Roman"/>
          <w:lang w:eastAsia="en-GB"/>
        </w:rPr>
      </w:pPr>
      <w:r w:rsidRPr="00382728">
        <w:rPr>
          <w:rFonts w:ascii="Baskerville" w:eastAsia="Times New Roman" w:hAnsi="Baskerville" w:cs="Times New Roman"/>
          <w:lang w:eastAsia="en-GB"/>
        </w:rPr>
        <w:t>751 S.W.2d 5</w:t>
      </w:r>
    </w:p>
    <w:p w14:paraId="2F8E8009" w14:textId="77777777" w:rsidR="00382728" w:rsidRPr="00382728" w:rsidRDefault="00382728" w:rsidP="00382728">
      <w:pPr>
        <w:spacing w:before="100" w:beforeAutospacing="1" w:after="100" w:afterAutospacing="1"/>
        <w:rPr>
          <w:rFonts w:ascii="Baskerville" w:eastAsia="Times New Roman" w:hAnsi="Baskerville" w:cs="Times New Roman"/>
          <w:lang w:eastAsia="en-GB"/>
        </w:rPr>
      </w:pPr>
      <w:r w:rsidRPr="00382728">
        <w:rPr>
          <w:rFonts w:ascii="Baskerville" w:eastAsia="Times New Roman" w:hAnsi="Baskerville" w:cs="Times New Roman"/>
          <w:lang w:eastAsia="en-GB"/>
        </w:rPr>
        <w:t>Supreme Court of Arkansas</w:t>
      </w:r>
    </w:p>
    <w:p w14:paraId="08D2A5B3" w14:textId="77777777" w:rsidR="00382728" w:rsidRPr="00382728" w:rsidRDefault="00382728" w:rsidP="00382728">
      <w:pPr>
        <w:shd w:val="clear" w:color="auto" w:fill="F7F7F9"/>
        <w:spacing w:before="100" w:beforeAutospacing="1"/>
        <w:rPr>
          <w:rFonts w:ascii="Baskerville" w:eastAsia="Times New Roman" w:hAnsi="Baskerville" w:cs="Times New Roman"/>
          <w:lang w:eastAsia="en-GB"/>
        </w:rPr>
      </w:pPr>
      <w:r w:rsidRPr="00382728">
        <w:rPr>
          <w:rFonts w:ascii="Baskerville" w:eastAsia="Times New Roman" w:hAnsi="Baskerville" w:cs="Times New Roman"/>
          <w:i/>
          <w:iCs/>
          <w:lang w:eastAsia="en-GB"/>
        </w:rPr>
        <w:t>Lesly W. Mattingly, </w:t>
      </w:r>
      <w:r w:rsidRPr="00382728">
        <w:rPr>
          <w:rFonts w:ascii="Baskerville" w:eastAsia="Times New Roman" w:hAnsi="Baskerville" w:cs="Times New Roman"/>
          <w:lang w:eastAsia="en-GB"/>
        </w:rPr>
        <w:t>for appellants.</w:t>
      </w:r>
    </w:p>
    <w:p w14:paraId="142B81FF" w14:textId="77777777" w:rsidR="00382728" w:rsidRPr="00382728" w:rsidRDefault="00382728" w:rsidP="00382728">
      <w:pPr>
        <w:shd w:val="clear" w:color="auto" w:fill="F7F7F9"/>
        <w:rPr>
          <w:rFonts w:ascii="Baskerville" w:eastAsia="Times New Roman" w:hAnsi="Baskerville" w:cs="Times New Roman"/>
          <w:lang w:eastAsia="en-GB"/>
        </w:rPr>
      </w:pPr>
      <w:r w:rsidRPr="00382728">
        <w:rPr>
          <w:rFonts w:ascii="Baskerville" w:eastAsia="Times New Roman" w:hAnsi="Baskerville" w:cs="Times New Roman"/>
          <w:i/>
          <w:iCs/>
          <w:lang w:eastAsia="en-GB"/>
        </w:rPr>
        <w:t>Matthews &amp; Sanders, </w:t>
      </w:r>
      <w:r w:rsidRPr="00382728">
        <w:rPr>
          <w:rFonts w:ascii="Baskerville" w:eastAsia="Times New Roman" w:hAnsi="Baskerville" w:cs="Times New Roman"/>
          <w:lang w:eastAsia="en-GB"/>
        </w:rPr>
        <w:t>by: </w:t>
      </w:r>
      <w:r w:rsidRPr="00382728">
        <w:rPr>
          <w:rFonts w:ascii="Baskerville" w:eastAsia="Times New Roman" w:hAnsi="Baskerville" w:cs="Times New Roman"/>
          <w:i/>
          <w:iCs/>
          <w:lang w:eastAsia="en-GB"/>
        </w:rPr>
        <w:t>Marci Talbot Liles, </w:t>
      </w:r>
      <w:r w:rsidRPr="00382728">
        <w:rPr>
          <w:rFonts w:ascii="Baskerville" w:eastAsia="Times New Roman" w:hAnsi="Baskerville" w:cs="Times New Roman"/>
          <w:lang w:eastAsia="en-GB"/>
        </w:rPr>
        <w:t>for appellee.</w:t>
      </w:r>
    </w:p>
    <w:p w14:paraId="6426CF6D" w14:textId="77777777" w:rsidR="00382728" w:rsidRPr="00382728" w:rsidRDefault="00382728" w:rsidP="00382728">
      <w:pPr>
        <w:spacing w:before="100" w:beforeAutospacing="1" w:after="225"/>
        <w:rPr>
          <w:rFonts w:ascii="Baskerville" w:eastAsia="Times New Roman" w:hAnsi="Baskerville" w:cs="Times New Roman"/>
          <w:color w:val="E878FF"/>
          <w:lang w:eastAsia="en-GB"/>
        </w:rPr>
      </w:pPr>
      <w:r w:rsidRPr="00382728">
        <w:rPr>
          <w:rFonts w:ascii="Baskerville" w:eastAsia="Times New Roman" w:hAnsi="Baskerville" w:cs="Times New Roman"/>
          <w:color w:val="E878FF"/>
          <w:lang w:eastAsia="en-GB"/>
        </w:rPr>
        <w:t>Tom Glaze, Justice.</w:t>
      </w:r>
    </w:p>
    <w:p w14:paraId="3FF086DA" w14:textId="751025B6"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This is an appeal from the trial court’s granting of the appellee’s motion for summary judgment in </w:t>
      </w:r>
      <w:r w:rsidRPr="00382728">
        <w:rPr>
          <w:rFonts w:ascii="Baskerville" w:eastAsia="Times New Roman" w:hAnsi="Baskerville" w:cs="Times New Roman"/>
          <w:i/>
          <w:iCs/>
          <w:color w:val="979797"/>
          <w:sz w:val="19"/>
          <w:szCs w:val="19"/>
          <w:u w:val="single"/>
          <w:lang w:eastAsia="en-GB"/>
        </w:rPr>
        <w:t>*604</w:t>
      </w:r>
      <w:r w:rsidRPr="00382728">
        <w:rPr>
          <w:rFonts w:ascii="Baskerville" w:eastAsia="Times New Roman" w:hAnsi="Baskerville" w:cs="Times New Roman"/>
          <w:lang w:eastAsia="en-GB"/>
        </w:rPr>
        <w:t>appellants’ tort cause of action. Appellants’ sole point for reversal is that the trial court erred in its ruling that there were no genuine issues of fact to be determined and that the appellants were not entitled to recover from the appellee as a matter of law. We find no error, and therefore we affirm.</w:t>
      </w:r>
    </w:p>
    <w:p w14:paraId="09723583" w14:textId="77777777" w:rsidR="00382728" w:rsidRPr="00382728" w:rsidRDefault="00382728" w:rsidP="00382728">
      <w:pPr>
        <w:spacing w:before="100" w:beforeAutospacing="1"/>
        <w:rPr>
          <w:rFonts w:ascii="Baskerville" w:eastAsia="Times New Roman" w:hAnsi="Baskerville" w:cs="Times New Roman"/>
          <w:lang w:eastAsia="en-GB"/>
        </w:rPr>
      </w:pPr>
      <w:r w:rsidRPr="00382728">
        <w:rPr>
          <w:rFonts w:ascii="Baskerville" w:eastAsia="Times New Roman" w:hAnsi="Baskerville" w:cs="Times New Roman"/>
          <w:highlight w:val="yellow"/>
          <w:lang w:eastAsia="en-GB"/>
        </w:rPr>
        <w:t>Appellant John Scully and a co-worker, Bruce A. Jones, were performing construction work on appellee’s property when Jones was injured by a shock he sustained from a defective electrical outlet.</w:t>
      </w:r>
      <w:hyperlink r:id="rId4" w:anchor="footnote_1_1" w:history="1">
        <w:r w:rsidRPr="00382728">
          <w:rPr>
            <w:rFonts w:ascii="Baskerville" w:eastAsia="Times New Roman" w:hAnsi="Baskerville" w:cs="Times New Roman"/>
            <w:b/>
            <w:bCs/>
            <w:color w:val="E878FF"/>
            <w:highlight w:val="yellow"/>
            <w:u w:val="single"/>
            <w:vertAlign w:val="superscript"/>
            <w:lang w:eastAsia="en-GB"/>
          </w:rPr>
          <w:t>1</w:t>
        </w:r>
      </w:hyperlink>
      <w:r w:rsidRPr="00382728">
        <w:rPr>
          <w:rFonts w:ascii="Baskerville" w:eastAsia="Times New Roman" w:hAnsi="Baskerville" w:cs="Times New Roman"/>
          <w:highlight w:val="yellow"/>
          <w:lang w:eastAsia="en-GB"/>
        </w:rPr>
        <w:t> Almost three weeks later, Jones, while putting up trusses with Scully, suffered a black-out or fainting spell allegedly caused by his injuries from the electrical shock. When Jones blacked out he lost control of the truss causing it to fall, knocking Scully to the floor and injuring him. Scully and his wife filed suit against the appellee for the damages arising from his injuries.</w:t>
      </w:r>
    </w:p>
    <w:p w14:paraId="7D7B8DAC" w14:textId="2108CB73"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As we have stated numerous times, summary judgment is an extreme remedy which will be granted only when there is no genuine issue of material fact. </w:t>
      </w:r>
      <w:r w:rsidRPr="00382728">
        <w:rPr>
          <w:rFonts w:ascii="Baskerville" w:eastAsia="Times New Roman" w:hAnsi="Baskerville" w:cs="Times New Roman"/>
          <w:i/>
          <w:iCs/>
          <w:lang w:eastAsia="en-GB"/>
        </w:rPr>
        <w:t>See, e.g., Ford </w:t>
      </w:r>
      <w:r w:rsidRPr="00382728">
        <w:rPr>
          <w:rFonts w:ascii="Baskerville" w:eastAsia="Times New Roman" w:hAnsi="Baskerville" w:cs="Times New Roman"/>
          <w:lang w:eastAsia="en-GB"/>
        </w:rPr>
        <w:t>v. </w:t>
      </w:r>
      <w:r w:rsidRPr="00382728">
        <w:rPr>
          <w:rFonts w:ascii="Baskerville" w:eastAsia="Times New Roman" w:hAnsi="Baskerville" w:cs="Times New Roman"/>
          <w:i/>
          <w:iCs/>
          <w:lang w:eastAsia="en-GB"/>
        </w:rPr>
        <w:t>Cunningham, </w:t>
      </w:r>
      <w:r w:rsidRPr="00382728">
        <w:rPr>
          <w:rFonts w:ascii="Baskerville" w:eastAsia="Times New Roman" w:hAnsi="Baskerville" w:cs="Times New Roman"/>
          <w:color w:val="007BFF"/>
          <w:u w:val="single"/>
          <w:lang w:eastAsia="en-GB"/>
        </w:rPr>
        <w:t>291 Ark. 56</w:t>
      </w:r>
      <w:r w:rsidRPr="00382728">
        <w:rPr>
          <w:rFonts w:ascii="Baskerville" w:eastAsia="Times New Roman" w:hAnsi="Baskerville" w:cs="Times New Roman"/>
          <w:lang w:eastAsia="en-GB"/>
        </w:rPr>
        <w:t>, </w:t>
      </w:r>
      <w:hyperlink r:id="rId5" w:history="1">
        <w:r w:rsidRPr="00382728">
          <w:rPr>
            <w:rFonts w:ascii="Baskerville" w:eastAsia="Times New Roman" w:hAnsi="Baskerville" w:cs="Times New Roman"/>
            <w:color w:val="007BFF"/>
            <w:u w:val="single"/>
            <w:lang w:eastAsia="en-GB"/>
          </w:rPr>
          <w:t>722 S.W.2d 567</w:t>
        </w:r>
      </w:hyperlink>
      <w:r w:rsidRPr="00382728">
        <w:rPr>
          <w:rFonts w:ascii="Baskerville" w:eastAsia="Times New Roman" w:hAnsi="Baskerville" w:cs="Times New Roman"/>
          <w:lang w:eastAsia="en-GB"/>
        </w:rPr>
        <w:t> (1987). In reviewing the granting of summary judgment, this court has stated that the burden of proving that there is no genuine issue of fact is upon the moving party. All proof submitted must be viewed in the light most favorable to the party resisting the motion and any doubts and inferences must be resolved against the moving party. </w:t>
      </w:r>
      <w:r w:rsidRPr="00382728">
        <w:rPr>
          <w:rFonts w:ascii="Baskerville" w:eastAsia="Times New Roman" w:hAnsi="Baskerville" w:cs="Times New Roman"/>
          <w:i/>
          <w:iCs/>
          <w:color w:val="007BFF"/>
          <w:u w:val="single"/>
          <w:lang w:eastAsia="en-GB"/>
        </w:rPr>
        <w:t>Id.</w:t>
      </w:r>
    </w:p>
    <w:p w14:paraId="07F6EA56" w14:textId="77777777"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In order to prove liability in this tort case, appellants must allege and show that appellee committed a negligent act and that the negligent act was the proximate cause of the injury. Appellants have failed in both respects, but we need only limit our discussion to the negligence issue.</w:t>
      </w:r>
    </w:p>
    <w:p w14:paraId="2688999E" w14:textId="2A2C8B22"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Negligence is defined as the failure to do something which a reasonably careful person would do, or the doing of something which a reasonably careful person would not do, under circumstances similar to those shown by the evidence. </w:t>
      </w:r>
      <w:r w:rsidRPr="00382728">
        <w:rPr>
          <w:rFonts w:ascii="Baskerville" w:eastAsia="Times New Roman" w:hAnsi="Baskerville" w:cs="Times New Roman"/>
          <w:i/>
          <w:iCs/>
          <w:lang w:eastAsia="en-GB"/>
        </w:rPr>
        <w:t>St. Mary’s Hosp. </w:t>
      </w:r>
      <w:r w:rsidRPr="00382728">
        <w:rPr>
          <w:rFonts w:ascii="Baskerville" w:eastAsia="Times New Roman" w:hAnsi="Baskerville" w:cs="Times New Roman"/>
          <w:lang w:eastAsia="en-GB"/>
        </w:rPr>
        <w:t>v. </w:t>
      </w:r>
      <w:r w:rsidRPr="00382728">
        <w:rPr>
          <w:rFonts w:ascii="Baskerville" w:eastAsia="Times New Roman" w:hAnsi="Baskerville" w:cs="Times New Roman"/>
          <w:i/>
          <w:iCs/>
          <w:lang w:eastAsia="en-GB"/>
        </w:rPr>
        <w:t>Bynum, </w:t>
      </w:r>
      <w:hyperlink r:id="rId6" w:history="1">
        <w:r w:rsidRPr="00382728">
          <w:rPr>
            <w:rFonts w:ascii="Baskerville" w:eastAsia="Times New Roman" w:hAnsi="Baskerville" w:cs="Times New Roman"/>
            <w:color w:val="007BFF"/>
            <w:u w:val="single"/>
            <w:lang w:eastAsia="en-GB"/>
          </w:rPr>
          <w:t>264 Ark. 691</w:t>
        </w:r>
      </w:hyperlink>
      <w:r w:rsidRPr="00382728">
        <w:rPr>
          <w:rFonts w:ascii="Baskerville" w:eastAsia="Times New Roman" w:hAnsi="Baskerville" w:cs="Times New Roman"/>
          <w:lang w:eastAsia="en-GB"/>
        </w:rPr>
        <w:t>, </w:t>
      </w:r>
      <w:r w:rsidRPr="00382728">
        <w:rPr>
          <w:rFonts w:ascii="Baskerville" w:eastAsia="Times New Roman" w:hAnsi="Baskerville" w:cs="Times New Roman"/>
          <w:color w:val="007BFF"/>
          <w:u w:val="single"/>
          <w:lang w:eastAsia="en-GB"/>
        </w:rPr>
        <w:t>573 S.W.2d 914</w:t>
      </w:r>
      <w:r w:rsidRPr="00382728">
        <w:rPr>
          <w:rFonts w:ascii="Baskerville" w:eastAsia="Times New Roman" w:hAnsi="Baskerville" w:cs="Times New Roman"/>
          <w:lang w:eastAsia="en-GB"/>
        </w:rPr>
        <w:t> (1978), citing AMI Civil 2d, 301. To constitute negligence, an act must be one </w:t>
      </w:r>
      <w:hyperlink r:id="rId7" w:anchor="p605" w:history="1">
        <w:r w:rsidRPr="00382728">
          <w:rPr>
            <w:rFonts w:ascii="Baskerville" w:eastAsia="Times New Roman" w:hAnsi="Baskerville" w:cs="Times New Roman"/>
            <w:i/>
            <w:iCs/>
            <w:color w:val="979797"/>
            <w:sz w:val="19"/>
            <w:szCs w:val="19"/>
            <w:u w:val="single"/>
            <w:lang w:eastAsia="en-GB"/>
          </w:rPr>
          <w:t>*605</w:t>
        </w:r>
      </w:hyperlink>
      <w:r w:rsidRPr="00382728">
        <w:rPr>
          <w:rFonts w:ascii="Baskerville" w:eastAsia="Times New Roman" w:hAnsi="Baskerville" w:cs="Times New Roman"/>
          <w:lang w:eastAsia="en-GB"/>
        </w:rPr>
        <w:t>from which a reasonably careful person would foresee such an appreciable risk of harm to others as to cause him not to do the act, or to do it in a more careful manner. </w:t>
      </w:r>
      <w:r w:rsidRPr="00382728">
        <w:rPr>
          <w:rFonts w:ascii="Baskerville" w:eastAsia="Times New Roman" w:hAnsi="Baskerville" w:cs="Times New Roman"/>
          <w:i/>
          <w:iCs/>
          <w:color w:val="007BFF"/>
          <w:u w:val="single"/>
          <w:lang w:eastAsia="en-GB"/>
        </w:rPr>
        <w:t>Id.</w:t>
      </w:r>
      <w:r w:rsidRPr="00382728">
        <w:rPr>
          <w:rFonts w:ascii="Baskerville" w:eastAsia="Times New Roman" w:hAnsi="Baskerville" w:cs="Times New Roman"/>
          <w:i/>
          <w:iCs/>
          <w:lang w:eastAsia="en-GB"/>
        </w:rPr>
        <w:t> </w:t>
      </w:r>
      <w:r w:rsidRPr="00382728">
        <w:rPr>
          <w:rFonts w:ascii="Baskerville" w:eastAsia="Times New Roman" w:hAnsi="Baskerville" w:cs="Times New Roman"/>
          <w:lang w:eastAsia="en-GB"/>
        </w:rPr>
        <w:t xml:space="preserve">We </w:t>
      </w:r>
      <w:r w:rsidRPr="00382728">
        <w:rPr>
          <w:rFonts w:ascii="Baskerville" w:eastAsia="Times New Roman" w:hAnsi="Baskerville" w:cs="Times New Roman"/>
          <w:lang w:eastAsia="en-GB"/>
        </w:rPr>
        <w:lastRenderedPageBreak/>
        <w:t>have held that before a negligent act may be used as the basis to recover damages, there must be a showing that the negligent act proximately caused the damages sustained and that such damages were reasonably foreseeable. </w:t>
      </w:r>
      <w:r w:rsidRPr="00382728">
        <w:rPr>
          <w:rFonts w:ascii="Baskerville" w:eastAsia="Times New Roman" w:hAnsi="Baskerville" w:cs="Times New Roman"/>
          <w:i/>
          <w:iCs/>
          <w:highlight w:val="cyan"/>
          <w:lang w:eastAsia="en-GB"/>
        </w:rPr>
        <w:t>Dongary Holstein Leasing, Inc. </w:t>
      </w:r>
      <w:r w:rsidRPr="00382728">
        <w:rPr>
          <w:rFonts w:ascii="Baskerville" w:eastAsia="Times New Roman" w:hAnsi="Baskerville" w:cs="Times New Roman"/>
          <w:highlight w:val="cyan"/>
          <w:lang w:eastAsia="en-GB"/>
        </w:rPr>
        <w:t>v. </w:t>
      </w:r>
      <w:r w:rsidRPr="00382728">
        <w:rPr>
          <w:rFonts w:ascii="Baskerville" w:eastAsia="Times New Roman" w:hAnsi="Baskerville" w:cs="Times New Roman"/>
          <w:i/>
          <w:iCs/>
          <w:highlight w:val="cyan"/>
          <w:lang w:eastAsia="en-GB"/>
        </w:rPr>
        <w:t>Covington, </w:t>
      </w:r>
      <w:hyperlink r:id="rId8" w:history="1">
        <w:r w:rsidRPr="00382728">
          <w:rPr>
            <w:rFonts w:ascii="Baskerville" w:eastAsia="Times New Roman" w:hAnsi="Baskerville" w:cs="Times New Roman"/>
            <w:color w:val="007BFF"/>
            <w:highlight w:val="cyan"/>
            <w:u w:val="single"/>
            <w:lang w:eastAsia="en-GB"/>
          </w:rPr>
          <w:t>293 Ark. 112</w:t>
        </w:r>
      </w:hyperlink>
      <w:r w:rsidRPr="00382728">
        <w:rPr>
          <w:rFonts w:ascii="Baskerville" w:eastAsia="Times New Roman" w:hAnsi="Baskerville" w:cs="Times New Roman"/>
          <w:highlight w:val="cyan"/>
          <w:lang w:eastAsia="en-GB"/>
        </w:rPr>
        <w:t>, </w:t>
      </w:r>
      <w:r w:rsidRPr="00382728">
        <w:rPr>
          <w:rFonts w:ascii="Baskerville" w:eastAsia="Times New Roman" w:hAnsi="Baskerville" w:cs="Times New Roman"/>
          <w:color w:val="007BFF"/>
          <w:highlight w:val="cyan"/>
          <w:u w:val="single"/>
          <w:lang w:eastAsia="en-GB"/>
        </w:rPr>
        <w:t>732 S.W.2d 465</w:t>
      </w:r>
      <w:r w:rsidRPr="00382728">
        <w:rPr>
          <w:rFonts w:ascii="Baskerville" w:eastAsia="Times New Roman" w:hAnsi="Baskerville" w:cs="Times New Roman"/>
          <w:highlight w:val="cyan"/>
          <w:lang w:eastAsia="en-GB"/>
        </w:rPr>
        <w:t> (1987)</w:t>
      </w:r>
      <w:r w:rsidRPr="00382728">
        <w:rPr>
          <w:rFonts w:ascii="Baskerville" w:eastAsia="Times New Roman" w:hAnsi="Baskerville" w:cs="Times New Roman"/>
          <w:lang w:eastAsia="en-GB"/>
        </w:rPr>
        <w:t>; </w:t>
      </w:r>
      <w:r w:rsidRPr="00382728">
        <w:rPr>
          <w:rFonts w:ascii="Baskerville" w:eastAsia="Times New Roman" w:hAnsi="Baskerville" w:cs="Times New Roman"/>
          <w:i/>
          <w:iCs/>
          <w:lang w:eastAsia="en-GB"/>
        </w:rPr>
        <w:t>see also Jordan </w:t>
      </w:r>
      <w:r w:rsidRPr="00382728">
        <w:rPr>
          <w:rFonts w:ascii="Baskerville" w:eastAsia="Times New Roman" w:hAnsi="Baskerville" w:cs="Times New Roman"/>
          <w:lang w:eastAsia="en-GB"/>
        </w:rPr>
        <w:t>v. </w:t>
      </w:r>
      <w:r w:rsidRPr="00382728">
        <w:rPr>
          <w:rFonts w:ascii="Baskerville" w:eastAsia="Times New Roman" w:hAnsi="Baskerville" w:cs="Times New Roman"/>
          <w:i/>
          <w:iCs/>
          <w:lang w:eastAsia="en-GB"/>
        </w:rPr>
        <w:t>Adams, </w:t>
      </w:r>
      <w:hyperlink r:id="rId9" w:history="1">
        <w:r w:rsidRPr="00382728">
          <w:rPr>
            <w:rFonts w:ascii="Baskerville" w:eastAsia="Times New Roman" w:hAnsi="Baskerville" w:cs="Times New Roman"/>
            <w:color w:val="007BFF"/>
            <w:u w:val="single"/>
            <w:lang w:eastAsia="en-GB"/>
          </w:rPr>
          <w:t>259 Ark. 407</w:t>
        </w:r>
      </w:hyperlink>
      <w:r w:rsidRPr="00382728">
        <w:rPr>
          <w:rFonts w:ascii="Baskerville" w:eastAsia="Times New Roman" w:hAnsi="Baskerville" w:cs="Times New Roman"/>
          <w:lang w:eastAsia="en-GB"/>
        </w:rPr>
        <w:t>, </w:t>
      </w:r>
      <w:r w:rsidRPr="00382728">
        <w:rPr>
          <w:rFonts w:ascii="Baskerville" w:eastAsia="Times New Roman" w:hAnsi="Baskerville" w:cs="Times New Roman"/>
          <w:color w:val="007BFF"/>
          <w:u w:val="single"/>
          <w:lang w:eastAsia="en-GB"/>
        </w:rPr>
        <w:t>533 S.W.2d 210</w:t>
      </w:r>
      <w:r w:rsidRPr="00382728">
        <w:rPr>
          <w:rFonts w:ascii="Baskerville" w:eastAsia="Times New Roman" w:hAnsi="Baskerville" w:cs="Times New Roman"/>
          <w:lang w:eastAsia="en-GB"/>
        </w:rPr>
        <w:t> (1976); </w:t>
      </w:r>
      <w:r w:rsidRPr="00382728">
        <w:rPr>
          <w:rFonts w:ascii="Baskerville" w:eastAsia="Times New Roman" w:hAnsi="Baskerville" w:cs="Times New Roman"/>
          <w:i/>
          <w:iCs/>
          <w:lang w:eastAsia="en-GB"/>
        </w:rPr>
        <w:t>Missouri Pacific R.R. Co. </w:t>
      </w:r>
      <w:r w:rsidRPr="00382728">
        <w:rPr>
          <w:rFonts w:ascii="Baskerville" w:eastAsia="Times New Roman" w:hAnsi="Baskerville" w:cs="Times New Roman"/>
          <w:lang w:eastAsia="en-GB"/>
        </w:rPr>
        <w:t>v. </w:t>
      </w:r>
      <w:r w:rsidRPr="00382728">
        <w:rPr>
          <w:rFonts w:ascii="Baskerville" w:eastAsia="Times New Roman" w:hAnsi="Baskerville" w:cs="Times New Roman"/>
          <w:i/>
          <w:iCs/>
          <w:lang w:eastAsia="en-GB"/>
        </w:rPr>
        <w:t>Johnson, </w:t>
      </w:r>
      <w:hyperlink r:id="rId10" w:history="1">
        <w:r w:rsidRPr="00382728">
          <w:rPr>
            <w:rFonts w:ascii="Baskerville" w:eastAsia="Times New Roman" w:hAnsi="Baskerville" w:cs="Times New Roman"/>
            <w:color w:val="007BFF"/>
            <w:u w:val="single"/>
            <w:lang w:eastAsia="en-GB"/>
          </w:rPr>
          <w:t>198 Ark. 1134</w:t>
        </w:r>
      </w:hyperlink>
      <w:r w:rsidRPr="00382728">
        <w:rPr>
          <w:rFonts w:ascii="Baskerville" w:eastAsia="Times New Roman" w:hAnsi="Baskerville" w:cs="Times New Roman"/>
          <w:lang w:eastAsia="en-GB"/>
        </w:rPr>
        <w:t>, </w:t>
      </w:r>
      <w:r w:rsidRPr="00382728">
        <w:rPr>
          <w:rFonts w:ascii="Baskerville" w:eastAsia="Times New Roman" w:hAnsi="Baskerville" w:cs="Times New Roman"/>
          <w:color w:val="007BFF"/>
          <w:u w:val="single"/>
          <w:lang w:eastAsia="en-GB"/>
        </w:rPr>
        <w:t>133 S.W.2d 33</w:t>
      </w:r>
      <w:r w:rsidRPr="00382728">
        <w:rPr>
          <w:rFonts w:ascii="Baskerville" w:eastAsia="Times New Roman" w:hAnsi="Baskerville" w:cs="Times New Roman"/>
          <w:lang w:eastAsia="en-GB"/>
        </w:rPr>
        <w:t> (1939).</w:t>
      </w:r>
    </w:p>
    <w:p w14:paraId="617A1AF6" w14:textId="77777777"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When considering the definition of negligence, specifically the foreseeability requirement, as applied to the undisputed facts in this case, we believe only one conclusion can be reached, </w:t>
      </w:r>
      <w:r w:rsidRPr="00382728">
        <w:rPr>
          <w:rFonts w:ascii="Baskerville" w:eastAsia="Times New Roman" w:hAnsi="Baskerville" w:cs="Times New Roman"/>
          <w:i/>
          <w:iCs/>
          <w:lang w:eastAsia="en-GB"/>
        </w:rPr>
        <w:t>viz., </w:t>
      </w:r>
      <w:r w:rsidRPr="00382728">
        <w:rPr>
          <w:rFonts w:ascii="Baskerville" w:eastAsia="Times New Roman" w:hAnsi="Baskerville" w:cs="Times New Roman"/>
          <w:highlight w:val="green"/>
          <w:lang w:eastAsia="en-GB"/>
        </w:rPr>
        <w:t>John Scully’s injuries could not have been reasonably foreseen by the appellee. If the question posed here were whether Jones’s, not Scully’s, injury was foreseeable, the answer clearly would be yes, since any person, who provided a faulty electrical outlet, could have reasonably anticipated a worker using that outlet might sustain an injury. Here, however, Scully’s injuries were not caused by appellee’s defective electrical outlet, but instead his injuries allegedly resulted from a truss that fell on Scully because Jones purportedly blacked-out from the electrical shock he sustained three weeks earlier.</w:t>
      </w:r>
      <w:r w:rsidRPr="00382728">
        <w:rPr>
          <w:rFonts w:ascii="Baskerville" w:eastAsia="Times New Roman" w:hAnsi="Baskerville" w:cs="Times New Roman"/>
          <w:lang w:eastAsia="en-GB"/>
        </w:rPr>
        <w:t xml:space="preserve"> On these facts, we are unwilling to hold Scully’s injuries were the result of appellee’s negligence.</w:t>
      </w:r>
    </w:p>
    <w:p w14:paraId="24694408" w14:textId="77777777" w:rsidR="00382728" w:rsidRPr="00382728" w:rsidRDefault="00382728" w:rsidP="00382728">
      <w:pPr>
        <w:spacing w:before="100" w:beforeAutospacing="1" w:after="225"/>
        <w:rPr>
          <w:rFonts w:ascii="Baskerville" w:eastAsia="Times New Roman" w:hAnsi="Baskerville" w:cs="Times New Roman"/>
          <w:lang w:eastAsia="en-GB"/>
        </w:rPr>
      </w:pPr>
      <w:r w:rsidRPr="00382728">
        <w:rPr>
          <w:rFonts w:ascii="Baskerville" w:eastAsia="Times New Roman" w:hAnsi="Baskerville" w:cs="Times New Roman"/>
          <w:lang w:eastAsia="en-GB"/>
        </w:rPr>
        <w:t xml:space="preserve">Because we agree with the trial court’s finding that appellants were not entitled to a recovery from the appellee as a matter of law, </w:t>
      </w:r>
      <w:r w:rsidRPr="00382728">
        <w:rPr>
          <w:rFonts w:ascii="Baskerville" w:eastAsia="Times New Roman" w:hAnsi="Baskerville" w:cs="Times New Roman"/>
          <w:highlight w:val="red"/>
          <w:lang w:eastAsia="en-GB"/>
        </w:rPr>
        <w:t>we affirm the court’s decision granting appellee’s motion for summary judgment and dismissing this cause.</w:t>
      </w:r>
    </w:p>
    <w:p w14:paraId="0DD51D59" w14:textId="71480177" w:rsidR="00382728" w:rsidRPr="00382728" w:rsidRDefault="00DF2471" w:rsidP="00382728">
      <w:pPr>
        <w:rPr>
          <w:rFonts w:ascii="Times New Roman" w:eastAsia="Times New Roman" w:hAnsi="Times New Roman" w:cs="Times New Roman"/>
          <w:lang w:eastAsia="en-GB"/>
        </w:rPr>
      </w:pPr>
      <w:hyperlink r:id="rId11" w:anchor="ref_footnote_1_1" w:history="1">
        <w:r w:rsidR="00382728" w:rsidRPr="00382728">
          <w:rPr>
            <w:rFonts w:ascii="Baskerville" w:eastAsia="Times New Roman" w:hAnsi="Baskerville" w:cs="Times New Roman"/>
            <w:b/>
            <w:bCs/>
            <w:color w:val="E878FF"/>
            <w:u w:val="single"/>
            <w:lang w:eastAsia="en-GB"/>
          </w:rPr>
          <w:t>1</w:t>
        </w:r>
      </w:hyperlink>
      <w:r w:rsidR="00382728">
        <w:rPr>
          <w:rFonts w:ascii="Times New Roman" w:eastAsia="Times New Roman" w:hAnsi="Times New Roman" w:cs="Times New Roman"/>
          <w:lang w:eastAsia="en-GB"/>
        </w:rPr>
        <w:t xml:space="preserve"> </w:t>
      </w:r>
      <w:r w:rsidR="00382728" w:rsidRPr="00382728">
        <w:rPr>
          <w:rFonts w:ascii="Baskerville" w:eastAsia="Times New Roman" w:hAnsi="Baskerville" w:cs="Times New Roman"/>
          <w:lang w:eastAsia="en-GB"/>
        </w:rPr>
        <w:t>For purposes of this appeal, the parties agreed that the electrical outlet was defective.</w:t>
      </w:r>
    </w:p>
    <w:p w14:paraId="548D7A05" w14:textId="0E7320EE" w:rsidR="00DF2471" w:rsidRDefault="00DF2471"/>
    <w:p w14:paraId="71C3008E" w14:textId="10EE7AD4" w:rsidR="00473E37" w:rsidRDefault="00473E37">
      <w:r>
        <w:t xml:space="preserve">Plain English Summary: One worker had been injured because of a faulty power socket. A few weeks later he blacked out, presumably as a result of that injury, and, in his fall, injured one of his co-workers. The co-worker attempted to claim damages against the owner of the property with the faulty power socket. The Court found that these damages were not reasonable foreseeable. </w:t>
      </w:r>
    </w:p>
    <w:p w14:paraId="27EAC83F" w14:textId="7510D952" w:rsidR="00473E37" w:rsidRDefault="00473E37"/>
    <w:p w14:paraId="226E2716" w14:textId="0AEB8766" w:rsidR="00473E37" w:rsidRDefault="00473E37">
      <w:r>
        <w:t xml:space="preserve">§3; §4; §7(a). </w:t>
      </w:r>
    </w:p>
    <w:sectPr w:rsidR="00473E37"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28"/>
    <w:rsid w:val="001C6658"/>
    <w:rsid w:val="00382728"/>
    <w:rsid w:val="00473E37"/>
    <w:rsid w:val="00961520"/>
    <w:rsid w:val="00C416CA"/>
    <w:rsid w:val="00DD33B0"/>
    <w:rsid w:val="00DF2471"/>
    <w:rsid w:val="00E64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D51"/>
  <w15:chartTrackingRefBased/>
  <w15:docId w15:val="{78A0361F-5633-0D46-BB09-6CAD4E7A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7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2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82728"/>
  </w:style>
  <w:style w:type="character" w:customStyle="1" w:styleId="court-name">
    <w:name w:val="court-name"/>
    <w:basedOn w:val="DefaultParagraphFont"/>
    <w:rsid w:val="00382728"/>
  </w:style>
  <w:style w:type="character" w:customStyle="1" w:styleId="docket-number">
    <w:name w:val="docket-number"/>
    <w:basedOn w:val="DefaultParagraphFont"/>
    <w:rsid w:val="00382728"/>
  </w:style>
  <w:style w:type="character" w:customStyle="1" w:styleId="case-name-v">
    <w:name w:val="case-name-v"/>
    <w:basedOn w:val="DefaultParagraphFont"/>
    <w:rsid w:val="00382728"/>
  </w:style>
  <w:style w:type="paragraph" w:customStyle="1" w:styleId="citation">
    <w:name w:val="citation"/>
    <w:basedOn w:val="Normal"/>
    <w:rsid w:val="00382728"/>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8272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38272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82728"/>
    <w:rPr>
      <w:i/>
      <w:iCs/>
    </w:rPr>
  </w:style>
  <w:style w:type="paragraph" w:customStyle="1" w:styleId="author">
    <w:name w:val="author"/>
    <w:basedOn w:val="Normal"/>
    <w:rsid w:val="0038272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38272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2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136248">
      <w:bodyDiv w:val="1"/>
      <w:marLeft w:val="0"/>
      <w:marRight w:val="0"/>
      <w:marTop w:val="0"/>
      <w:marBottom w:val="0"/>
      <w:divBdr>
        <w:top w:val="none" w:sz="0" w:space="0" w:color="auto"/>
        <w:left w:val="none" w:sz="0" w:space="0" w:color="auto"/>
        <w:bottom w:val="none" w:sz="0" w:space="0" w:color="auto"/>
        <w:right w:val="none" w:sz="0" w:space="0" w:color="auto"/>
      </w:divBdr>
      <w:divsChild>
        <w:div w:id="615869982">
          <w:marLeft w:val="0"/>
          <w:marRight w:val="0"/>
          <w:marTop w:val="0"/>
          <w:marBottom w:val="0"/>
          <w:divBdr>
            <w:top w:val="none" w:sz="0" w:space="0" w:color="auto"/>
            <w:left w:val="none" w:sz="0" w:space="0" w:color="auto"/>
            <w:bottom w:val="none" w:sz="0" w:space="0" w:color="auto"/>
            <w:right w:val="none" w:sz="0" w:space="0" w:color="auto"/>
          </w:divBdr>
        </w:div>
        <w:div w:id="449206161">
          <w:marLeft w:val="0"/>
          <w:marRight w:val="0"/>
          <w:marTop w:val="0"/>
          <w:marBottom w:val="0"/>
          <w:divBdr>
            <w:top w:val="none" w:sz="0" w:space="0" w:color="auto"/>
            <w:left w:val="none" w:sz="0" w:space="0" w:color="auto"/>
            <w:bottom w:val="none" w:sz="0" w:space="0" w:color="auto"/>
            <w:right w:val="none" w:sz="0" w:space="0" w:color="auto"/>
          </w:divBdr>
        </w:div>
        <w:div w:id="1548450897">
          <w:marLeft w:val="0"/>
          <w:marRight w:val="0"/>
          <w:marTop w:val="0"/>
          <w:marBottom w:val="0"/>
          <w:divBdr>
            <w:top w:val="none" w:sz="0" w:space="0" w:color="auto"/>
            <w:left w:val="none" w:sz="0" w:space="0" w:color="auto"/>
            <w:bottom w:val="none" w:sz="0" w:space="0" w:color="auto"/>
            <w:right w:val="none" w:sz="0" w:space="0" w:color="auto"/>
          </w:divBdr>
          <w:divsChild>
            <w:div w:id="2134903711">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93/1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ark/295/60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64/691/" TargetMode="External"/><Relationship Id="rId11" Type="http://schemas.openxmlformats.org/officeDocument/2006/relationships/hyperlink" Target="https://cite.case.law/ark/295/603/" TargetMode="External"/><Relationship Id="rId5" Type="http://schemas.openxmlformats.org/officeDocument/2006/relationships/hyperlink" Target="https://cite.case.law/ark/291/56/" TargetMode="External"/><Relationship Id="rId10" Type="http://schemas.openxmlformats.org/officeDocument/2006/relationships/hyperlink" Target="https://cite.case.law/ark/198/1134/" TargetMode="External"/><Relationship Id="rId4" Type="http://schemas.openxmlformats.org/officeDocument/2006/relationships/hyperlink" Target="https://cite.case.law/ark/295/603/" TargetMode="External"/><Relationship Id="rId9" Type="http://schemas.openxmlformats.org/officeDocument/2006/relationships/hyperlink" Target="https://cite.case.law/ark/259/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2024-09-17T13:37:00Z</dcterms:created>
  <dcterms:modified xsi:type="dcterms:W3CDTF">2024-09-17T13:37:00Z</dcterms:modified>
</cp:coreProperties>
</file>