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E3A4" w14:textId="77777777" w:rsidR="00892D12" w:rsidRPr="00892D12" w:rsidRDefault="00892D12" w:rsidP="00892D1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92D12">
        <w:rPr>
          <w:rFonts w:ascii="Times New Roman" w:eastAsia="Times New Roman" w:hAnsi="Times New Roman" w:cs="Times New Roman"/>
          <w:b/>
          <w:bCs/>
          <w:color w:val="2F2F2F"/>
          <w:spacing w:val="3"/>
          <w:kern w:val="36"/>
          <w:sz w:val="35"/>
          <w:szCs w:val="35"/>
          <w:lang w:eastAsia="en-GB"/>
        </w:rPr>
        <w:t>Wilson v. Rebsamen Insurance, 330 Ark. 687, 957 S.W.2d 678 (1997)</w:t>
      </w:r>
    </w:p>
    <w:p w14:paraId="010EE3A5" w14:textId="77777777" w:rsidR="00892D12" w:rsidRPr="00892D12" w:rsidRDefault="00892D12" w:rsidP="00892D12">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92D12">
        <w:rPr>
          <w:rFonts w:ascii="Times New Roman" w:eastAsia="Times New Roman" w:hAnsi="Times New Roman" w:cs="Times New Roman"/>
          <w:color w:val="2F2F2F"/>
          <w:spacing w:val="3"/>
          <w:sz w:val="27"/>
          <w:szCs w:val="27"/>
          <w:lang w:eastAsia="en-GB"/>
        </w:rPr>
        <w:t>Dec. 4, 1997 · Arkansas Supreme Court · 97-14</w:t>
      </w:r>
    </w:p>
    <w:p w14:paraId="010EE3A6" w14:textId="77777777" w:rsidR="00892D12" w:rsidRPr="00892D12" w:rsidRDefault="00892D12" w:rsidP="00892D12">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92D12">
        <w:rPr>
          <w:rFonts w:ascii="Times New Roman" w:eastAsia="Times New Roman" w:hAnsi="Times New Roman" w:cs="Times New Roman"/>
          <w:color w:val="2F2F2F"/>
          <w:spacing w:val="3"/>
          <w:sz w:val="27"/>
          <w:szCs w:val="27"/>
          <w:lang w:eastAsia="en-GB"/>
        </w:rPr>
        <w:t>330 Ark. 687, 957 S.W.2d 678</w:t>
      </w:r>
    </w:p>
    <w:p w14:paraId="010EE3A7" w14:textId="77777777" w:rsidR="00892D12" w:rsidRPr="00892D12" w:rsidRDefault="00892D12" w:rsidP="00892D12">
      <w:pPr>
        <w:shd w:val="clear" w:color="auto" w:fill="FFFFFF"/>
        <w:spacing w:after="0" w:line="240" w:lineRule="auto"/>
        <w:rPr>
          <w:rFonts w:ascii="Georgia" w:eastAsia="Times New Roman" w:hAnsi="Georgia" w:cs="Arial"/>
          <w:color w:val="2F2F2F"/>
          <w:spacing w:val="3"/>
          <w:sz w:val="30"/>
          <w:szCs w:val="30"/>
          <w:lang w:eastAsia="en-GB"/>
        </w:rPr>
      </w:pPr>
      <w:r w:rsidRPr="00892D12">
        <w:rPr>
          <w:rFonts w:ascii="Georgia" w:eastAsia="Times New Roman" w:hAnsi="Georgia" w:cs="Arial"/>
          <w:color w:val="2F2F2F"/>
          <w:spacing w:val="3"/>
          <w:sz w:val="30"/>
          <w:szCs w:val="30"/>
          <w:lang w:eastAsia="en-GB"/>
        </w:rPr>
        <w:t>O'Neal WILSON</w:t>
      </w:r>
      <w:r w:rsidRPr="00892D12">
        <w:rPr>
          <w:rFonts w:ascii="Georgia" w:eastAsia="Times New Roman" w:hAnsi="Georgia" w:cs="Arial"/>
          <w:i/>
          <w:iCs/>
          <w:color w:val="2F2F2F"/>
          <w:spacing w:val="3"/>
          <w:sz w:val="30"/>
          <w:szCs w:val="30"/>
          <w:lang w:eastAsia="en-GB"/>
        </w:rPr>
        <w:t>v.</w:t>
      </w:r>
      <w:r w:rsidRPr="00892D12">
        <w:rPr>
          <w:rFonts w:ascii="Georgia" w:eastAsia="Times New Roman" w:hAnsi="Georgia" w:cs="Arial"/>
          <w:color w:val="2F2F2F"/>
          <w:spacing w:val="3"/>
          <w:sz w:val="30"/>
          <w:szCs w:val="30"/>
          <w:lang w:eastAsia="en-GB"/>
        </w:rPr>
        <w:t>REBSAMEN INSURANCE, INC. d/b/a Insurisk Insurance Services, Jim Moorhead, and John Doe</w:t>
      </w:r>
    </w:p>
    <w:p w14:paraId="010EE3A8" w14:textId="77777777" w:rsidR="00892D12" w:rsidRPr="00892D12" w:rsidRDefault="00892D12" w:rsidP="00892D12">
      <w:pPr>
        <w:spacing w:before="100" w:beforeAutospacing="1" w:after="100" w:afterAutospacing="1"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957 S.W.2d 678</w:t>
      </w:r>
    </w:p>
    <w:p w14:paraId="010EE3A9" w14:textId="77777777" w:rsidR="00892D12" w:rsidRPr="00892D12" w:rsidRDefault="00892D12" w:rsidP="00892D12">
      <w:pPr>
        <w:spacing w:before="100" w:beforeAutospacing="1" w:after="100" w:afterAutospacing="1"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Supreme Court of Arkansas</w:t>
      </w:r>
    </w:p>
    <w:p w14:paraId="010EE3AA" w14:textId="26316555" w:rsidR="00892D12" w:rsidRPr="00892D12" w:rsidRDefault="00892D12" w:rsidP="00892D12">
      <w:pPr>
        <w:shd w:val="clear" w:color="auto" w:fill="F7F7F9"/>
        <w:spacing w:before="100" w:beforeAutospacing="1" w:after="0" w:line="240" w:lineRule="auto"/>
        <w:rPr>
          <w:rFonts w:ascii="Georgia" w:eastAsia="Times New Roman" w:hAnsi="Georgia" w:cs="Times New Roman"/>
          <w:sz w:val="24"/>
          <w:szCs w:val="24"/>
          <w:lang w:eastAsia="en-GB"/>
        </w:rPr>
      </w:pPr>
      <w:r w:rsidRPr="00892D12">
        <w:rPr>
          <w:rFonts w:ascii="Georgia" w:eastAsia="Times New Roman" w:hAnsi="Georgia" w:cs="Times New Roman"/>
          <w:i/>
          <w:iCs/>
          <w:color w:val="979797"/>
          <w:sz w:val="19"/>
          <w:szCs w:val="19"/>
          <w:lang w:eastAsia="en-GB"/>
        </w:rPr>
        <w:t>*690</w:t>
      </w:r>
      <w:r w:rsidRPr="00892D12">
        <w:rPr>
          <w:rFonts w:ascii="Georgia" w:eastAsia="Times New Roman" w:hAnsi="Georgia" w:cs="Times New Roman"/>
          <w:sz w:val="24"/>
          <w:szCs w:val="24"/>
          <w:lang w:eastAsia="en-GB"/>
        </w:rPr>
        <w:t> </w:t>
      </w:r>
      <w:r w:rsidRPr="00892D12">
        <w:rPr>
          <w:rFonts w:ascii="Georgia" w:eastAsia="Times New Roman" w:hAnsi="Georgia" w:cs="Times New Roman"/>
          <w:i/>
          <w:iCs/>
          <w:sz w:val="24"/>
          <w:szCs w:val="24"/>
          <w:lang w:eastAsia="en-GB"/>
        </w:rPr>
        <w:t>Trajfiord Law jinn, </w:t>
      </w:r>
      <w:r w:rsidRPr="00892D12">
        <w:rPr>
          <w:rFonts w:ascii="Georgia" w:eastAsia="Times New Roman" w:hAnsi="Georgia" w:cs="Times New Roman"/>
          <w:sz w:val="24"/>
          <w:szCs w:val="24"/>
          <w:lang w:eastAsia="en-GB"/>
        </w:rPr>
        <w:t>by: </w:t>
      </w:r>
      <w:r w:rsidRPr="00892D12">
        <w:rPr>
          <w:rFonts w:ascii="Georgia" w:eastAsia="Times New Roman" w:hAnsi="Georgia" w:cs="Times New Roman"/>
          <w:i/>
          <w:iCs/>
          <w:sz w:val="24"/>
          <w:szCs w:val="24"/>
          <w:lang w:eastAsia="en-GB"/>
        </w:rPr>
        <w:t>G. Ray Howard </w:t>
      </w:r>
      <w:r w:rsidRPr="00892D12">
        <w:rPr>
          <w:rFonts w:ascii="Georgia" w:eastAsia="Times New Roman" w:hAnsi="Georgia" w:cs="Times New Roman"/>
          <w:sz w:val="24"/>
          <w:szCs w:val="24"/>
          <w:lang w:eastAsia="en-GB"/>
        </w:rPr>
        <w:t>and </w:t>
      </w:r>
      <w:r w:rsidRPr="00892D12">
        <w:rPr>
          <w:rFonts w:ascii="Georgia" w:eastAsia="Times New Roman" w:hAnsi="Georgia" w:cs="Times New Roman"/>
          <w:i/>
          <w:iCs/>
          <w:sz w:val="24"/>
          <w:szCs w:val="24"/>
          <w:lang w:eastAsia="en-GB"/>
        </w:rPr>
        <w:t>Duncan &amp; RainwaterP.A., </w:t>
      </w:r>
      <w:r w:rsidRPr="00892D12">
        <w:rPr>
          <w:rFonts w:ascii="Georgia" w:eastAsia="Times New Roman" w:hAnsi="Georgia" w:cs="Times New Roman"/>
          <w:sz w:val="24"/>
          <w:szCs w:val="24"/>
          <w:lang w:eastAsia="en-GB"/>
        </w:rPr>
        <w:t>by: </w:t>
      </w:r>
      <w:r w:rsidRPr="00892D12">
        <w:rPr>
          <w:rFonts w:ascii="Georgia" w:eastAsia="Times New Roman" w:hAnsi="Georgia" w:cs="Times New Roman"/>
          <w:i/>
          <w:iCs/>
          <w:sz w:val="24"/>
          <w:szCs w:val="24"/>
          <w:lang w:eastAsia="en-GB"/>
        </w:rPr>
        <w:t>Michael R. Rainwater, </w:t>
      </w:r>
      <w:r w:rsidRPr="00892D12">
        <w:rPr>
          <w:rFonts w:ascii="Georgia" w:eastAsia="Times New Roman" w:hAnsi="Georgia" w:cs="Times New Roman"/>
          <w:sz w:val="24"/>
          <w:szCs w:val="24"/>
          <w:lang w:eastAsia="en-GB"/>
        </w:rPr>
        <w:t>for appellant.</w:t>
      </w:r>
    </w:p>
    <w:p w14:paraId="010EE3AB" w14:textId="77777777" w:rsidR="00892D12" w:rsidRPr="00892D12" w:rsidRDefault="00892D12" w:rsidP="00892D12">
      <w:pPr>
        <w:shd w:val="clear" w:color="auto" w:fill="F7F7F9"/>
        <w:spacing w:after="0" w:line="240" w:lineRule="auto"/>
        <w:rPr>
          <w:rFonts w:ascii="Georgia" w:eastAsia="Times New Roman" w:hAnsi="Georgia" w:cs="Times New Roman"/>
          <w:sz w:val="24"/>
          <w:szCs w:val="24"/>
          <w:lang w:eastAsia="en-GB"/>
        </w:rPr>
      </w:pPr>
      <w:r w:rsidRPr="00892D12">
        <w:rPr>
          <w:rFonts w:ascii="Georgia" w:eastAsia="Times New Roman" w:hAnsi="Georgia" w:cs="Times New Roman"/>
          <w:i/>
          <w:iCs/>
          <w:sz w:val="24"/>
          <w:szCs w:val="24"/>
          <w:lang w:eastAsia="en-GB"/>
        </w:rPr>
        <w:t>Anderson &amp; Kilpatrick, </w:t>
      </w:r>
      <w:r w:rsidRPr="00892D12">
        <w:rPr>
          <w:rFonts w:ascii="Georgia" w:eastAsia="Times New Roman" w:hAnsi="Georgia" w:cs="Times New Roman"/>
          <w:sz w:val="24"/>
          <w:szCs w:val="24"/>
          <w:lang w:eastAsia="en-GB"/>
        </w:rPr>
        <w:t>by: </w:t>
      </w:r>
      <w:r w:rsidRPr="00892D12">
        <w:rPr>
          <w:rFonts w:ascii="Georgia" w:eastAsia="Times New Roman" w:hAnsi="Georgia" w:cs="Times New Roman"/>
          <w:i/>
          <w:iCs/>
          <w:sz w:val="24"/>
          <w:szCs w:val="24"/>
          <w:lang w:eastAsia="en-GB"/>
        </w:rPr>
        <w:t>Mariam T. Hopkins, </w:t>
      </w:r>
      <w:r w:rsidRPr="00892D12">
        <w:rPr>
          <w:rFonts w:ascii="Georgia" w:eastAsia="Times New Roman" w:hAnsi="Georgia" w:cs="Times New Roman"/>
          <w:sz w:val="24"/>
          <w:szCs w:val="24"/>
          <w:lang w:eastAsia="en-GB"/>
        </w:rPr>
        <w:t>for appellee.</w:t>
      </w:r>
    </w:p>
    <w:p w14:paraId="010EE3AC" w14:textId="77777777" w:rsidR="00892D12" w:rsidRPr="00892D12" w:rsidRDefault="00892D12" w:rsidP="00892D12">
      <w:pPr>
        <w:spacing w:before="100" w:beforeAutospacing="1" w:after="225" w:line="240" w:lineRule="auto"/>
        <w:rPr>
          <w:rFonts w:ascii="Georgia" w:eastAsia="Times New Roman" w:hAnsi="Georgia" w:cs="Times New Roman"/>
          <w:color w:val="E878FF"/>
          <w:sz w:val="24"/>
          <w:szCs w:val="24"/>
          <w:lang w:eastAsia="en-GB"/>
        </w:rPr>
      </w:pPr>
      <w:r w:rsidRPr="00892D12">
        <w:rPr>
          <w:rFonts w:ascii="Georgia" w:eastAsia="Times New Roman" w:hAnsi="Georgia" w:cs="Times New Roman"/>
          <w:color w:val="E878FF"/>
          <w:sz w:val="24"/>
          <w:szCs w:val="24"/>
          <w:lang w:eastAsia="en-GB"/>
        </w:rPr>
        <w:t>Annabelle Clinton Imber, Justice.</w:t>
      </w:r>
    </w:p>
    <w:p w14:paraId="010EE3AD"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445E39">
        <w:rPr>
          <w:rFonts w:ascii="Georgia" w:eastAsia="Times New Roman" w:hAnsi="Georgia" w:cs="Times New Roman"/>
          <w:sz w:val="24"/>
          <w:szCs w:val="24"/>
          <w:highlight w:val="magenta"/>
          <w:lang w:eastAsia="en-GB"/>
        </w:rPr>
        <w:t xml:space="preserve">This is a tort case in which the appellant, O’Neal Wilson, sued the appellees, Rebsamen Insurance, d/b/a Insurisk Insurance Services, and Jim Moor-head, for injuries he sustained while working for his employer. The trial court granted the appellees summary judgment because it ruled that </w:t>
      </w:r>
      <w:r w:rsidRPr="00445E39">
        <w:rPr>
          <w:rFonts w:ascii="Georgia" w:eastAsia="Times New Roman" w:hAnsi="Georgia" w:cs="Times New Roman"/>
          <w:sz w:val="24"/>
          <w:szCs w:val="24"/>
          <w:lang w:eastAsia="en-GB"/>
        </w:rPr>
        <w:t>they</w:t>
      </w:r>
      <w:r w:rsidRPr="00892D12">
        <w:rPr>
          <w:rFonts w:ascii="Georgia" w:eastAsia="Times New Roman" w:hAnsi="Georgia" w:cs="Times New Roman"/>
          <w:sz w:val="24"/>
          <w:szCs w:val="24"/>
          <w:lang w:eastAsia="en-GB"/>
        </w:rPr>
        <w:t xml:space="preserve"> were immune from suit under the exclusive remedy provision of the workers’ compensation statute, and because </w:t>
      </w:r>
      <w:r w:rsidRPr="00445E39">
        <w:rPr>
          <w:rFonts w:ascii="Georgia" w:eastAsia="Times New Roman" w:hAnsi="Georgia" w:cs="Times New Roman"/>
          <w:sz w:val="24"/>
          <w:szCs w:val="24"/>
          <w:highlight w:val="magenta"/>
          <w:lang w:eastAsia="en-GB"/>
        </w:rPr>
        <w:t>they did not owe a duty of care to Wilson.</w:t>
      </w:r>
      <w:r w:rsidRPr="00892D12">
        <w:rPr>
          <w:rFonts w:ascii="Georgia" w:eastAsia="Times New Roman" w:hAnsi="Georgia" w:cs="Times New Roman"/>
          <w:sz w:val="24"/>
          <w:szCs w:val="24"/>
          <w:lang w:eastAsia="en-GB"/>
        </w:rPr>
        <w:t xml:space="preserve"> </w:t>
      </w:r>
      <w:r w:rsidRPr="00445E39">
        <w:rPr>
          <w:rFonts w:ascii="Georgia" w:eastAsia="Times New Roman" w:hAnsi="Georgia" w:cs="Times New Roman"/>
          <w:sz w:val="24"/>
          <w:szCs w:val="24"/>
          <w:highlight w:val="green"/>
          <w:lang w:eastAsia="en-GB"/>
        </w:rPr>
        <w:t>We disagree</w:t>
      </w:r>
      <w:r w:rsidRPr="00445E39">
        <w:rPr>
          <w:rFonts w:ascii="Georgia" w:eastAsia="Times New Roman" w:hAnsi="Georgia" w:cs="Times New Roman"/>
          <w:sz w:val="24"/>
          <w:szCs w:val="24"/>
          <w:lang w:eastAsia="en-GB"/>
        </w:rPr>
        <w:t xml:space="preserve"> with both of these rulings, and </w:t>
      </w:r>
      <w:r w:rsidRPr="00445E39">
        <w:rPr>
          <w:rFonts w:ascii="Georgia" w:eastAsia="Times New Roman" w:hAnsi="Georgia" w:cs="Times New Roman"/>
          <w:sz w:val="24"/>
          <w:szCs w:val="24"/>
          <w:highlight w:val="red"/>
          <w:lang w:eastAsia="en-GB"/>
        </w:rPr>
        <w:t>accordingly we reverse and remand.</w:t>
      </w:r>
    </w:p>
    <w:p w14:paraId="010EE3AE"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445E39">
        <w:rPr>
          <w:rFonts w:ascii="Georgia" w:eastAsia="Times New Roman" w:hAnsi="Georgia" w:cs="Times New Roman"/>
          <w:sz w:val="24"/>
          <w:szCs w:val="24"/>
          <w:highlight w:val="yellow"/>
          <w:lang w:eastAsia="en-GB"/>
        </w:rPr>
        <w:t>Insurisk Insurance Services, a company owned and operated by Rebsamen Insurance, conducts loss-control surveys and recommends safety improvements for its customers. In the late 1970’s, Arkansas Oak Flooring hired Insurisk to conduct loss-control surveys of its facilities in an effort to contain the rising costs of workers’ compensation insurance coverage. Specifically, Insurisk contractually agreed to make inspections and provide recommendations regarding safety. Insurisk did not have the authority to implement the program or to make the suggested safety improvements. Jim Moorhead, Insurisk’s vice-president of management services, was in charge of the project.</w:t>
      </w:r>
    </w:p>
    <w:p w14:paraId="010EE3AF"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445E39">
        <w:rPr>
          <w:rFonts w:ascii="Georgia" w:eastAsia="Times New Roman" w:hAnsi="Georgia" w:cs="Times New Roman"/>
          <w:sz w:val="24"/>
          <w:szCs w:val="24"/>
          <w:highlight w:val="yellow"/>
          <w:lang w:eastAsia="en-GB"/>
        </w:rPr>
        <w:t>On September 16, 1988, O’Neal Wilson was injured while he was working for his employer, Arkansas Oak Flooring, when he fell from a catwalk that did not have safety rails. Sometime after the accident, Arkansas Oak’s workers’ compensation carrier, </w:t>
      </w:r>
      <w:hyperlink r:id="rId4" w:anchor="p691" w:history="1">
        <w:r w:rsidRPr="00445E39">
          <w:rPr>
            <w:rFonts w:ascii="Georgia" w:eastAsia="Times New Roman" w:hAnsi="Georgia" w:cs="Times New Roman"/>
            <w:i/>
            <w:iCs/>
            <w:color w:val="979797"/>
            <w:sz w:val="19"/>
            <w:szCs w:val="19"/>
            <w:highlight w:val="yellow"/>
            <w:lang w:eastAsia="en-GB"/>
          </w:rPr>
          <w:t>*691</w:t>
        </w:r>
      </w:hyperlink>
      <w:r w:rsidRPr="00445E39">
        <w:rPr>
          <w:rFonts w:ascii="Georgia" w:eastAsia="Times New Roman" w:hAnsi="Georgia" w:cs="Times New Roman"/>
          <w:sz w:val="24"/>
          <w:szCs w:val="24"/>
          <w:highlight w:val="yellow"/>
          <w:lang w:eastAsia="en-GB"/>
        </w:rPr>
        <w:t>Home Insurance Company, paid Wilson permanent and total disability benefits.</w:t>
      </w:r>
    </w:p>
    <w:p w14:paraId="010EE3B0" w14:textId="22474509" w:rsidR="00892D12" w:rsidRPr="00892D12" w:rsidRDefault="00892D12" w:rsidP="00892D12">
      <w:pPr>
        <w:spacing w:before="100" w:beforeAutospacing="1" w:after="0" w:line="240" w:lineRule="auto"/>
        <w:rPr>
          <w:rFonts w:ascii="Georgia" w:eastAsia="Times New Roman" w:hAnsi="Georgia" w:cs="Times New Roman"/>
          <w:sz w:val="24"/>
          <w:szCs w:val="24"/>
          <w:lang w:eastAsia="en-GB"/>
        </w:rPr>
      </w:pPr>
      <w:r w:rsidRPr="00445E39">
        <w:rPr>
          <w:rFonts w:ascii="Georgia" w:eastAsia="Times New Roman" w:hAnsi="Georgia" w:cs="Times New Roman"/>
          <w:sz w:val="24"/>
          <w:szCs w:val="24"/>
          <w:highlight w:val="magenta"/>
          <w:lang w:eastAsia="en-GB"/>
        </w:rPr>
        <w:t>On April 23, 1993, Wilson</w:t>
      </w:r>
      <w:r w:rsidRPr="00445E39">
        <w:rPr>
          <w:rFonts w:ascii="Georgia" w:eastAsia="Times New Roman" w:hAnsi="Georgia" w:cs="Times New Roman"/>
          <w:b/>
          <w:bCs/>
          <w:color w:val="E878FF"/>
          <w:sz w:val="24"/>
          <w:szCs w:val="24"/>
          <w:highlight w:val="magenta"/>
          <w:vertAlign w:val="superscript"/>
          <w:lang w:eastAsia="en-GB"/>
        </w:rPr>
        <w:t>1</w:t>
      </w:r>
      <w:r w:rsidRPr="00445E39">
        <w:rPr>
          <w:rFonts w:ascii="Georgia" w:eastAsia="Times New Roman" w:hAnsi="Georgia" w:cs="Times New Roman"/>
          <w:sz w:val="24"/>
          <w:szCs w:val="24"/>
          <w:highlight w:val="magenta"/>
          <w:lang w:eastAsia="en-GB"/>
        </w:rPr>
        <w:t> filed a complaint against Insurisk and Jim Moorhead alleging that they were negligent in failing to discover, warn about, and correct the safety hazard posed by the unguarded catwalk.</w:t>
      </w:r>
      <w:r w:rsidRPr="00892D12">
        <w:rPr>
          <w:rFonts w:ascii="Georgia" w:eastAsia="Times New Roman" w:hAnsi="Georgia" w:cs="Times New Roman"/>
          <w:sz w:val="24"/>
          <w:szCs w:val="24"/>
          <w:lang w:eastAsia="en-GB"/>
        </w:rPr>
        <w:t xml:space="preserve"> Wilson also claimed that Moorhead and Insurisk affirmatively hid the existence of the defect from Arkansas Oak by giving the company a clearance on overall safety when it knew or should have known of the unsafe condition of the catwalk. Finally, Wilson asserted that Moorhead and </w:t>
      </w:r>
      <w:r w:rsidRPr="00892D12">
        <w:rPr>
          <w:rFonts w:ascii="Georgia" w:eastAsia="Times New Roman" w:hAnsi="Georgia" w:cs="Times New Roman"/>
          <w:sz w:val="24"/>
          <w:szCs w:val="24"/>
          <w:lang w:eastAsia="en-GB"/>
        </w:rPr>
        <w:lastRenderedPageBreak/>
        <w:t>Insurisk had a “silent agreement” with Arkansas Oak to ignore safety violations so that Arkansas Oak could obtain “favorable insurance treatment.”</w:t>
      </w:r>
    </w:p>
    <w:p w14:paraId="010EE3B1"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EA7623">
        <w:rPr>
          <w:rFonts w:ascii="Georgia" w:eastAsia="Times New Roman" w:hAnsi="Georgia" w:cs="Times New Roman"/>
          <w:sz w:val="24"/>
          <w:szCs w:val="24"/>
          <w:highlight w:val="magenta"/>
          <w:lang w:eastAsia="en-GB"/>
        </w:rPr>
        <w:t>On May 30, 1995, Insurisk and Moorhead filed a motion for summary judgment contending that they did not owe a duty of care to Wilson</w:t>
      </w:r>
      <w:r w:rsidRPr="00892D12">
        <w:rPr>
          <w:rFonts w:ascii="Georgia" w:eastAsia="Times New Roman" w:hAnsi="Georgia" w:cs="Times New Roman"/>
          <w:sz w:val="24"/>
          <w:szCs w:val="24"/>
          <w:lang w:eastAsia="en-GB"/>
        </w:rPr>
        <w:t>, and that Wilson’s lawsuit was barred by the exclusive remedy provision of the workers’ compensation statute. Insurisk and Moorhead attached to their motion the affidavits of John Fox, Jr., the President of Arkansas Oak, Glenn Pdchards, Arkansas Oak’s plant supervisor from 1978 to 1980, and Jim Moorhead. In all three affidavits, the affiants declared that prior to Wilson’s accident Jim Moorhead recommended both orally and in writing that Arkansas Oak install guardrails on the catwalk to remedy the potentially dangerous condition. In addition, the affiants declared that Moorhead and Insurisk had no authority to implement their suggested changes. Finally, John Fox explained in his affidavit that Arkansas Oak decided against making the changes recommended by Moorhead and Insurisk “due to cost and feasibility considerations.”</w:t>
      </w:r>
    </w:p>
    <w:p w14:paraId="010EE3B2"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In his response, Wilson produced the affidavits of William Fish, Larry Borecky, and Boulter Kelsey. William Fish witnessed Wilson’s fall, and testified that there were no guardrails on the catwalk at the time of the accident. Larry Borecky, Arkansas </w:t>
      </w:r>
      <w:hyperlink r:id="rId5" w:anchor="p692" w:history="1">
        <w:r w:rsidRPr="00892D12">
          <w:rPr>
            <w:rFonts w:ascii="Georgia" w:eastAsia="Times New Roman" w:hAnsi="Georgia" w:cs="Times New Roman"/>
            <w:i/>
            <w:iCs/>
            <w:color w:val="979797"/>
            <w:sz w:val="19"/>
            <w:szCs w:val="19"/>
            <w:lang w:eastAsia="en-GB"/>
          </w:rPr>
          <w:t>*692</w:t>
        </w:r>
      </w:hyperlink>
      <w:r w:rsidRPr="00892D12">
        <w:rPr>
          <w:rFonts w:ascii="Georgia" w:eastAsia="Times New Roman" w:hAnsi="Georgia" w:cs="Times New Roman"/>
          <w:sz w:val="24"/>
          <w:szCs w:val="24"/>
          <w:lang w:eastAsia="en-GB"/>
        </w:rPr>
        <w:t>Oak’s safety manager who was hired one month before the accident, declared in his affidavit that Insurisk and Moorhead failed to notify him about the safety problem created by the unguarded catwalk. Finally, H. Boulter Kelsey, Jr., a professional engineer, declared in his affidavit that the unguarded catwalk created an unreasonably dangerous condition that should have been detected by Moorhead and Insurisk.</w:t>
      </w:r>
    </w:p>
    <w:p w14:paraId="010EE3B3"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EA7623">
        <w:rPr>
          <w:rFonts w:ascii="Georgia" w:eastAsia="Times New Roman" w:hAnsi="Georgia" w:cs="Times New Roman"/>
          <w:sz w:val="24"/>
          <w:szCs w:val="24"/>
          <w:highlight w:val="magenta"/>
          <w:lang w:eastAsia="en-GB"/>
        </w:rPr>
        <w:t>On September 20, 1996, the trial court ruled that Insurisk and Moorhead</w:t>
      </w:r>
      <w:r w:rsidRPr="00892D12">
        <w:rPr>
          <w:rFonts w:ascii="Georgia" w:eastAsia="Times New Roman" w:hAnsi="Georgia" w:cs="Times New Roman"/>
          <w:sz w:val="24"/>
          <w:szCs w:val="24"/>
          <w:lang w:eastAsia="en-GB"/>
        </w:rPr>
        <w:t xml:space="preserve"> were immune from suit under the exclusive remedy provision of the workers’ compensation statute, and that they </w:t>
      </w:r>
      <w:r w:rsidRPr="00EA7623">
        <w:rPr>
          <w:rFonts w:ascii="Georgia" w:eastAsia="Times New Roman" w:hAnsi="Georgia" w:cs="Times New Roman"/>
          <w:sz w:val="24"/>
          <w:szCs w:val="24"/>
          <w:highlight w:val="magenta"/>
          <w:lang w:eastAsia="en-GB"/>
        </w:rPr>
        <w:t>did not owe a duty of care to Wilson.</w:t>
      </w:r>
      <w:r w:rsidRPr="00892D12">
        <w:rPr>
          <w:rFonts w:ascii="Georgia" w:eastAsia="Times New Roman" w:hAnsi="Georgia" w:cs="Times New Roman"/>
          <w:sz w:val="24"/>
          <w:szCs w:val="24"/>
          <w:lang w:eastAsia="en-GB"/>
        </w:rPr>
        <w:t xml:space="preserve"> </w:t>
      </w:r>
      <w:r w:rsidRPr="00EA7623">
        <w:rPr>
          <w:rFonts w:ascii="Georgia" w:eastAsia="Times New Roman" w:hAnsi="Georgia" w:cs="Times New Roman"/>
          <w:sz w:val="24"/>
          <w:szCs w:val="24"/>
          <w:highlight w:val="magenta"/>
          <w:lang w:eastAsia="en-GB"/>
        </w:rPr>
        <w:t>Accordingly, the court granted summary judgment to Insurisk and Moorhead. From the order of summary judgment, Wilson filed a timely notice of appeal.</w:t>
      </w:r>
    </w:p>
    <w:p w14:paraId="010EE3B4" w14:textId="51905FE4"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As we have stated on numerous occasions, summary judgment is appropriate only when there is no genuine issue of material fact, and the moving party is entitled to a judgment as a matter of law. </w:t>
      </w:r>
      <w:r w:rsidRPr="00892D12">
        <w:rPr>
          <w:rFonts w:ascii="Georgia" w:eastAsia="Times New Roman" w:hAnsi="Georgia" w:cs="Times New Roman"/>
          <w:i/>
          <w:iCs/>
          <w:sz w:val="24"/>
          <w:szCs w:val="24"/>
          <w:lang w:eastAsia="en-GB"/>
        </w:rPr>
        <w:t>Wheeler v. Phillips Dev. Corp., </w:t>
      </w:r>
      <w:r w:rsidRPr="00892D12">
        <w:rPr>
          <w:rFonts w:ascii="Georgia" w:eastAsia="Times New Roman" w:hAnsi="Georgia" w:cs="Times New Roman"/>
          <w:color w:val="007BFF"/>
          <w:sz w:val="24"/>
          <w:szCs w:val="24"/>
          <w:lang w:eastAsia="en-GB"/>
        </w:rPr>
        <w:t>329 Ark. 354</w:t>
      </w:r>
      <w:r w:rsidRPr="00892D12">
        <w:rPr>
          <w:rFonts w:ascii="Georgia" w:eastAsia="Times New Roman" w:hAnsi="Georgia" w:cs="Times New Roman"/>
          <w:sz w:val="24"/>
          <w:szCs w:val="24"/>
          <w:lang w:eastAsia="en-GB"/>
        </w:rPr>
        <w:t>, </w:t>
      </w:r>
      <w:hyperlink r:id="rId6" w:history="1">
        <w:r w:rsidRPr="00892D12">
          <w:rPr>
            <w:rFonts w:ascii="Georgia" w:eastAsia="Times New Roman" w:hAnsi="Georgia" w:cs="Times New Roman"/>
            <w:color w:val="007BFF"/>
            <w:sz w:val="24"/>
            <w:szCs w:val="24"/>
            <w:lang w:eastAsia="en-GB"/>
          </w:rPr>
          <w:t>947 S.W.2d 380</w:t>
        </w:r>
      </w:hyperlink>
      <w:r w:rsidRPr="00892D12">
        <w:rPr>
          <w:rFonts w:ascii="Georgia" w:eastAsia="Times New Roman" w:hAnsi="Georgia" w:cs="Times New Roman"/>
          <w:sz w:val="24"/>
          <w:szCs w:val="24"/>
          <w:lang w:eastAsia="en-GB"/>
        </w:rPr>
        <w:t> (1997); </w:t>
      </w:r>
      <w:r w:rsidRPr="00892D12">
        <w:rPr>
          <w:rFonts w:ascii="Georgia" w:eastAsia="Times New Roman" w:hAnsi="Georgia" w:cs="Times New Roman"/>
          <w:i/>
          <w:iCs/>
          <w:sz w:val="24"/>
          <w:szCs w:val="24"/>
          <w:lang w:eastAsia="en-GB"/>
        </w:rPr>
        <w:t>Porter v. Harshfield, </w:t>
      </w:r>
      <w:r w:rsidRPr="00892D12">
        <w:rPr>
          <w:rFonts w:ascii="Georgia" w:eastAsia="Times New Roman" w:hAnsi="Georgia" w:cs="Times New Roman"/>
          <w:color w:val="007BFF"/>
          <w:sz w:val="24"/>
          <w:szCs w:val="24"/>
          <w:lang w:eastAsia="en-GB"/>
        </w:rPr>
        <w:t>329 Ark. 130</w:t>
      </w:r>
      <w:r w:rsidRPr="00892D12">
        <w:rPr>
          <w:rFonts w:ascii="Georgia" w:eastAsia="Times New Roman" w:hAnsi="Georgia" w:cs="Times New Roman"/>
          <w:sz w:val="24"/>
          <w:szCs w:val="24"/>
          <w:lang w:eastAsia="en-GB"/>
        </w:rPr>
        <w:t>, </w:t>
      </w:r>
      <w:hyperlink r:id="rId7" w:history="1">
        <w:r w:rsidRPr="00892D12">
          <w:rPr>
            <w:rFonts w:ascii="Georgia" w:eastAsia="Times New Roman" w:hAnsi="Georgia" w:cs="Times New Roman"/>
            <w:color w:val="007BFF"/>
            <w:sz w:val="24"/>
            <w:szCs w:val="24"/>
            <w:lang w:eastAsia="en-GB"/>
          </w:rPr>
          <w:t>948 S.W.2d 83</w:t>
        </w:r>
      </w:hyperlink>
      <w:r w:rsidRPr="00892D12">
        <w:rPr>
          <w:rFonts w:ascii="Georgia" w:eastAsia="Times New Roman" w:hAnsi="Georgia" w:cs="Times New Roman"/>
          <w:sz w:val="24"/>
          <w:szCs w:val="24"/>
          <w:lang w:eastAsia="en-GB"/>
        </w:rPr>
        <w:t xml:space="preserve"> (1997). </w:t>
      </w:r>
      <w:r w:rsidRPr="00EA7623">
        <w:rPr>
          <w:rFonts w:ascii="Georgia" w:eastAsia="Times New Roman" w:hAnsi="Georgia" w:cs="Times New Roman"/>
          <w:sz w:val="24"/>
          <w:szCs w:val="24"/>
          <w:highlight w:val="magenta"/>
          <w:lang w:eastAsia="en-GB"/>
        </w:rPr>
        <w:t>In making this determination, we review the evidence in the light most favorable to Wilson, as the party resisting the motion, and resolve all doubts and inferences in his favor.</w:t>
      </w:r>
      <w:r w:rsidRPr="00892D12">
        <w:rPr>
          <w:rFonts w:ascii="Georgia" w:eastAsia="Times New Roman" w:hAnsi="Georgia" w:cs="Times New Roman"/>
          <w:sz w:val="24"/>
          <w:szCs w:val="24"/>
          <w:lang w:eastAsia="en-GB"/>
        </w:rPr>
        <w:t> </w:t>
      </w:r>
      <w:r w:rsidRPr="00892D12">
        <w:rPr>
          <w:rFonts w:ascii="Georgia" w:eastAsia="Times New Roman" w:hAnsi="Georgia" w:cs="Times New Roman"/>
          <w:i/>
          <w:iCs/>
          <w:sz w:val="24"/>
          <w:szCs w:val="24"/>
          <w:lang w:eastAsia="en-GB"/>
        </w:rPr>
        <w:t>Wheeler, </w:t>
      </w:r>
      <w:r w:rsidRPr="00892D12">
        <w:rPr>
          <w:rFonts w:ascii="Georgia" w:eastAsia="Times New Roman" w:hAnsi="Georgia" w:cs="Times New Roman"/>
          <w:color w:val="007BFF"/>
          <w:sz w:val="24"/>
          <w:szCs w:val="24"/>
          <w:lang w:eastAsia="en-GB"/>
        </w:rPr>
        <w:t>supra;</w:t>
      </w:r>
      <w:r w:rsidRPr="00892D12">
        <w:rPr>
          <w:rFonts w:ascii="Georgia" w:eastAsia="Times New Roman" w:hAnsi="Georgia" w:cs="Times New Roman"/>
          <w:sz w:val="24"/>
          <w:szCs w:val="24"/>
          <w:lang w:eastAsia="en-GB"/>
        </w:rPr>
        <w:t> </w:t>
      </w:r>
      <w:r w:rsidRPr="00892D12">
        <w:rPr>
          <w:rFonts w:ascii="Georgia" w:eastAsia="Times New Roman" w:hAnsi="Georgia" w:cs="Times New Roman"/>
          <w:i/>
          <w:iCs/>
          <w:sz w:val="24"/>
          <w:szCs w:val="24"/>
          <w:lang w:eastAsia="en-GB"/>
        </w:rPr>
        <w:t>Porter, </w:t>
      </w:r>
      <w:hyperlink r:id="rId8" w:history="1">
        <w:r w:rsidRPr="00892D12">
          <w:rPr>
            <w:rFonts w:ascii="Georgia" w:eastAsia="Times New Roman" w:hAnsi="Georgia" w:cs="Times New Roman"/>
            <w:i/>
            <w:iCs/>
            <w:color w:val="007BFF"/>
            <w:sz w:val="24"/>
            <w:szCs w:val="24"/>
            <w:lang w:eastAsia="en-GB"/>
          </w:rPr>
          <w:t>supra.</w:t>
        </w:r>
      </w:hyperlink>
    </w:p>
    <w:p w14:paraId="010EE3B5"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i/>
          <w:iCs/>
          <w:sz w:val="24"/>
          <w:szCs w:val="24"/>
          <w:lang w:eastAsia="en-GB"/>
        </w:rPr>
        <w:t>I. Immunity under the Workers’ Compensation Act</w:t>
      </w:r>
    </w:p>
    <w:p w14:paraId="010EE3B6"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For his first argument on appeal, Wilson contends that the trial court erred when it ruled that Insurisk and Moorhead were immune frqm liability under the Workers’ Compensation Act. Whether a safety consultant, which does not provide workers’ compensation coverage to the employer, is immune from tort liability under the Workers’ Compensation Act is an issue of first impression in Arkansas.</w:t>
      </w:r>
    </w:p>
    <w:p w14:paraId="010EE3B7" w14:textId="7B2D504D"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i/>
          <w:iCs/>
          <w:sz w:val="24"/>
          <w:szCs w:val="24"/>
          <w:lang w:eastAsia="en-GB"/>
        </w:rPr>
        <w:t>A. </w:t>
      </w:r>
      <w:r w:rsidRPr="00892D12">
        <w:rPr>
          <w:rFonts w:ascii="Georgia" w:eastAsia="Times New Roman" w:hAnsi="Georgia" w:cs="Times New Roman"/>
          <w:i/>
          <w:iCs/>
          <w:color w:val="007BFF"/>
          <w:sz w:val="24"/>
          <w:szCs w:val="24"/>
          <w:lang w:eastAsia="en-GB"/>
        </w:rPr>
        <w:t>Ark. Code Ann. § 11-9-409</w:t>
      </w:r>
    </w:p>
    <w:p w14:paraId="010EE3B8"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lastRenderedPageBreak/>
        <w:t>Insurisk and Moorhead contend that they are immune from Wilson’s tort action under Act 796 of 1993, codi</w:t>
      </w:r>
      <w:hyperlink r:id="rId9" w:anchor="p693" w:history="1">
        <w:r w:rsidRPr="00892D12">
          <w:rPr>
            <w:rFonts w:ascii="Georgia" w:eastAsia="Times New Roman" w:hAnsi="Georgia" w:cs="Times New Roman"/>
            <w:i/>
            <w:iCs/>
            <w:color w:val="979797"/>
            <w:sz w:val="19"/>
            <w:szCs w:val="19"/>
            <w:lang w:eastAsia="en-GB"/>
          </w:rPr>
          <w:t>*693</w:t>
        </w:r>
      </w:hyperlink>
      <w:r w:rsidRPr="00892D12">
        <w:rPr>
          <w:rFonts w:ascii="Georgia" w:eastAsia="Times New Roman" w:hAnsi="Georgia" w:cs="Times New Roman"/>
          <w:sz w:val="24"/>
          <w:szCs w:val="24"/>
          <w:lang w:eastAsia="en-GB"/>
        </w:rPr>
        <w:t>fied at Ark. Code Ann. § ll-9-409(e) (Repl. 1996), which states that:</w:t>
      </w:r>
    </w:p>
    <w:p w14:paraId="010EE3B9" w14:textId="77777777"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the insurance company, the agent, servant, or employee of the insurance company or self-insured employer, or a safety consultant who performs a safety consultation under this section shall have no liability with respect to any accident based on the allegation that such accident was caused or could have been prevented by a program, inspection, or other activity or service undertaken by the insurance company or self-insured employer for the prevention of accidents in connection with operations of the employer.</w:t>
      </w:r>
    </w:p>
    <w:p w14:paraId="010EE3BA" w14:textId="56614880"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The emergency clause of Act 796, however, specifically states that it “shall apply only to injuries which occur after July 1, 1993.” </w:t>
      </w:r>
      <w:r w:rsidRPr="00892D12">
        <w:rPr>
          <w:rFonts w:ascii="Georgia" w:eastAsia="Times New Roman" w:hAnsi="Georgia" w:cs="Times New Roman"/>
          <w:color w:val="007BFF"/>
          <w:sz w:val="24"/>
          <w:szCs w:val="24"/>
          <w:lang w:eastAsia="en-GB"/>
        </w:rPr>
        <w:t>1993 Ark. Acts 796</w:t>
      </w:r>
      <w:r w:rsidRPr="00892D12">
        <w:rPr>
          <w:rFonts w:ascii="Georgia" w:eastAsia="Times New Roman" w:hAnsi="Georgia" w:cs="Times New Roman"/>
          <w:sz w:val="24"/>
          <w:szCs w:val="24"/>
          <w:lang w:eastAsia="en-GB"/>
        </w:rPr>
        <w:t>, § 41. In this case, Wilson was injured on September 16, 1988, which is well before the applicable date of Act 796. In addition, Insurisk and Moorhead did not argue before the trial court that they were immune under </w:t>
      </w:r>
      <w:hyperlink r:id="rId10" w:history="1">
        <w:r w:rsidRPr="00892D12">
          <w:rPr>
            <w:rFonts w:ascii="Georgia" w:eastAsia="Times New Roman" w:hAnsi="Georgia" w:cs="Times New Roman"/>
            <w:color w:val="007BFF"/>
            <w:sz w:val="24"/>
            <w:szCs w:val="24"/>
            <w:lang w:eastAsia="en-GB"/>
          </w:rPr>
          <w:t>Ark. Code Ann. § 11-9-409</w:t>
        </w:r>
      </w:hyperlink>
      <w:r w:rsidRPr="00892D12">
        <w:rPr>
          <w:rFonts w:ascii="Georgia" w:eastAsia="Times New Roman" w:hAnsi="Georgia" w:cs="Times New Roman"/>
          <w:sz w:val="24"/>
          <w:szCs w:val="24"/>
          <w:lang w:eastAsia="en-GB"/>
        </w:rPr>
        <w:t> (e), and thus they are precluded from raising this issue for the first time on appeal. </w:t>
      </w:r>
      <w:r w:rsidRPr="00892D12">
        <w:rPr>
          <w:rFonts w:ascii="Georgia" w:eastAsia="Times New Roman" w:hAnsi="Georgia" w:cs="Times New Roman"/>
          <w:i/>
          <w:iCs/>
          <w:sz w:val="24"/>
          <w:szCs w:val="24"/>
          <w:lang w:eastAsia="en-GB"/>
        </w:rPr>
        <w:t>See, McGhee v. State, </w:t>
      </w:r>
      <w:r w:rsidRPr="00892D12">
        <w:rPr>
          <w:rFonts w:ascii="Georgia" w:eastAsia="Times New Roman" w:hAnsi="Georgia" w:cs="Times New Roman"/>
          <w:color w:val="007BFF"/>
          <w:sz w:val="24"/>
          <w:szCs w:val="24"/>
          <w:lang w:eastAsia="en-GB"/>
        </w:rPr>
        <w:t>330 Ark. 38</w:t>
      </w:r>
      <w:r w:rsidRPr="00892D12">
        <w:rPr>
          <w:rFonts w:ascii="Georgia" w:eastAsia="Times New Roman" w:hAnsi="Georgia" w:cs="Times New Roman"/>
          <w:sz w:val="24"/>
          <w:szCs w:val="24"/>
          <w:lang w:eastAsia="en-GB"/>
        </w:rPr>
        <w:t>, </w:t>
      </w:r>
      <w:hyperlink r:id="rId11" w:history="1">
        <w:r w:rsidRPr="00892D12">
          <w:rPr>
            <w:rFonts w:ascii="Georgia" w:eastAsia="Times New Roman" w:hAnsi="Georgia" w:cs="Times New Roman"/>
            <w:color w:val="007BFF"/>
            <w:sz w:val="24"/>
            <w:szCs w:val="24"/>
            <w:lang w:eastAsia="en-GB"/>
          </w:rPr>
          <w:t>954 S.W.2d 206</w:t>
        </w:r>
      </w:hyperlink>
      <w:r w:rsidRPr="00892D12">
        <w:rPr>
          <w:rFonts w:ascii="Georgia" w:eastAsia="Times New Roman" w:hAnsi="Georgia" w:cs="Times New Roman"/>
          <w:sz w:val="24"/>
          <w:szCs w:val="24"/>
          <w:lang w:eastAsia="en-GB"/>
        </w:rPr>
        <w:t> (1997); </w:t>
      </w:r>
      <w:r w:rsidRPr="00892D12">
        <w:rPr>
          <w:rFonts w:ascii="Georgia" w:eastAsia="Times New Roman" w:hAnsi="Georgia" w:cs="Times New Roman"/>
          <w:i/>
          <w:iCs/>
          <w:sz w:val="24"/>
          <w:szCs w:val="24"/>
          <w:lang w:eastAsia="en-GB"/>
        </w:rPr>
        <w:t>Ouachita Wilderness Inst., Inc. v. Mergen, </w:t>
      </w:r>
      <w:r w:rsidRPr="00892D12">
        <w:rPr>
          <w:rFonts w:ascii="Georgia" w:eastAsia="Times New Roman" w:hAnsi="Georgia" w:cs="Times New Roman"/>
          <w:color w:val="007BFF"/>
          <w:sz w:val="24"/>
          <w:szCs w:val="24"/>
          <w:lang w:eastAsia="en-GB"/>
        </w:rPr>
        <w:t>329 Ark. 405</w:t>
      </w:r>
      <w:r w:rsidRPr="00892D12">
        <w:rPr>
          <w:rFonts w:ascii="Georgia" w:eastAsia="Times New Roman" w:hAnsi="Georgia" w:cs="Times New Roman"/>
          <w:sz w:val="24"/>
          <w:szCs w:val="24"/>
          <w:lang w:eastAsia="en-GB"/>
        </w:rPr>
        <w:t>, </w:t>
      </w:r>
      <w:hyperlink r:id="rId12" w:history="1">
        <w:r w:rsidRPr="00892D12">
          <w:rPr>
            <w:rFonts w:ascii="Georgia" w:eastAsia="Times New Roman" w:hAnsi="Georgia" w:cs="Times New Roman"/>
            <w:color w:val="007BFF"/>
            <w:sz w:val="24"/>
            <w:szCs w:val="24"/>
            <w:lang w:eastAsia="en-GB"/>
          </w:rPr>
          <w:t>947 S.W.2d 780</w:t>
        </w:r>
      </w:hyperlink>
      <w:r w:rsidRPr="00892D12">
        <w:rPr>
          <w:rFonts w:ascii="Georgia" w:eastAsia="Times New Roman" w:hAnsi="Georgia" w:cs="Times New Roman"/>
          <w:sz w:val="24"/>
          <w:szCs w:val="24"/>
          <w:lang w:eastAsia="en-GB"/>
        </w:rPr>
        <w:t> (1997).</w:t>
      </w:r>
    </w:p>
    <w:p w14:paraId="010EE3BB" w14:textId="12D272A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i/>
          <w:iCs/>
          <w:sz w:val="24"/>
          <w:szCs w:val="24"/>
          <w:lang w:eastAsia="en-GB"/>
        </w:rPr>
        <w:t>B. </w:t>
      </w:r>
      <w:r w:rsidRPr="00892D12">
        <w:rPr>
          <w:rFonts w:ascii="Georgia" w:eastAsia="Times New Roman" w:hAnsi="Georgia" w:cs="Times New Roman"/>
          <w:i/>
          <w:iCs/>
          <w:color w:val="007BFF"/>
          <w:sz w:val="24"/>
          <w:szCs w:val="24"/>
          <w:lang w:eastAsia="en-GB"/>
        </w:rPr>
        <w:t>Ark. Code Ann. §§ 11-9-105</w:t>
      </w:r>
      <w:r w:rsidRPr="00892D12">
        <w:rPr>
          <w:rFonts w:ascii="Georgia" w:eastAsia="Times New Roman" w:hAnsi="Georgia" w:cs="Times New Roman"/>
          <w:i/>
          <w:iCs/>
          <w:sz w:val="24"/>
          <w:szCs w:val="24"/>
          <w:lang w:eastAsia="en-GB"/>
        </w:rPr>
        <w:t> and 410</w:t>
      </w:r>
    </w:p>
    <w:p w14:paraId="010EE3BC"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Instead of arguing that they were immune under Ark. Code Ann. § ll-9-409(e), Insurisk and Moorhead argued before the trial court that they were immune from Wilson’s tort action under Ark. Code Ann. § ll-9-105(a) (Repl. 1996), which states that:</w:t>
      </w:r>
    </w:p>
    <w:p w14:paraId="010EE3BD" w14:textId="77777777"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The rights and remedies granted to an employee subject to the provisions of this chapter, on account of injury or death, shall be exclusive of all other rights and remedies of the employee, his legal representative, dependents, next of kin, or anyone otherwise entitled to recover damages from the employer ... on account of the injury or death, and the negligent acts of a coemployee shall not be imputed to the employer.</w:t>
      </w:r>
    </w:p>
    <w:p w14:paraId="010EE3BE"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Although Ark. Code Ann. § ll-9-105(a) provides that workers’ compensation is the employee’s exclusive remedy against the employer, the employee may sue a “third-party” who negligently </w:t>
      </w:r>
      <w:hyperlink r:id="rId13" w:anchor="p694" w:history="1">
        <w:r w:rsidRPr="00892D12">
          <w:rPr>
            <w:rFonts w:ascii="Georgia" w:eastAsia="Times New Roman" w:hAnsi="Georgia" w:cs="Times New Roman"/>
            <w:i/>
            <w:iCs/>
            <w:color w:val="979797"/>
            <w:sz w:val="19"/>
            <w:szCs w:val="19"/>
            <w:lang w:eastAsia="en-GB"/>
          </w:rPr>
          <w:t>*694</w:t>
        </w:r>
      </w:hyperlink>
      <w:r w:rsidRPr="00892D12">
        <w:rPr>
          <w:rFonts w:ascii="Georgia" w:eastAsia="Times New Roman" w:hAnsi="Georgia" w:cs="Times New Roman"/>
          <w:sz w:val="24"/>
          <w:szCs w:val="24"/>
          <w:lang w:eastAsia="en-GB"/>
        </w:rPr>
        <w:t>causes his injuries under Ark. Code Ann. § ll-9-410(a)(l)(A) (Repl. 1996), which provides that:</w:t>
      </w:r>
    </w:p>
    <w:p w14:paraId="010EE3BF" w14:textId="77777777"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The making of a claim for compensation against any employer or carrier for the injury or death of an employee shall not affect the right of the employee, or his dependents, to make a claim or maintain an action in court against any </w:t>
      </w:r>
      <w:r w:rsidRPr="00892D12">
        <w:rPr>
          <w:rFonts w:ascii="Georgia" w:eastAsia="Times New Roman" w:hAnsi="Georgia" w:cs="Times New Roman"/>
          <w:i/>
          <w:iCs/>
          <w:color w:val="004FB3"/>
          <w:sz w:val="24"/>
          <w:szCs w:val="24"/>
          <w:lang w:eastAsia="en-GB"/>
        </w:rPr>
        <w:t>third party </w:t>
      </w:r>
      <w:r w:rsidRPr="00892D12">
        <w:rPr>
          <w:rFonts w:ascii="Georgia" w:eastAsia="Times New Roman" w:hAnsi="Georgia" w:cs="Times New Roman"/>
          <w:color w:val="004FB3"/>
          <w:sz w:val="24"/>
          <w:szCs w:val="24"/>
          <w:lang w:eastAsia="en-GB"/>
        </w:rPr>
        <w:t>for the injury, but the employer or his carrier shall be entitled to reasonable notice and opportunity to join in the action.</w:t>
      </w:r>
    </w:p>
    <w:p w14:paraId="010EE3C0"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(Emphasis added.) On appeal, Wilson argues that Insurisk and Moorhead are not immune under the exclusive remedy provision of section 105 because they are “third parties” as defined by section 410. We agree.</w:t>
      </w:r>
    </w:p>
    <w:p w14:paraId="010EE3C1" w14:textId="456F299D"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In </w:t>
      </w:r>
      <w:r w:rsidRPr="00892D12">
        <w:rPr>
          <w:rFonts w:ascii="Georgia" w:eastAsia="Times New Roman" w:hAnsi="Georgia" w:cs="Times New Roman"/>
          <w:i/>
          <w:iCs/>
          <w:sz w:val="24"/>
          <w:szCs w:val="24"/>
          <w:lang w:eastAsia="en-GB"/>
        </w:rPr>
        <w:t>Neal v. Oliver, </w:t>
      </w:r>
      <w:r w:rsidRPr="00892D12">
        <w:rPr>
          <w:rFonts w:ascii="Georgia" w:eastAsia="Times New Roman" w:hAnsi="Georgia" w:cs="Times New Roman"/>
          <w:color w:val="007BFF"/>
          <w:sz w:val="24"/>
          <w:szCs w:val="24"/>
          <w:lang w:eastAsia="en-GB"/>
        </w:rPr>
        <w:t>246 Ark. 377</w:t>
      </w:r>
      <w:r w:rsidRPr="00892D12">
        <w:rPr>
          <w:rFonts w:ascii="Georgia" w:eastAsia="Times New Roman" w:hAnsi="Georgia" w:cs="Times New Roman"/>
          <w:sz w:val="24"/>
          <w:szCs w:val="24"/>
          <w:lang w:eastAsia="en-GB"/>
        </w:rPr>
        <w:t>, </w:t>
      </w:r>
      <w:hyperlink r:id="rId14" w:history="1">
        <w:r w:rsidRPr="00892D12">
          <w:rPr>
            <w:rFonts w:ascii="Georgia" w:eastAsia="Times New Roman" w:hAnsi="Georgia" w:cs="Times New Roman"/>
            <w:color w:val="007BFF"/>
            <w:sz w:val="24"/>
            <w:szCs w:val="24"/>
            <w:lang w:eastAsia="en-GB"/>
          </w:rPr>
          <w:t>438 S.W.2d 313</w:t>
        </w:r>
      </w:hyperlink>
      <w:r w:rsidRPr="00892D12">
        <w:rPr>
          <w:rFonts w:ascii="Georgia" w:eastAsia="Times New Roman" w:hAnsi="Georgia" w:cs="Times New Roman"/>
          <w:sz w:val="24"/>
          <w:szCs w:val="24"/>
          <w:lang w:eastAsia="en-GB"/>
        </w:rPr>
        <w:t> (1969), we defined a “third party” as used in section 410 as:</w:t>
      </w:r>
    </w:p>
    <w:p w14:paraId="010EE3C2" w14:textId="77777777"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some person or entity other than the first and second parties involved, and the first and second parties can only mean the injured employee and the employer or </w:t>
      </w:r>
      <w:r w:rsidRPr="00892D12">
        <w:rPr>
          <w:rFonts w:ascii="Georgia" w:eastAsia="Times New Roman" w:hAnsi="Georgia" w:cs="Times New Roman"/>
          <w:i/>
          <w:iCs/>
          <w:color w:val="004FB3"/>
          <w:sz w:val="24"/>
          <w:szCs w:val="24"/>
          <w:lang w:eastAsia="en-GB"/>
        </w:rPr>
        <w:t>one liable under the compensation act.</w:t>
      </w:r>
    </w:p>
    <w:p w14:paraId="010EE3C3" w14:textId="4210BCFB"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(Emphasis added.) Relying upon this language, we reasoned in </w:t>
      </w:r>
      <w:r w:rsidRPr="00892D12">
        <w:rPr>
          <w:rFonts w:ascii="Georgia" w:eastAsia="Times New Roman" w:hAnsi="Georgia" w:cs="Times New Roman"/>
          <w:i/>
          <w:iCs/>
          <w:sz w:val="24"/>
          <w:szCs w:val="24"/>
          <w:lang w:eastAsia="en-GB"/>
        </w:rPr>
        <w:t>Burkett v. PPG Industries, Inc., </w:t>
      </w:r>
      <w:r w:rsidRPr="00892D12">
        <w:rPr>
          <w:rFonts w:ascii="Georgia" w:eastAsia="Times New Roman" w:hAnsi="Georgia" w:cs="Times New Roman"/>
          <w:color w:val="007BFF"/>
          <w:sz w:val="24"/>
          <w:szCs w:val="24"/>
          <w:lang w:eastAsia="en-GB"/>
        </w:rPr>
        <w:t>294 Ark. 50</w:t>
      </w:r>
      <w:r w:rsidRPr="00892D12">
        <w:rPr>
          <w:rFonts w:ascii="Georgia" w:eastAsia="Times New Roman" w:hAnsi="Georgia" w:cs="Times New Roman"/>
          <w:sz w:val="24"/>
          <w:szCs w:val="24"/>
          <w:lang w:eastAsia="en-GB"/>
        </w:rPr>
        <w:t>, </w:t>
      </w:r>
      <w:hyperlink r:id="rId15" w:history="1">
        <w:r w:rsidRPr="00892D12">
          <w:rPr>
            <w:rFonts w:ascii="Georgia" w:eastAsia="Times New Roman" w:hAnsi="Georgia" w:cs="Times New Roman"/>
            <w:color w:val="007BFF"/>
            <w:sz w:val="24"/>
            <w:szCs w:val="24"/>
            <w:lang w:eastAsia="en-GB"/>
          </w:rPr>
          <w:t>740 S.W.2d 621</w:t>
        </w:r>
      </w:hyperlink>
      <w:r w:rsidRPr="00892D12">
        <w:rPr>
          <w:rFonts w:ascii="Georgia" w:eastAsia="Times New Roman" w:hAnsi="Georgia" w:cs="Times New Roman"/>
          <w:sz w:val="24"/>
          <w:szCs w:val="24"/>
          <w:lang w:eastAsia="en-GB"/>
        </w:rPr>
        <w:t> (1987), that the workers’ compensation carrier was not a “third party” under section 410 because it was the only other entity, besides the employer, that could be held “liable under the workers’ compensation act.” Hence, we held in </w:t>
      </w:r>
      <w:r w:rsidRPr="00892D12">
        <w:rPr>
          <w:rFonts w:ascii="Georgia" w:eastAsia="Times New Roman" w:hAnsi="Georgia" w:cs="Times New Roman"/>
          <w:i/>
          <w:iCs/>
          <w:sz w:val="24"/>
          <w:szCs w:val="24"/>
          <w:lang w:eastAsia="en-GB"/>
        </w:rPr>
        <w:t>Burkett, </w:t>
      </w:r>
      <w:r w:rsidRPr="00892D12">
        <w:rPr>
          <w:rFonts w:ascii="Georgia" w:eastAsia="Times New Roman" w:hAnsi="Georgia" w:cs="Times New Roman"/>
          <w:sz w:val="24"/>
          <w:szCs w:val="24"/>
          <w:lang w:eastAsia="en-GB"/>
        </w:rPr>
        <w:t>that a workers’ compensation carrier has the same immunity from suit as provided to the employer under section 105. </w:t>
      </w:r>
      <w:r w:rsidRPr="00892D12">
        <w:rPr>
          <w:rFonts w:ascii="Georgia" w:eastAsia="Times New Roman" w:hAnsi="Georgia" w:cs="Times New Roman"/>
          <w:i/>
          <w:iCs/>
          <w:color w:val="007BFF"/>
          <w:sz w:val="24"/>
          <w:szCs w:val="24"/>
          <w:lang w:eastAsia="en-GB"/>
        </w:rPr>
        <w:t>Id.</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Likewise, in </w:t>
      </w:r>
      <w:r w:rsidRPr="00892D12">
        <w:rPr>
          <w:rFonts w:ascii="Georgia" w:eastAsia="Times New Roman" w:hAnsi="Georgia" w:cs="Times New Roman"/>
          <w:i/>
          <w:iCs/>
          <w:sz w:val="24"/>
          <w:szCs w:val="24"/>
          <w:lang w:eastAsia="en-GB"/>
        </w:rPr>
        <w:t>Brown v. Finney, </w:t>
      </w:r>
      <w:hyperlink r:id="rId16" w:history="1">
        <w:r w:rsidRPr="00892D12">
          <w:rPr>
            <w:rFonts w:ascii="Georgia" w:eastAsia="Times New Roman" w:hAnsi="Georgia" w:cs="Times New Roman"/>
            <w:color w:val="007BFF"/>
            <w:sz w:val="24"/>
            <w:szCs w:val="24"/>
            <w:lang w:eastAsia="en-GB"/>
          </w:rPr>
          <w:t>326 Ark. 691</w:t>
        </w:r>
      </w:hyperlink>
      <w:r w:rsidRPr="00892D12">
        <w:rPr>
          <w:rFonts w:ascii="Georgia" w:eastAsia="Times New Roman" w:hAnsi="Georgia" w:cs="Times New Roman"/>
          <w:sz w:val="24"/>
          <w:szCs w:val="24"/>
          <w:lang w:eastAsia="en-GB"/>
        </w:rPr>
        <w:t>, </w:t>
      </w:r>
      <w:r w:rsidRPr="00892D12">
        <w:rPr>
          <w:rFonts w:ascii="Georgia" w:eastAsia="Times New Roman" w:hAnsi="Georgia" w:cs="Times New Roman"/>
          <w:color w:val="007BFF"/>
          <w:sz w:val="24"/>
          <w:szCs w:val="24"/>
          <w:lang w:eastAsia="en-GB"/>
        </w:rPr>
        <w:t>932 S.W.2d 769</w:t>
      </w:r>
      <w:r w:rsidRPr="00892D12">
        <w:rPr>
          <w:rFonts w:ascii="Georgia" w:eastAsia="Times New Roman" w:hAnsi="Georgia" w:cs="Times New Roman"/>
          <w:sz w:val="24"/>
          <w:szCs w:val="24"/>
          <w:lang w:eastAsia="en-GB"/>
        </w:rPr>
        <w:t> (1996), we held that co-employees are immune from suit under section 105 if at the time of the injury they were performing the employer’s duty to provide a safe work place.</w:t>
      </w:r>
    </w:p>
    <w:p w14:paraId="010EE3C4"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In this case, however, Insurisk was neither Arkansas Oak Flooring’s workers’ compensation carrier as in </w:t>
      </w:r>
      <w:r w:rsidRPr="00892D12">
        <w:rPr>
          <w:rFonts w:ascii="Georgia" w:eastAsia="Times New Roman" w:hAnsi="Georgia" w:cs="Times New Roman"/>
          <w:i/>
          <w:iCs/>
          <w:sz w:val="24"/>
          <w:szCs w:val="24"/>
          <w:lang w:eastAsia="en-GB"/>
        </w:rPr>
        <w:t>Burkett, </w:t>
      </w:r>
      <w:r w:rsidRPr="00892D12">
        <w:rPr>
          <w:rFonts w:ascii="Georgia" w:eastAsia="Times New Roman" w:hAnsi="Georgia" w:cs="Times New Roman"/>
          <w:sz w:val="24"/>
          <w:szCs w:val="24"/>
          <w:lang w:eastAsia="en-GB"/>
        </w:rPr>
        <w:t>nor was it Arkansas Oak Flooring’s employee, as in </w:t>
      </w:r>
      <w:r w:rsidRPr="00892D12">
        <w:rPr>
          <w:rFonts w:ascii="Georgia" w:eastAsia="Times New Roman" w:hAnsi="Georgia" w:cs="Times New Roman"/>
          <w:i/>
          <w:iCs/>
          <w:sz w:val="24"/>
          <w:szCs w:val="24"/>
          <w:lang w:eastAsia="en-GB"/>
        </w:rPr>
        <w:t>Brown. </w:t>
      </w:r>
      <w:r w:rsidRPr="00892D12">
        <w:rPr>
          <w:rFonts w:ascii="Georgia" w:eastAsia="Times New Roman" w:hAnsi="Georgia" w:cs="Times New Roman"/>
          <w:sz w:val="24"/>
          <w:szCs w:val="24"/>
          <w:lang w:eastAsia="en-GB"/>
        </w:rPr>
        <w:t>Instead, Insurisk was an independent contractor hired by Arkansas Oak Flooring to perform safety inspections. Because we have strictly construed section 105 to extend immunity beyond the employer in only the two instances enumerated in </w:t>
      </w:r>
      <w:r w:rsidRPr="00892D12">
        <w:rPr>
          <w:rFonts w:ascii="Georgia" w:eastAsia="Times New Roman" w:hAnsi="Georgia" w:cs="Times New Roman"/>
          <w:i/>
          <w:iCs/>
          <w:sz w:val="24"/>
          <w:szCs w:val="24"/>
          <w:lang w:eastAsia="en-GB"/>
        </w:rPr>
        <w:t>Burkett </w:t>
      </w:r>
      <w:r w:rsidRPr="00892D12">
        <w:rPr>
          <w:rFonts w:ascii="Georgia" w:eastAsia="Times New Roman" w:hAnsi="Georgia" w:cs="Times New Roman"/>
          <w:sz w:val="24"/>
          <w:szCs w:val="24"/>
          <w:lang w:eastAsia="en-GB"/>
        </w:rPr>
        <w:t>and </w:t>
      </w:r>
      <w:r w:rsidRPr="00892D12">
        <w:rPr>
          <w:rFonts w:ascii="Georgia" w:eastAsia="Times New Roman" w:hAnsi="Georgia" w:cs="Times New Roman"/>
          <w:i/>
          <w:iCs/>
          <w:sz w:val="24"/>
          <w:szCs w:val="24"/>
          <w:lang w:eastAsia="en-GB"/>
        </w:rPr>
        <w:t>Brown, </w:t>
      </w:r>
      <w:r w:rsidRPr="00892D12">
        <w:rPr>
          <w:rFonts w:ascii="Georgia" w:eastAsia="Times New Roman" w:hAnsi="Georgia" w:cs="Times New Roman"/>
          <w:sz w:val="24"/>
          <w:szCs w:val="24"/>
          <w:lang w:eastAsia="en-GB"/>
        </w:rPr>
        <w:t>we </w:t>
      </w:r>
      <w:hyperlink r:id="rId17" w:anchor="p695" w:history="1">
        <w:r w:rsidRPr="00892D12">
          <w:rPr>
            <w:rFonts w:ascii="Georgia" w:eastAsia="Times New Roman" w:hAnsi="Georgia" w:cs="Times New Roman"/>
            <w:i/>
            <w:iCs/>
            <w:color w:val="979797"/>
            <w:sz w:val="19"/>
            <w:szCs w:val="19"/>
            <w:lang w:eastAsia="en-GB"/>
          </w:rPr>
          <w:t>*695</w:t>
        </w:r>
      </w:hyperlink>
      <w:r w:rsidRPr="00892D12">
        <w:rPr>
          <w:rFonts w:ascii="Georgia" w:eastAsia="Times New Roman" w:hAnsi="Georgia" w:cs="Times New Roman"/>
          <w:sz w:val="24"/>
          <w:szCs w:val="24"/>
          <w:lang w:eastAsia="en-GB"/>
        </w:rPr>
        <w:t>hold that the trial court erred when it ruled that Insurisk was immune from Wilson’s tort action under the exclusive remedy provision of the Workers’ Compensation Act.</w:t>
      </w:r>
    </w:p>
    <w:p w14:paraId="010EE3C5"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i/>
          <w:iCs/>
          <w:sz w:val="24"/>
          <w:szCs w:val="24"/>
          <w:lang w:eastAsia="en-GB"/>
        </w:rPr>
        <w:t>II. Duty of Care</w:t>
      </w:r>
    </w:p>
    <w:p w14:paraId="010EE3C6"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 xml:space="preserve">Next, Wilson claims that the trial court erred when it ruled that Insurisk and Moorhead did not owe him a duty of care. Specifically, </w:t>
      </w:r>
      <w:r w:rsidRPr="00EA7623">
        <w:rPr>
          <w:rFonts w:ascii="Georgia" w:eastAsia="Times New Roman" w:hAnsi="Georgia" w:cs="Times New Roman"/>
          <w:sz w:val="24"/>
          <w:szCs w:val="24"/>
          <w:highlight w:val="green"/>
          <w:lang w:eastAsia="en-GB"/>
        </w:rPr>
        <w:t xml:space="preserve">Wilson argues that by contracting with Arkansas Oak Flooring to perform safety inspections of its facilities, Insurisk and Moorhead undertook a duty of care towards all of Arkansas Oak Flooring’s employees to perform those inspections with reasonable care. We agree with this argument, and </w:t>
      </w:r>
      <w:r w:rsidRPr="00EA7623">
        <w:rPr>
          <w:rFonts w:ascii="Georgia" w:eastAsia="Times New Roman" w:hAnsi="Georgia" w:cs="Times New Roman"/>
          <w:sz w:val="24"/>
          <w:szCs w:val="24"/>
          <w:highlight w:val="red"/>
          <w:lang w:eastAsia="en-GB"/>
        </w:rPr>
        <w:t>accordingly we reverse the trial court’s order of summary judgment.</w:t>
      </w:r>
    </w:p>
    <w:p w14:paraId="010EE3C7" w14:textId="3212682D"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In </w:t>
      </w:r>
      <w:r w:rsidRPr="00EA7623">
        <w:rPr>
          <w:rFonts w:ascii="Georgia" w:eastAsia="Times New Roman" w:hAnsi="Georgia" w:cs="Times New Roman"/>
          <w:i/>
          <w:iCs/>
          <w:sz w:val="24"/>
          <w:szCs w:val="24"/>
          <w:highlight w:val="cyan"/>
          <w:lang w:eastAsia="en-GB"/>
        </w:rPr>
        <w:t>Construction Advisors, Inc. v. Sherrell, </w:t>
      </w:r>
      <w:r w:rsidRPr="00EA7623">
        <w:rPr>
          <w:rFonts w:ascii="Georgia" w:eastAsia="Times New Roman" w:hAnsi="Georgia" w:cs="Times New Roman"/>
          <w:color w:val="007BFF"/>
          <w:sz w:val="24"/>
          <w:szCs w:val="24"/>
          <w:highlight w:val="cyan"/>
          <w:lang w:eastAsia="en-GB"/>
        </w:rPr>
        <w:t>275 Ark. 183</w:t>
      </w:r>
      <w:r w:rsidRPr="00EA7623">
        <w:rPr>
          <w:rFonts w:ascii="Georgia" w:eastAsia="Times New Roman" w:hAnsi="Georgia" w:cs="Times New Roman"/>
          <w:sz w:val="24"/>
          <w:szCs w:val="24"/>
          <w:highlight w:val="cyan"/>
          <w:lang w:eastAsia="en-GB"/>
        </w:rPr>
        <w:t>, </w:t>
      </w:r>
      <w:hyperlink r:id="rId18" w:history="1">
        <w:r w:rsidRPr="00EA7623">
          <w:rPr>
            <w:rFonts w:ascii="Georgia" w:eastAsia="Times New Roman" w:hAnsi="Georgia" w:cs="Times New Roman"/>
            <w:color w:val="007BFF"/>
            <w:sz w:val="24"/>
            <w:szCs w:val="24"/>
            <w:highlight w:val="cyan"/>
            <w:lang w:eastAsia="en-GB"/>
          </w:rPr>
          <w:t>628 S.W.2d 309</w:t>
        </w:r>
      </w:hyperlink>
      <w:r w:rsidRPr="00EA7623">
        <w:rPr>
          <w:rFonts w:ascii="Georgia" w:eastAsia="Times New Roman" w:hAnsi="Georgia" w:cs="Times New Roman"/>
          <w:sz w:val="24"/>
          <w:szCs w:val="24"/>
          <w:highlight w:val="cyan"/>
          <w:lang w:eastAsia="en-GB"/>
        </w:rPr>
        <w:t> (1982)</w:t>
      </w:r>
      <w:r w:rsidRPr="00EA7623">
        <w:rPr>
          <w:rFonts w:ascii="Georgia" w:eastAsia="Times New Roman" w:hAnsi="Georgia" w:cs="Times New Roman"/>
          <w:sz w:val="24"/>
          <w:szCs w:val="24"/>
          <w:lang w:eastAsia="en-GB"/>
        </w:rPr>
        <w:t>,</w:t>
      </w:r>
      <w:r w:rsidRPr="00892D12">
        <w:rPr>
          <w:rFonts w:ascii="Georgia" w:eastAsia="Times New Roman" w:hAnsi="Georgia" w:cs="Times New Roman"/>
          <w:sz w:val="24"/>
          <w:szCs w:val="24"/>
          <w:lang w:eastAsia="en-GB"/>
        </w:rPr>
        <w:t xml:space="preserve"> we previously held that by undertaking a duty to the owner of a construction site, Construction Advisors also owed a duty of care to a third party who was injured due to Construction Advisor’s negligent performance of its undertaking. In </w:t>
      </w:r>
      <w:r w:rsidRPr="00EA7623">
        <w:rPr>
          <w:rFonts w:ascii="Georgia" w:eastAsia="Times New Roman" w:hAnsi="Georgia" w:cs="Times New Roman"/>
          <w:i/>
          <w:iCs/>
          <w:sz w:val="24"/>
          <w:szCs w:val="24"/>
          <w:highlight w:val="cyan"/>
          <w:lang w:eastAsia="en-GB"/>
        </w:rPr>
        <w:t>Sherrell</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however, Construction Advisors agreed to maintain a safe premises instead of merely agreeing to inspect the work site and warn about potential safety problems as in this case. </w:t>
      </w:r>
      <w:r w:rsidRPr="00892D12">
        <w:rPr>
          <w:rFonts w:ascii="Georgia" w:eastAsia="Times New Roman" w:hAnsi="Georgia" w:cs="Times New Roman"/>
          <w:i/>
          <w:iCs/>
          <w:color w:val="007BFF"/>
          <w:sz w:val="24"/>
          <w:szCs w:val="24"/>
          <w:lang w:eastAsia="en-GB"/>
        </w:rPr>
        <w:t>Id.</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Hence, we are asked for the first time to decide whether an independent consulting firm that agrees to perform safety inspections of an employer’s premises, but has no authority to implement the safety changes it suggests, owes a duty of care to a third-party employee who is injured on the job.</w:t>
      </w:r>
    </w:p>
    <w:p w14:paraId="010EE3C8" w14:textId="77777777" w:rsidR="00892D12" w:rsidRPr="00892D12" w:rsidRDefault="00892D12" w:rsidP="00892D12">
      <w:pPr>
        <w:spacing w:before="100" w:beforeAutospacing="1" w:after="0"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 xml:space="preserve">Wilson argues that such a duty exists under </w:t>
      </w:r>
      <w:r w:rsidRPr="00130478">
        <w:rPr>
          <w:rFonts w:ascii="Georgia" w:eastAsia="Times New Roman" w:hAnsi="Georgia" w:cs="Times New Roman"/>
          <w:sz w:val="24"/>
          <w:szCs w:val="24"/>
          <w:highlight w:val="cyan"/>
          <w:lang w:eastAsia="en-GB"/>
        </w:rPr>
        <w:t>section 324A</w:t>
      </w:r>
      <w:hyperlink r:id="rId19" w:anchor="footnote_1_2" w:history="1">
        <w:r w:rsidRPr="00130478">
          <w:rPr>
            <w:rFonts w:ascii="Georgia" w:eastAsia="Times New Roman" w:hAnsi="Georgia" w:cs="Times New Roman"/>
            <w:b/>
            <w:bCs/>
            <w:color w:val="E878FF"/>
            <w:sz w:val="24"/>
            <w:szCs w:val="24"/>
            <w:highlight w:val="cyan"/>
            <w:vertAlign w:val="superscript"/>
            <w:lang w:eastAsia="en-GB"/>
          </w:rPr>
          <w:t>2</w:t>
        </w:r>
      </w:hyperlink>
      <w:r w:rsidRPr="00130478">
        <w:rPr>
          <w:rFonts w:ascii="Georgia" w:eastAsia="Times New Roman" w:hAnsi="Georgia" w:cs="Times New Roman"/>
          <w:sz w:val="24"/>
          <w:szCs w:val="24"/>
          <w:highlight w:val="cyan"/>
          <w:lang w:eastAsia="en-GB"/>
        </w:rPr>
        <w:t> of the Restatement of Torts</w:t>
      </w:r>
      <w:r w:rsidRPr="00892D12">
        <w:rPr>
          <w:rFonts w:ascii="Georgia" w:eastAsia="Times New Roman" w:hAnsi="Georgia" w:cs="Times New Roman"/>
          <w:sz w:val="24"/>
          <w:szCs w:val="24"/>
          <w:lang w:eastAsia="en-GB"/>
        </w:rPr>
        <w:t xml:space="preserve"> which states that:</w:t>
      </w:r>
    </w:p>
    <w:p w14:paraId="010EE3C9" w14:textId="57969346"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One who undertakes, gratuitously or for consideration, to render services to another which he should recognize as necessary for the protection of a third person or his things, is subject to </w:t>
      </w:r>
      <w:r w:rsidRPr="00892D12">
        <w:rPr>
          <w:rFonts w:ascii="Georgia" w:eastAsia="Times New Roman" w:hAnsi="Georgia" w:cs="Times New Roman"/>
          <w:i/>
          <w:iCs/>
          <w:color w:val="979797"/>
          <w:sz w:val="19"/>
          <w:szCs w:val="19"/>
          <w:lang w:eastAsia="en-GB"/>
        </w:rPr>
        <w:t>*696</w:t>
      </w:r>
      <w:r w:rsidRPr="00892D12">
        <w:rPr>
          <w:rFonts w:ascii="Georgia" w:eastAsia="Times New Roman" w:hAnsi="Georgia" w:cs="Times New Roman"/>
          <w:color w:val="004FB3"/>
          <w:sz w:val="24"/>
          <w:szCs w:val="24"/>
          <w:lang w:eastAsia="en-GB"/>
        </w:rPr>
        <w:t>liability to the third person for physical harm, resulting from his failure to exercise reasonable care to protect his undertaking, if</w:t>
      </w:r>
    </w:p>
    <w:p w14:paraId="010EE3CA" w14:textId="77777777"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(a) his failure to exercise reasonable care increases the risk of such harm, or</w:t>
      </w:r>
    </w:p>
    <w:p w14:paraId="010EE3CB" w14:textId="77777777"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(b) he has undertaken to perform a duty owed by the other to the third person, or</w:t>
      </w:r>
    </w:p>
    <w:p w14:paraId="010EE3CC" w14:textId="77777777" w:rsidR="00892D12" w:rsidRPr="00892D12" w:rsidRDefault="00892D12" w:rsidP="00892D12">
      <w:pPr>
        <w:spacing w:after="100" w:line="240" w:lineRule="auto"/>
        <w:rPr>
          <w:rFonts w:ascii="Georgia" w:eastAsia="Times New Roman" w:hAnsi="Georgia" w:cs="Times New Roman"/>
          <w:color w:val="004FB3"/>
          <w:sz w:val="24"/>
          <w:szCs w:val="24"/>
          <w:lang w:eastAsia="en-GB"/>
        </w:rPr>
      </w:pPr>
      <w:r w:rsidRPr="00892D12">
        <w:rPr>
          <w:rFonts w:ascii="Georgia" w:eastAsia="Times New Roman" w:hAnsi="Georgia" w:cs="Times New Roman"/>
          <w:color w:val="004FB3"/>
          <w:sz w:val="24"/>
          <w:szCs w:val="24"/>
          <w:lang w:eastAsia="en-GB"/>
        </w:rPr>
        <w:t>(c) the harm is suffered because of reliance of the other or the third person upon the undertaking.</w:t>
      </w:r>
    </w:p>
    <w:p w14:paraId="010EE3CD"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130478">
        <w:rPr>
          <w:rFonts w:ascii="Georgia" w:eastAsia="Times New Roman" w:hAnsi="Georgia" w:cs="Times New Roman"/>
          <w:i/>
          <w:iCs/>
          <w:sz w:val="24"/>
          <w:szCs w:val="24"/>
          <w:highlight w:val="cyan"/>
          <w:lang w:eastAsia="en-GB"/>
        </w:rPr>
        <w:t>Restatement (Second) of Torts </w:t>
      </w:r>
      <w:r w:rsidRPr="00130478">
        <w:rPr>
          <w:rFonts w:ascii="Georgia" w:eastAsia="Times New Roman" w:hAnsi="Georgia" w:cs="Times New Roman"/>
          <w:sz w:val="24"/>
          <w:szCs w:val="24"/>
          <w:highlight w:val="cyan"/>
          <w:lang w:eastAsia="en-GB"/>
        </w:rPr>
        <w:t>§ 324A (1965).</w:t>
      </w:r>
      <w:r w:rsidRPr="00892D12">
        <w:rPr>
          <w:rFonts w:ascii="Georgia" w:eastAsia="Times New Roman" w:hAnsi="Georgia" w:cs="Times New Roman"/>
          <w:sz w:val="24"/>
          <w:szCs w:val="24"/>
          <w:lang w:eastAsia="en-GB"/>
        </w:rPr>
        <w:t xml:space="preserve"> According to the comments to the Restatement, the “undertaker” is liable to the third party under section (b) merely if it undertakes a duty owed to the third party by another. </w:t>
      </w:r>
      <w:r w:rsidRPr="00130478">
        <w:rPr>
          <w:rFonts w:ascii="Georgia" w:eastAsia="Times New Roman" w:hAnsi="Georgia" w:cs="Times New Roman"/>
          <w:i/>
          <w:iCs/>
          <w:sz w:val="24"/>
          <w:szCs w:val="24"/>
          <w:highlight w:val="cyan"/>
          <w:lang w:eastAsia="en-GB"/>
        </w:rPr>
        <w:t>Restatement (Second) of Torts </w:t>
      </w:r>
      <w:r w:rsidRPr="00130478">
        <w:rPr>
          <w:rFonts w:ascii="Georgia" w:eastAsia="Times New Roman" w:hAnsi="Georgia" w:cs="Times New Roman"/>
          <w:sz w:val="24"/>
          <w:szCs w:val="24"/>
          <w:highlight w:val="cyan"/>
          <w:lang w:eastAsia="en-GB"/>
        </w:rPr>
        <w:t>§ 324A, cmt. d (1965).</w:t>
      </w:r>
    </w:p>
    <w:p w14:paraId="010EE3CE" w14:textId="6D2E71F4"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 xml:space="preserve">As previously mentioned, whether an independent safety-inspection company owes a duty of care to a third-party employee is an issue of first impression in Arkansas. Other jurisdictions have consistently held that pursuant to </w:t>
      </w:r>
      <w:r w:rsidRPr="00130478">
        <w:rPr>
          <w:rFonts w:ascii="Georgia" w:eastAsia="Times New Roman" w:hAnsi="Georgia" w:cs="Times New Roman"/>
          <w:sz w:val="24"/>
          <w:szCs w:val="24"/>
          <w:highlight w:val="cyan"/>
          <w:lang w:eastAsia="en-GB"/>
        </w:rPr>
        <w:t>section (b) of Restatement 324A</w:t>
      </w:r>
      <w:r w:rsidRPr="00892D12">
        <w:rPr>
          <w:rFonts w:ascii="Georgia" w:eastAsia="Times New Roman" w:hAnsi="Georgia" w:cs="Times New Roman"/>
          <w:sz w:val="24"/>
          <w:szCs w:val="24"/>
          <w:lang w:eastAsia="en-GB"/>
        </w:rPr>
        <w:t xml:space="preserve"> an independent consulting firm that agrees to perform safety inspections of an employer’s work place owes a duty of care to a third-party employee to perform those inspections with reasonable care. </w:t>
      </w:r>
      <w:r w:rsidRPr="00130478">
        <w:rPr>
          <w:rFonts w:ascii="Georgia" w:eastAsia="Times New Roman" w:hAnsi="Georgia" w:cs="Times New Roman"/>
          <w:i/>
          <w:iCs/>
          <w:sz w:val="24"/>
          <w:szCs w:val="24"/>
          <w:highlight w:val="cyan"/>
          <w:lang w:eastAsia="en-GB"/>
        </w:rPr>
        <w:t>Canipe v. National Loss Control Serv. Inc., </w:t>
      </w:r>
      <w:hyperlink r:id="rId20" w:history="1">
        <w:r w:rsidRPr="00130478">
          <w:rPr>
            <w:rFonts w:ascii="Georgia" w:eastAsia="Times New Roman" w:hAnsi="Georgia" w:cs="Times New Roman"/>
            <w:color w:val="007BFF"/>
            <w:sz w:val="24"/>
            <w:szCs w:val="24"/>
            <w:highlight w:val="cyan"/>
            <w:lang w:eastAsia="en-GB"/>
          </w:rPr>
          <w:t>736 F.2d 1055</w:t>
        </w:r>
      </w:hyperlink>
      <w:r w:rsidRPr="00130478">
        <w:rPr>
          <w:rFonts w:ascii="Georgia" w:eastAsia="Times New Roman" w:hAnsi="Georgia" w:cs="Times New Roman"/>
          <w:sz w:val="24"/>
          <w:szCs w:val="24"/>
          <w:highlight w:val="cyan"/>
          <w:lang w:eastAsia="en-GB"/>
        </w:rPr>
        <w:t> (5th Cir. 1984); </w:t>
      </w:r>
      <w:r w:rsidRPr="00130478">
        <w:rPr>
          <w:rFonts w:ascii="Georgia" w:eastAsia="Times New Roman" w:hAnsi="Georgia" w:cs="Times New Roman"/>
          <w:i/>
          <w:iCs/>
          <w:sz w:val="24"/>
          <w:szCs w:val="24"/>
          <w:highlight w:val="cyan"/>
          <w:lang w:eastAsia="en-GB"/>
        </w:rPr>
        <w:t>Santillo v. Chambersburg Eng’g Co., </w:t>
      </w:r>
      <w:r w:rsidRPr="00130478">
        <w:rPr>
          <w:rFonts w:ascii="Georgia" w:eastAsia="Times New Roman" w:hAnsi="Georgia" w:cs="Times New Roman"/>
          <w:color w:val="007BFF"/>
          <w:sz w:val="24"/>
          <w:szCs w:val="24"/>
          <w:highlight w:val="cyan"/>
          <w:lang w:eastAsia="en-GB"/>
        </w:rPr>
        <w:t>603 F. Supp. 211</w:t>
      </w:r>
      <w:r w:rsidRPr="00130478">
        <w:rPr>
          <w:rFonts w:ascii="Georgia" w:eastAsia="Times New Roman" w:hAnsi="Georgia" w:cs="Times New Roman"/>
          <w:sz w:val="24"/>
          <w:szCs w:val="24"/>
          <w:highlight w:val="cyan"/>
          <w:lang w:eastAsia="en-GB"/>
        </w:rPr>
        <w:t> (E.D. Pa. 1985), </w:t>
      </w:r>
      <w:r w:rsidRPr="00130478">
        <w:rPr>
          <w:rFonts w:ascii="Georgia" w:eastAsia="Times New Roman" w:hAnsi="Georgia" w:cs="Times New Roman"/>
          <w:i/>
          <w:iCs/>
          <w:sz w:val="24"/>
          <w:szCs w:val="24"/>
          <w:highlight w:val="cyan"/>
          <w:lang w:eastAsia="en-GB"/>
        </w:rPr>
        <w:t>aff'd, </w:t>
      </w:r>
      <w:hyperlink r:id="rId21" w:history="1">
        <w:r w:rsidRPr="00130478">
          <w:rPr>
            <w:rFonts w:ascii="Georgia" w:eastAsia="Times New Roman" w:hAnsi="Georgia" w:cs="Times New Roman"/>
            <w:color w:val="007BFF"/>
            <w:sz w:val="24"/>
            <w:szCs w:val="24"/>
            <w:highlight w:val="cyan"/>
            <w:lang w:eastAsia="en-GB"/>
          </w:rPr>
          <w:t>802 F.2d 447</w:t>
        </w:r>
      </w:hyperlink>
      <w:r w:rsidRPr="00130478">
        <w:rPr>
          <w:rFonts w:ascii="Georgia" w:eastAsia="Times New Roman" w:hAnsi="Georgia" w:cs="Times New Roman"/>
          <w:sz w:val="24"/>
          <w:szCs w:val="24"/>
          <w:highlight w:val="cyan"/>
          <w:lang w:eastAsia="en-GB"/>
        </w:rPr>
        <w:t> (3rd. Cir. 1986); </w:t>
      </w:r>
      <w:r w:rsidRPr="00130478">
        <w:rPr>
          <w:rFonts w:ascii="Georgia" w:eastAsia="Times New Roman" w:hAnsi="Georgia" w:cs="Times New Roman"/>
          <w:i/>
          <w:iCs/>
          <w:sz w:val="24"/>
          <w:szCs w:val="24"/>
          <w:lang w:eastAsia="en-GB"/>
        </w:rPr>
        <w:t xml:space="preserve">see also </w:t>
      </w:r>
      <w:r w:rsidRPr="00130478">
        <w:rPr>
          <w:rFonts w:ascii="Georgia" w:eastAsia="Times New Roman" w:hAnsi="Georgia" w:cs="Times New Roman"/>
          <w:i/>
          <w:iCs/>
          <w:sz w:val="24"/>
          <w:szCs w:val="24"/>
          <w:highlight w:val="cyan"/>
          <w:lang w:eastAsia="en-GB"/>
        </w:rPr>
        <w:t>Price v. Management Safety Inc., </w:t>
      </w:r>
      <w:r w:rsidRPr="00130478">
        <w:rPr>
          <w:rFonts w:ascii="Georgia" w:eastAsia="Times New Roman" w:hAnsi="Georgia" w:cs="Times New Roman"/>
          <w:color w:val="007BFF"/>
          <w:sz w:val="24"/>
          <w:szCs w:val="24"/>
          <w:highlight w:val="cyan"/>
          <w:lang w:eastAsia="en-GB"/>
        </w:rPr>
        <w:t>485 So.2d 1093</w:t>
      </w:r>
      <w:r w:rsidRPr="00130478">
        <w:rPr>
          <w:rFonts w:ascii="Georgia" w:eastAsia="Times New Roman" w:hAnsi="Georgia" w:cs="Times New Roman"/>
          <w:sz w:val="24"/>
          <w:szCs w:val="24"/>
          <w:highlight w:val="cyan"/>
          <w:lang w:eastAsia="en-GB"/>
        </w:rPr>
        <w:t> (Ala. 1986)</w:t>
      </w:r>
      <w:r w:rsidRPr="00892D12">
        <w:rPr>
          <w:rFonts w:ascii="Georgia" w:eastAsia="Times New Roman" w:hAnsi="Georgia" w:cs="Times New Roman"/>
          <w:sz w:val="24"/>
          <w:szCs w:val="24"/>
          <w:lang w:eastAsia="en-GB"/>
        </w:rPr>
        <w:t xml:space="preserve"> (imposing a duty without mentioning Restatement § 324A); </w:t>
      </w:r>
      <w:r w:rsidRPr="00130478">
        <w:rPr>
          <w:rFonts w:ascii="Georgia" w:eastAsia="Times New Roman" w:hAnsi="Georgia" w:cs="Times New Roman"/>
          <w:i/>
          <w:iCs/>
          <w:sz w:val="24"/>
          <w:szCs w:val="24"/>
          <w:highlight w:val="cyan"/>
          <w:lang w:eastAsia="en-GB"/>
        </w:rPr>
        <w:t>Gallicho v. Corporate Group Serv. Inc., </w:t>
      </w:r>
      <w:hyperlink r:id="rId22" w:history="1">
        <w:r w:rsidRPr="00130478">
          <w:rPr>
            <w:rFonts w:ascii="Georgia" w:eastAsia="Times New Roman" w:hAnsi="Georgia" w:cs="Times New Roman"/>
            <w:color w:val="007BFF"/>
            <w:sz w:val="24"/>
            <w:szCs w:val="24"/>
            <w:highlight w:val="cyan"/>
            <w:lang w:eastAsia="en-GB"/>
          </w:rPr>
          <w:t>227 So.2d 519</w:t>
        </w:r>
      </w:hyperlink>
      <w:r w:rsidRPr="00130478">
        <w:rPr>
          <w:rFonts w:ascii="Georgia" w:eastAsia="Times New Roman" w:hAnsi="Georgia" w:cs="Times New Roman"/>
          <w:sz w:val="24"/>
          <w:szCs w:val="24"/>
          <w:highlight w:val="cyan"/>
          <w:lang w:eastAsia="en-GB"/>
        </w:rPr>
        <w:t> (Fla. App. 1969)</w:t>
      </w:r>
      <w:r w:rsidRPr="00892D12">
        <w:rPr>
          <w:rFonts w:ascii="Georgia" w:eastAsia="Times New Roman" w:hAnsi="Georgia" w:cs="Times New Roman"/>
          <w:sz w:val="24"/>
          <w:szCs w:val="24"/>
          <w:lang w:eastAsia="en-GB"/>
        </w:rPr>
        <w:t xml:space="preserve"> (finding a duty of care under contract law). These jurisdictions reason that the safety consultant owes a duty of care under </w:t>
      </w:r>
      <w:r w:rsidRPr="00130478">
        <w:rPr>
          <w:rFonts w:ascii="Georgia" w:eastAsia="Times New Roman" w:hAnsi="Georgia" w:cs="Times New Roman"/>
          <w:sz w:val="24"/>
          <w:szCs w:val="24"/>
          <w:highlight w:val="cyan"/>
          <w:lang w:eastAsia="en-GB"/>
        </w:rPr>
        <w:t>Restatement § 324A(b)</w:t>
      </w:r>
      <w:r w:rsidRPr="00892D12">
        <w:rPr>
          <w:rFonts w:ascii="Georgia" w:eastAsia="Times New Roman" w:hAnsi="Georgia" w:cs="Times New Roman"/>
          <w:sz w:val="24"/>
          <w:szCs w:val="24"/>
          <w:lang w:eastAsia="en-GB"/>
        </w:rPr>
        <w:t xml:space="preserve"> because it is reasonably foreseeable that if the inspections are done improperly a third-party employee will be injured. </w:t>
      </w:r>
      <w:r w:rsidRPr="00892D12">
        <w:rPr>
          <w:rFonts w:ascii="Georgia" w:eastAsia="Times New Roman" w:hAnsi="Georgia" w:cs="Times New Roman"/>
          <w:i/>
          <w:iCs/>
          <w:sz w:val="24"/>
          <w:szCs w:val="24"/>
          <w:lang w:eastAsia="en-GB"/>
        </w:rPr>
        <w:t xml:space="preserve">See </w:t>
      </w:r>
      <w:r w:rsidRPr="00130478">
        <w:rPr>
          <w:rFonts w:ascii="Georgia" w:eastAsia="Times New Roman" w:hAnsi="Georgia" w:cs="Times New Roman"/>
          <w:i/>
          <w:iCs/>
          <w:sz w:val="24"/>
          <w:szCs w:val="24"/>
          <w:highlight w:val="cyan"/>
          <w:lang w:eastAsia="en-GB"/>
        </w:rPr>
        <w:t>Santillo</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i/>
          <w:iCs/>
          <w:color w:val="007BFF"/>
          <w:sz w:val="24"/>
          <w:szCs w:val="24"/>
          <w:lang w:eastAsia="en-GB"/>
        </w:rPr>
        <w:t>supra;</w:t>
      </w:r>
      <w:r w:rsidRPr="00892D12">
        <w:rPr>
          <w:rFonts w:ascii="Georgia" w:eastAsia="Times New Roman" w:hAnsi="Georgia" w:cs="Times New Roman"/>
          <w:i/>
          <w:iCs/>
          <w:sz w:val="24"/>
          <w:szCs w:val="24"/>
          <w:lang w:eastAsia="en-GB"/>
        </w:rPr>
        <w:t> </w:t>
      </w:r>
      <w:r w:rsidRPr="00130478">
        <w:rPr>
          <w:rFonts w:ascii="Georgia" w:eastAsia="Times New Roman" w:hAnsi="Georgia" w:cs="Times New Roman"/>
          <w:i/>
          <w:iCs/>
          <w:sz w:val="24"/>
          <w:szCs w:val="24"/>
          <w:highlight w:val="cyan"/>
          <w:lang w:eastAsia="en-GB"/>
        </w:rPr>
        <w:t>Gallicho</w:t>
      </w:r>
      <w:r w:rsidRPr="00892D12">
        <w:rPr>
          <w:rFonts w:ascii="Georgia" w:eastAsia="Times New Roman" w:hAnsi="Georgia" w:cs="Times New Roman"/>
          <w:i/>
          <w:iCs/>
          <w:sz w:val="24"/>
          <w:szCs w:val="24"/>
          <w:lang w:eastAsia="en-GB"/>
        </w:rPr>
        <w:t>, </w:t>
      </w:r>
      <w:hyperlink r:id="rId23" w:history="1">
        <w:r w:rsidRPr="00892D12">
          <w:rPr>
            <w:rFonts w:ascii="Georgia" w:eastAsia="Times New Roman" w:hAnsi="Georgia" w:cs="Times New Roman"/>
            <w:i/>
            <w:iCs/>
            <w:color w:val="007BFF"/>
            <w:sz w:val="24"/>
            <w:szCs w:val="24"/>
            <w:lang w:eastAsia="en-GB"/>
          </w:rPr>
          <w:t>supra.</w:t>
        </w:r>
      </w:hyperlink>
    </w:p>
    <w:p w14:paraId="010EE3CF" w14:textId="270DF4D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Moreover, the facts of the cases in which other courts have imposed a duty of care are virtually identical to the facts at hand. For example, in </w:t>
      </w:r>
      <w:r w:rsidRPr="00130478">
        <w:rPr>
          <w:rFonts w:ascii="Georgia" w:eastAsia="Times New Roman" w:hAnsi="Georgia" w:cs="Times New Roman"/>
          <w:i/>
          <w:iCs/>
          <w:sz w:val="24"/>
          <w:szCs w:val="24"/>
          <w:highlight w:val="cyan"/>
          <w:lang w:eastAsia="en-GB"/>
        </w:rPr>
        <w:t>Santillo</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an employer hired NATLCO, an independent consulting firm, to perform safety inspections of its plant and make recommendations concerning safety improvements. </w:t>
      </w:r>
      <w:r w:rsidRPr="00130478">
        <w:rPr>
          <w:rFonts w:ascii="Georgia" w:eastAsia="Times New Roman" w:hAnsi="Georgia" w:cs="Times New Roman"/>
          <w:i/>
          <w:iCs/>
          <w:sz w:val="24"/>
          <w:szCs w:val="24"/>
          <w:highlight w:val="cyan"/>
          <w:lang w:eastAsia="en-GB"/>
        </w:rPr>
        <w:t>Santillo</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i/>
          <w:iCs/>
          <w:color w:val="007BFF"/>
          <w:sz w:val="24"/>
          <w:szCs w:val="24"/>
          <w:lang w:eastAsia="en-GB"/>
        </w:rPr>
        <w:t>supra.</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Although it appears that NATLCO did not </w:t>
      </w:r>
      <w:hyperlink r:id="rId24" w:anchor="p697" w:history="1">
        <w:r w:rsidRPr="00892D12">
          <w:rPr>
            <w:rFonts w:ascii="Georgia" w:eastAsia="Times New Roman" w:hAnsi="Georgia" w:cs="Times New Roman"/>
            <w:i/>
            <w:iCs/>
            <w:color w:val="979797"/>
            <w:sz w:val="19"/>
            <w:szCs w:val="19"/>
            <w:lang w:eastAsia="en-GB"/>
          </w:rPr>
          <w:t>*697</w:t>
        </w:r>
      </w:hyperlink>
      <w:r w:rsidRPr="00892D12">
        <w:rPr>
          <w:rFonts w:ascii="Georgia" w:eastAsia="Times New Roman" w:hAnsi="Georgia" w:cs="Times New Roman"/>
          <w:sz w:val="24"/>
          <w:szCs w:val="24"/>
          <w:lang w:eastAsia="en-GB"/>
        </w:rPr>
        <w:t xml:space="preserve">have the authority to implement the safety improvements it recommended, the Pennsylvania court held that pursuant to </w:t>
      </w:r>
      <w:r w:rsidRPr="00130478">
        <w:rPr>
          <w:rFonts w:ascii="Georgia" w:eastAsia="Times New Roman" w:hAnsi="Georgia" w:cs="Times New Roman"/>
          <w:sz w:val="24"/>
          <w:szCs w:val="24"/>
          <w:highlight w:val="cyan"/>
          <w:lang w:eastAsia="en-GB"/>
        </w:rPr>
        <w:t>section (b) of Restatement 324A</w:t>
      </w:r>
      <w:r w:rsidRPr="00892D12">
        <w:rPr>
          <w:rFonts w:ascii="Georgia" w:eastAsia="Times New Roman" w:hAnsi="Georgia" w:cs="Times New Roman"/>
          <w:sz w:val="24"/>
          <w:szCs w:val="24"/>
          <w:lang w:eastAsia="en-GB"/>
        </w:rPr>
        <w:t>, NATLCO owed a duty of care to an employee who was injured as a result of NATLCO’s allegedly negligent inspection of a piece of machinery. </w:t>
      </w:r>
      <w:r w:rsidRPr="00130478">
        <w:rPr>
          <w:rFonts w:ascii="Georgia" w:eastAsia="Times New Roman" w:hAnsi="Georgia" w:cs="Times New Roman"/>
          <w:i/>
          <w:iCs/>
          <w:sz w:val="24"/>
          <w:szCs w:val="24"/>
          <w:highlight w:val="cyan"/>
          <w:lang w:eastAsia="en-GB"/>
        </w:rPr>
        <w:t>Santillo</w:t>
      </w:r>
      <w:r w:rsidRPr="00892D12">
        <w:rPr>
          <w:rFonts w:ascii="Georgia" w:eastAsia="Times New Roman" w:hAnsi="Georgia" w:cs="Times New Roman"/>
          <w:i/>
          <w:iCs/>
          <w:sz w:val="24"/>
          <w:szCs w:val="24"/>
          <w:lang w:eastAsia="en-GB"/>
        </w:rPr>
        <w:t>, supra.</w:t>
      </w:r>
    </w:p>
    <w:p w14:paraId="010EE3D0" w14:textId="25F2B9A4"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Likewise, in </w:t>
      </w:r>
      <w:r w:rsidRPr="00130478">
        <w:rPr>
          <w:rFonts w:ascii="Georgia" w:eastAsia="Times New Roman" w:hAnsi="Georgia" w:cs="Times New Roman"/>
          <w:i/>
          <w:iCs/>
          <w:sz w:val="24"/>
          <w:szCs w:val="24"/>
          <w:highlight w:val="cyan"/>
          <w:lang w:eastAsia="en-GB"/>
        </w:rPr>
        <w:t>Canipe</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an employer hired National Loss, an independent consulting firm, to provide safety inspections and accident-prevention services at its manufacturing plant. </w:t>
      </w:r>
      <w:r w:rsidRPr="00130478">
        <w:rPr>
          <w:rFonts w:ascii="Georgia" w:eastAsia="Times New Roman" w:hAnsi="Georgia" w:cs="Times New Roman"/>
          <w:i/>
          <w:iCs/>
          <w:sz w:val="24"/>
          <w:szCs w:val="24"/>
          <w:highlight w:val="cyan"/>
          <w:lang w:eastAsia="en-GB"/>
        </w:rPr>
        <w:t>Canipe</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i/>
          <w:iCs/>
          <w:color w:val="007BFF"/>
          <w:sz w:val="24"/>
          <w:szCs w:val="24"/>
          <w:lang w:eastAsia="en-GB"/>
        </w:rPr>
        <w:t>supra.</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As in </w:t>
      </w:r>
      <w:r w:rsidRPr="00130478">
        <w:rPr>
          <w:rFonts w:ascii="Georgia" w:eastAsia="Times New Roman" w:hAnsi="Georgia" w:cs="Times New Roman"/>
          <w:i/>
          <w:iCs/>
          <w:sz w:val="24"/>
          <w:szCs w:val="24"/>
          <w:highlight w:val="cyan"/>
          <w:lang w:eastAsia="en-GB"/>
        </w:rPr>
        <w:t>Santillo</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National Loss did not have the authority to implement the safety improvements it deemed necessary. </w:t>
      </w:r>
      <w:r w:rsidRPr="00130478">
        <w:rPr>
          <w:rFonts w:ascii="Georgia" w:eastAsia="Times New Roman" w:hAnsi="Georgia" w:cs="Times New Roman"/>
          <w:i/>
          <w:iCs/>
          <w:sz w:val="24"/>
          <w:szCs w:val="24"/>
          <w:highlight w:val="cyan"/>
          <w:lang w:eastAsia="en-GB"/>
        </w:rPr>
        <w:t>Canipe</w:t>
      </w:r>
      <w:r w:rsidRPr="00892D12">
        <w:rPr>
          <w:rFonts w:ascii="Georgia" w:eastAsia="Times New Roman" w:hAnsi="Georgia" w:cs="Times New Roman"/>
          <w:i/>
          <w:iCs/>
          <w:sz w:val="24"/>
          <w:szCs w:val="24"/>
          <w:lang w:eastAsia="en-GB"/>
        </w:rPr>
        <w:t>, </w:t>
      </w:r>
      <w:hyperlink r:id="rId25" w:history="1">
        <w:r w:rsidRPr="00892D12">
          <w:rPr>
            <w:rFonts w:ascii="Georgia" w:eastAsia="Times New Roman" w:hAnsi="Georgia" w:cs="Times New Roman"/>
            <w:i/>
            <w:iCs/>
            <w:color w:val="007BFF"/>
            <w:sz w:val="24"/>
            <w:szCs w:val="24"/>
            <w:lang w:eastAsia="en-GB"/>
          </w:rPr>
          <w:t>supra.</w:t>
        </w:r>
      </w:hyperlink>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 xml:space="preserve">Despite this fact, the Fifth Circuit Court of Appeals held that National </w:t>
      </w:r>
      <w:r w:rsidRPr="00130478">
        <w:rPr>
          <w:rFonts w:ascii="Georgia" w:eastAsia="Times New Roman" w:hAnsi="Georgia" w:cs="Times New Roman"/>
          <w:sz w:val="24"/>
          <w:szCs w:val="24"/>
          <w:lang w:eastAsia="en-GB"/>
        </w:rPr>
        <w:t>Loss</w:t>
      </w:r>
      <w:r w:rsidRPr="00892D12">
        <w:rPr>
          <w:rFonts w:ascii="Georgia" w:eastAsia="Times New Roman" w:hAnsi="Georgia" w:cs="Times New Roman"/>
          <w:sz w:val="24"/>
          <w:szCs w:val="24"/>
          <w:lang w:eastAsia="en-GB"/>
        </w:rPr>
        <w:t xml:space="preserve"> owed the employee a duty of care under Restatement 324A(b) to conduct its safety inspections with reasonable care. </w:t>
      </w:r>
      <w:r w:rsidRPr="00130478">
        <w:rPr>
          <w:rFonts w:ascii="Georgia" w:eastAsia="Times New Roman" w:hAnsi="Georgia" w:cs="Times New Roman"/>
          <w:i/>
          <w:iCs/>
          <w:sz w:val="24"/>
          <w:szCs w:val="24"/>
          <w:highlight w:val="cyan"/>
          <w:lang w:eastAsia="en-GB"/>
        </w:rPr>
        <w:t>Canipe</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i/>
          <w:iCs/>
          <w:color w:val="007BFF"/>
          <w:sz w:val="24"/>
          <w:szCs w:val="24"/>
          <w:lang w:eastAsia="en-GB"/>
        </w:rPr>
        <w:t>supra.</w:t>
      </w:r>
    </w:p>
    <w:p w14:paraId="010EE3D1"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In both </w:t>
      </w:r>
      <w:r w:rsidRPr="00130478">
        <w:rPr>
          <w:rFonts w:ascii="Georgia" w:eastAsia="Times New Roman" w:hAnsi="Georgia" w:cs="Times New Roman"/>
          <w:i/>
          <w:iCs/>
          <w:sz w:val="24"/>
          <w:szCs w:val="24"/>
          <w:highlight w:val="cyan"/>
          <w:lang w:eastAsia="en-GB"/>
        </w:rPr>
        <w:t>Santillo</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and </w:t>
      </w:r>
      <w:r w:rsidRPr="00130478">
        <w:rPr>
          <w:rFonts w:ascii="Georgia" w:eastAsia="Times New Roman" w:hAnsi="Georgia" w:cs="Times New Roman"/>
          <w:i/>
          <w:iCs/>
          <w:sz w:val="24"/>
          <w:szCs w:val="24"/>
          <w:highlight w:val="cyan"/>
          <w:lang w:eastAsia="en-GB"/>
        </w:rPr>
        <w:t>Canipe</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sz w:val="24"/>
          <w:szCs w:val="24"/>
          <w:lang w:eastAsia="en-GB"/>
        </w:rPr>
        <w:t>the courts imposed a duty of care on the independent safety consultant despite the fact that the consultant did not have the authority to implement the safety corrections. Moreover, Insurisk and Moorhead have failed to cite, nor could we find, any case in which the ability of the safety consultant to implement improvements was a relevant factor in determining whether the consultant owed a duty of care to the injured employee. </w:t>
      </w:r>
      <w:r w:rsidRPr="00892D12">
        <w:rPr>
          <w:rFonts w:ascii="Georgia" w:eastAsia="Times New Roman" w:hAnsi="Georgia" w:cs="Times New Roman"/>
          <w:i/>
          <w:iCs/>
          <w:sz w:val="24"/>
          <w:szCs w:val="24"/>
          <w:lang w:eastAsia="en-GB"/>
        </w:rPr>
        <w:t>See generally, </w:t>
      </w:r>
      <w:r w:rsidRPr="00892D12">
        <w:rPr>
          <w:rFonts w:ascii="Georgia" w:eastAsia="Times New Roman" w:hAnsi="Georgia" w:cs="Times New Roman"/>
          <w:sz w:val="24"/>
          <w:szCs w:val="24"/>
          <w:lang w:eastAsia="en-GB"/>
        </w:rPr>
        <w:t>Frank J. Wozniak, </w:t>
      </w:r>
      <w:r w:rsidRPr="00892D12">
        <w:rPr>
          <w:rFonts w:ascii="Georgia" w:eastAsia="Times New Roman" w:hAnsi="Georgia" w:cs="Times New Roman"/>
          <w:i/>
          <w:iCs/>
          <w:sz w:val="24"/>
          <w:szCs w:val="24"/>
          <w:lang w:eastAsia="en-GB"/>
        </w:rPr>
        <w:t>Breach of Assumed Duty to Inspect Property as Ground for Liability to Third Party, </w:t>
      </w:r>
      <w:hyperlink r:id="rId26" w:history="1">
        <w:r w:rsidRPr="00892D12">
          <w:rPr>
            <w:rFonts w:ascii="Georgia" w:eastAsia="Times New Roman" w:hAnsi="Georgia" w:cs="Times New Roman"/>
            <w:color w:val="007BFF"/>
            <w:sz w:val="24"/>
            <w:szCs w:val="24"/>
            <w:lang w:eastAsia="en-GB"/>
          </w:rPr>
          <w:t>13 A.L.R.5th 289</w:t>
        </w:r>
      </w:hyperlink>
      <w:r w:rsidRPr="00892D12">
        <w:rPr>
          <w:rFonts w:ascii="Georgia" w:eastAsia="Times New Roman" w:hAnsi="Georgia" w:cs="Times New Roman"/>
          <w:sz w:val="24"/>
          <w:szCs w:val="24"/>
          <w:lang w:eastAsia="en-GB"/>
        </w:rPr>
        <w:t> (1993). This is because the authority to implement safety changes is an issue of proximate causation and not duty.</w:t>
      </w:r>
    </w:p>
    <w:p w14:paraId="010EE3D2" w14:textId="6CE24534"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We are aware that some courts have refused to impose a duty of care when the inspection is performed by the employer’s insurance carrier because the carrier performed the inspection to reduce its own potential liability and not for the purpose of protecting employees from harm. </w:t>
      </w:r>
      <w:r w:rsidRPr="00892D12">
        <w:rPr>
          <w:rFonts w:ascii="Georgia" w:eastAsia="Times New Roman" w:hAnsi="Georgia" w:cs="Times New Roman"/>
          <w:i/>
          <w:iCs/>
          <w:sz w:val="24"/>
          <w:szCs w:val="24"/>
          <w:lang w:eastAsia="en-GB"/>
        </w:rPr>
        <w:t>See, e.g., Davis v. Liberty Mut. Insur. Co., </w:t>
      </w:r>
      <w:r w:rsidRPr="00892D12">
        <w:rPr>
          <w:rFonts w:ascii="Georgia" w:eastAsia="Times New Roman" w:hAnsi="Georgia" w:cs="Times New Roman"/>
          <w:color w:val="007BFF"/>
          <w:sz w:val="24"/>
          <w:szCs w:val="24"/>
          <w:lang w:eastAsia="en-GB"/>
        </w:rPr>
        <w:t>525 F.2d 1204</w:t>
      </w:r>
      <w:r w:rsidRPr="00892D12">
        <w:rPr>
          <w:rFonts w:ascii="Georgia" w:eastAsia="Times New Roman" w:hAnsi="Georgia" w:cs="Times New Roman"/>
          <w:sz w:val="24"/>
          <w:szCs w:val="24"/>
          <w:lang w:eastAsia="en-GB"/>
        </w:rPr>
        <w:t> (5th Cir. 1976) (applying Alabama law); </w:t>
      </w:r>
      <w:r w:rsidRPr="00892D12">
        <w:rPr>
          <w:rFonts w:ascii="Georgia" w:eastAsia="Times New Roman" w:hAnsi="Georgia" w:cs="Times New Roman"/>
          <w:i/>
          <w:iCs/>
          <w:sz w:val="24"/>
          <w:szCs w:val="24"/>
          <w:lang w:eastAsia="en-GB"/>
        </w:rPr>
        <w:t>Tillman v. Travelers Indem. Co., </w:t>
      </w:r>
      <w:hyperlink r:id="rId27" w:history="1">
        <w:r w:rsidRPr="00892D12">
          <w:rPr>
            <w:rFonts w:ascii="Georgia" w:eastAsia="Times New Roman" w:hAnsi="Georgia" w:cs="Times New Roman"/>
            <w:color w:val="007BFF"/>
            <w:sz w:val="24"/>
            <w:szCs w:val="24"/>
            <w:lang w:eastAsia="en-GB"/>
          </w:rPr>
          <w:t>506 F.2d 917</w:t>
        </w:r>
      </w:hyperlink>
      <w:r w:rsidRPr="00892D12">
        <w:rPr>
          <w:rFonts w:ascii="Georgia" w:eastAsia="Times New Roman" w:hAnsi="Georgia" w:cs="Times New Roman"/>
          <w:sz w:val="24"/>
          <w:szCs w:val="24"/>
          <w:lang w:eastAsia="en-GB"/>
        </w:rPr>
        <w:t> (5th Cir. 1975) (applying Mississippi law). Likewise, some courts have refused to impose a duty of care when the inspections are performed by a government agency. </w:t>
      </w:r>
      <w:r w:rsidRPr="00892D12">
        <w:rPr>
          <w:rFonts w:ascii="Georgia" w:eastAsia="Times New Roman" w:hAnsi="Georgia" w:cs="Times New Roman"/>
          <w:i/>
          <w:iCs/>
          <w:sz w:val="24"/>
          <w:szCs w:val="24"/>
          <w:lang w:eastAsia="en-GB"/>
        </w:rPr>
        <w:t>See, e.g., Raymer v. United States, </w:t>
      </w:r>
      <w:r w:rsidRPr="00892D12">
        <w:rPr>
          <w:rFonts w:ascii="Georgia" w:eastAsia="Times New Roman" w:hAnsi="Georgia" w:cs="Times New Roman"/>
          <w:color w:val="007BFF"/>
          <w:sz w:val="24"/>
          <w:szCs w:val="24"/>
          <w:lang w:eastAsia="en-GB"/>
        </w:rPr>
        <w:t>660 F.2d 1136</w:t>
      </w:r>
      <w:r w:rsidRPr="00892D12">
        <w:rPr>
          <w:rFonts w:ascii="Georgia" w:eastAsia="Times New Roman" w:hAnsi="Georgia" w:cs="Times New Roman"/>
          <w:sz w:val="24"/>
          <w:szCs w:val="24"/>
          <w:lang w:eastAsia="en-GB"/>
        </w:rPr>
        <w:t> (6th Cir. </w:t>
      </w:r>
      <w:hyperlink r:id="rId28" w:anchor="p698" w:history="1">
        <w:r w:rsidRPr="00892D12">
          <w:rPr>
            <w:rFonts w:ascii="Georgia" w:eastAsia="Times New Roman" w:hAnsi="Georgia" w:cs="Times New Roman"/>
            <w:i/>
            <w:iCs/>
            <w:color w:val="979797"/>
            <w:sz w:val="19"/>
            <w:szCs w:val="19"/>
            <w:lang w:eastAsia="en-GB"/>
          </w:rPr>
          <w:t>*698</w:t>
        </w:r>
      </w:hyperlink>
      <w:r w:rsidRPr="00892D12">
        <w:rPr>
          <w:rFonts w:ascii="Georgia" w:eastAsia="Times New Roman" w:hAnsi="Georgia" w:cs="Times New Roman"/>
          <w:sz w:val="24"/>
          <w:szCs w:val="24"/>
          <w:lang w:eastAsia="en-GB"/>
        </w:rPr>
        <w:t>1981) (applying Kentucky law); </w:t>
      </w:r>
      <w:r w:rsidRPr="00892D12">
        <w:rPr>
          <w:rFonts w:ascii="Georgia" w:eastAsia="Times New Roman" w:hAnsi="Georgia" w:cs="Times New Roman"/>
          <w:i/>
          <w:iCs/>
          <w:sz w:val="24"/>
          <w:szCs w:val="24"/>
          <w:lang w:eastAsia="en-GB"/>
        </w:rPr>
        <w:t>Blessing v. United States, </w:t>
      </w:r>
      <w:r w:rsidRPr="00892D12">
        <w:rPr>
          <w:rFonts w:ascii="Georgia" w:eastAsia="Times New Roman" w:hAnsi="Georgia" w:cs="Times New Roman"/>
          <w:color w:val="007BFF"/>
          <w:sz w:val="24"/>
          <w:szCs w:val="24"/>
          <w:lang w:eastAsia="en-GB"/>
        </w:rPr>
        <w:t>447 F. Supp. 1160</w:t>
      </w:r>
      <w:r w:rsidRPr="00892D12">
        <w:rPr>
          <w:rFonts w:ascii="Georgia" w:eastAsia="Times New Roman" w:hAnsi="Georgia" w:cs="Times New Roman"/>
          <w:sz w:val="24"/>
          <w:szCs w:val="24"/>
          <w:lang w:eastAsia="en-GB"/>
        </w:rPr>
        <w:t> (E.D. Pa. 1978) (applying Pennsylvania law).</w:t>
      </w:r>
    </w:p>
    <w:p w14:paraId="010EE3D3" w14:textId="0C50E25E"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130478">
        <w:rPr>
          <w:rFonts w:ascii="Georgia" w:eastAsia="Times New Roman" w:hAnsi="Georgia" w:cs="Times New Roman"/>
          <w:sz w:val="24"/>
          <w:szCs w:val="24"/>
          <w:highlight w:val="green"/>
          <w:lang w:eastAsia="en-GB"/>
        </w:rPr>
        <w:t>In this case, Insurisk was neither Arkansas Oak Flooring’s insurer nor was it a government agency. Thus, we hold that Insurisk and Moorhead owed a duty of care to Arkansas Oak Flooring’s employees, including Wilson, to perform safety inspections with reasonable care. In this respect, however, we acknowledge that the degree of the undertaking defines the scope of the duty of care owed to the third party.</w:t>
      </w:r>
      <w:r w:rsidRPr="00892D12">
        <w:rPr>
          <w:rFonts w:ascii="Georgia" w:eastAsia="Times New Roman" w:hAnsi="Georgia" w:cs="Times New Roman"/>
          <w:sz w:val="24"/>
          <w:szCs w:val="24"/>
          <w:lang w:eastAsia="en-GB"/>
        </w:rPr>
        <w:t> </w:t>
      </w:r>
      <w:r w:rsidRPr="00892D12">
        <w:rPr>
          <w:rFonts w:ascii="Georgia" w:eastAsia="Times New Roman" w:hAnsi="Georgia" w:cs="Times New Roman"/>
          <w:i/>
          <w:iCs/>
          <w:sz w:val="24"/>
          <w:szCs w:val="24"/>
          <w:lang w:eastAsia="en-GB"/>
        </w:rPr>
        <w:t xml:space="preserve">See, e.g., </w:t>
      </w:r>
      <w:r w:rsidRPr="00130478">
        <w:rPr>
          <w:rFonts w:ascii="Georgia" w:eastAsia="Times New Roman" w:hAnsi="Georgia" w:cs="Times New Roman"/>
          <w:i/>
          <w:iCs/>
          <w:sz w:val="24"/>
          <w:szCs w:val="24"/>
          <w:highlight w:val="cyan"/>
          <w:lang w:eastAsia="en-GB"/>
        </w:rPr>
        <w:t>Santillo</w:t>
      </w:r>
      <w:r w:rsidRPr="00892D12">
        <w:rPr>
          <w:rFonts w:ascii="Georgia" w:eastAsia="Times New Roman" w:hAnsi="Georgia" w:cs="Times New Roman"/>
          <w:i/>
          <w:iCs/>
          <w:sz w:val="24"/>
          <w:szCs w:val="24"/>
          <w:lang w:eastAsia="en-GB"/>
        </w:rPr>
        <w:t>, </w:t>
      </w:r>
      <w:hyperlink r:id="rId29" w:history="1">
        <w:r w:rsidRPr="00892D12">
          <w:rPr>
            <w:rFonts w:ascii="Georgia" w:eastAsia="Times New Roman" w:hAnsi="Georgia" w:cs="Times New Roman"/>
            <w:i/>
            <w:iCs/>
            <w:color w:val="007BFF"/>
            <w:sz w:val="24"/>
            <w:szCs w:val="24"/>
            <w:lang w:eastAsia="en-GB"/>
          </w:rPr>
          <w:t>supra;</w:t>
        </w:r>
      </w:hyperlink>
      <w:r w:rsidRPr="00892D12">
        <w:rPr>
          <w:rFonts w:ascii="Georgia" w:eastAsia="Times New Roman" w:hAnsi="Georgia" w:cs="Times New Roman"/>
          <w:i/>
          <w:iCs/>
          <w:sz w:val="24"/>
          <w:szCs w:val="24"/>
          <w:lang w:eastAsia="en-GB"/>
        </w:rPr>
        <w:t> </w:t>
      </w:r>
      <w:r w:rsidRPr="00130478">
        <w:rPr>
          <w:rFonts w:ascii="Georgia" w:eastAsia="Times New Roman" w:hAnsi="Georgia" w:cs="Times New Roman"/>
          <w:i/>
          <w:iCs/>
          <w:sz w:val="24"/>
          <w:szCs w:val="24"/>
          <w:highlight w:val="cyan"/>
          <w:lang w:eastAsia="en-GB"/>
        </w:rPr>
        <w:t>Canipe</w:t>
      </w:r>
      <w:r w:rsidRPr="00892D12">
        <w:rPr>
          <w:rFonts w:ascii="Georgia" w:eastAsia="Times New Roman" w:hAnsi="Georgia" w:cs="Times New Roman"/>
          <w:i/>
          <w:iCs/>
          <w:sz w:val="24"/>
          <w:szCs w:val="24"/>
          <w:lang w:eastAsia="en-GB"/>
        </w:rPr>
        <w:t>, </w:t>
      </w:r>
      <w:r w:rsidRPr="00892D12">
        <w:rPr>
          <w:rFonts w:ascii="Georgia" w:eastAsia="Times New Roman" w:hAnsi="Georgia" w:cs="Times New Roman"/>
          <w:i/>
          <w:iCs/>
          <w:color w:val="007BFF"/>
          <w:sz w:val="24"/>
          <w:szCs w:val="24"/>
          <w:lang w:eastAsia="en-GB"/>
        </w:rPr>
        <w:t>supra;</w:t>
      </w:r>
      <w:r w:rsidRPr="00892D12">
        <w:rPr>
          <w:rFonts w:ascii="Georgia" w:eastAsia="Times New Roman" w:hAnsi="Georgia" w:cs="Times New Roman"/>
          <w:i/>
          <w:iCs/>
          <w:sz w:val="24"/>
          <w:szCs w:val="24"/>
          <w:lang w:eastAsia="en-GB"/>
        </w:rPr>
        <w:t> </w:t>
      </w:r>
      <w:r w:rsidRPr="00130478">
        <w:rPr>
          <w:rFonts w:ascii="Georgia" w:eastAsia="Times New Roman" w:hAnsi="Georgia" w:cs="Times New Roman"/>
          <w:i/>
          <w:iCs/>
          <w:sz w:val="24"/>
          <w:szCs w:val="24"/>
          <w:highlight w:val="cyan"/>
          <w:lang w:eastAsia="en-GB"/>
        </w:rPr>
        <w:t>Blessing</w:t>
      </w:r>
      <w:r w:rsidRPr="00892D12">
        <w:rPr>
          <w:rFonts w:ascii="Georgia" w:eastAsia="Times New Roman" w:hAnsi="Georgia" w:cs="Times New Roman"/>
          <w:i/>
          <w:iCs/>
          <w:sz w:val="24"/>
          <w:szCs w:val="24"/>
          <w:lang w:eastAsia="en-GB"/>
        </w:rPr>
        <w:t>, </w:t>
      </w:r>
      <w:hyperlink r:id="rId30" w:history="1">
        <w:r w:rsidRPr="00892D12">
          <w:rPr>
            <w:rFonts w:ascii="Georgia" w:eastAsia="Times New Roman" w:hAnsi="Georgia" w:cs="Times New Roman"/>
            <w:i/>
            <w:iCs/>
            <w:color w:val="007BFF"/>
            <w:sz w:val="24"/>
            <w:szCs w:val="24"/>
            <w:lang w:eastAsia="en-GB"/>
          </w:rPr>
          <w:t>supra.</w:t>
        </w:r>
      </w:hyperlink>
    </w:p>
    <w:p w14:paraId="010EE3D4" w14:textId="2C1B2334"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130478">
        <w:rPr>
          <w:rFonts w:ascii="Georgia" w:eastAsia="Times New Roman" w:hAnsi="Georgia" w:cs="Times New Roman"/>
          <w:sz w:val="24"/>
          <w:szCs w:val="24"/>
          <w:highlight w:val="green"/>
          <w:lang w:eastAsia="en-GB"/>
        </w:rPr>
        <w:t>In this case, Insurisk and Moorhead agreed to inspect the work site and warn Arkansas Oak Flooring about any detected safety hazards. Plence, Insurisk and Moorhead will be liable to Wilson only if it is determined that they breached those duties, and that such breach proximately caused Wilson’s injuries.</w:t>
      </w:r>
      <w:r w:rsidRPr="00892D12">
        <w:rPr>
          <w:rFonts w:ascii="Georgia" w:eastAsia="Times New Roman" w:hAnsi="Georgia" w:cs="Times New Roman"/>
          <w:sz w:val="24"/>
          <w:szCs w:val="24"/>
          <w:lang w:eastAsia="en-GB"/>
        </w:rPr>
        <w:t xml:space="preserve"> Whether Arkansas Oak Flooring would have exercised its sole authority to implement the changes suggested by Insurisk and Moorhead is an issue of proximate causation, not duty, and thus, should be resolved by the jury instead of the court. </w:t>
      </w:r>
      <w:r w:rsidRPr="00892D12">
        <w:rPr>
          <w:rFonts w:ascii="Georgia" w:eastAsia="Times New Roman" w:hAnsi="Georgia" w:cs="Times New Roman"/>
          <w:i/>
          <w:iCs/>
          <w:sz w:val="24"/>
          <w:szCs w:val="24"/>
          <w:lang w:eastAsia="en-GB"/>
        </w:rPr>
        <w:t>See, Shannon v. Wilson, </w:t>
      </w:r>
      <w:r w:rsidRPr="00892D12">
        <w:rPr>
          <w:rFonts w:ascii="Georgia" w:eastAsia="Times New Roman" w:hAnsi="Georgia" w:cs="Times New Roman"/>
          <w:color w:val="007BFF"/>
          <w:sz w:val="24"/>
          <w:szCs w:val="24"/>
          <w:lang w:eastAsia="en-GB"/>
        </w:rPr>
        <w:t>329 Ark. 143</w:t>
      </w:r>
      <w:r w:rsidRPr="00892D12">
        <w:rPr>
          <w:rFonts w:ascii="Georgia" w:eastAsia="Times New Roman" w:hAnsi="Georgia" w:cs="Times New Roman"/>
          <w:sz w:val="24"/>
          <w:szCs w:val="24"/>
          <w:lang w:eastAsia="en-GB"/>
        </w:rPr>
        <w:t>, </w:t>
      </w:r>
      <w:hyperlink r:id="rId31" w:history="1">
        <w:r w:rsidRPr="00892D12">
          <w:rPr>
            <w:rFonts w:ascii="Georgia" w:eastAsia="Times New Roman" w:hAnsi="Georgia" w:cs="Times New Roman"/>
            <w:color w:val="007BFF"/>
            <w:sz w:val="24"/>
            <w:szCs w:val="24"/>
            <w:lang w:eastAsia="en-GB"/>
          </w:rPr>
          <w:t>947 S.W.2d 349</w:t>
        </w:r>
      </w:hyperlink>
      <w:r w:rsidRPr="00892D12">
        <w:rPr>
          <w:rFonts w:ascii="Georgia" w:eastAsia="Times New Roman" w:hAnsi="Georgia" w:cs="Times New Roman"/>
          <w:sz w:val="24"/>
          <w:szCs w:val="24"/>
          <w:lang w:eastAsia="en-GB"/>
        </w:rPr>
        <w:t> (1997); </w:t>
      </w:r>
      <w:r w:rsidRPr="00892D12">
        <w:rPr>
          <w:rFonts w:ascii="Georgia" w:eastAsia="Times New Roman" w:hAnsi="Georgia" w:cs="Times New Roman"/>
          <w:i/>
          <w:iCs/>
          <w:sz w:val="24"/>
          <w:szCs w:val="24"/>
          <w:lang w:eastAsia="en-GB"/>
        </w:rPr>
        <w:t>McGraw v. Weeks, </w:t>
      </w:r>
      <w:r w:rsidRPr="00892D12">
        <w:rPr>
          <w:rFonts w:ascii="Georgia" w:eastAsia="Times New Roman" w:hAnsi="Georgia" w:cs="Times New Roman"/>
          <w:color w:val="007BFF"/>
          <w:sz w:val="24"/>
          <w:szCs w:val="24"/>
          <w:lang w:eastAsia="en-GB"/>
        </w:rPr>
        <w:t>326 Ark. 285</w:t>
      </w:r>
      <w:r w:rsidRPr="00892D12">
        <w:rPr>
          <w:rFonts w:ascii="Georgia" w:eastAsia="Times New Roman" w:hAnsi="Georgia" w:cs="Times New Roman"/>
          <w:sz w:val="24"/>
          <w:szCs w:val="24"/>
          <w:lang w:eastAsia="en-GB"/>
        </w:rPr>
        <w:t>, </w:t>
      </w:r>
      <w:hyperlink r:id="rId32" w:history="1">
        <w:r w:rsidRPr="00892D12">
          <w:rPr>
            <w:rFonts w:ascii="Georgia" w:eastAsia="Times New Roman" w:hAnsi="Georgia" w:cs="Times New Roman"/>
            <w:color w:val="007BFF"/>
            <w:sz w:val="24"/>
            <w:szCs w:val="24"/>
            <w:lang w:eastAsia="en-GB"/>
          </w:rPr>
          <w:t>930 S.W.2d 285</w:t>
        </w:r>
      </w:hyperlink>
      <w:r w:rsidRPr="00892D12">
        <w:rPr>
          <w:rFonts w:ascii="Georgia" w:eastAsia="Times New Roman" w:hAnsi="Georgia" w:cs="Times New Roman"/>
          <w:sz w:val="24"/>
          <w:szCs w:val="24"/>
          <w:lang w:eastAsia="en-GB"/>
        </w:rPr>
        <w:t> (1996). Moreover, neither party appealed the trial court’s finding that “there would be sufficient evidence to make [a] jury question regarding breach of duty and proximate cause if the Defendants owe a duty” to Wilson.</w:t>
      </w:r>
    </w:p>
    <w:p w14:paraId="010EE3D5"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 xml:space="preserve">For these reasons, </w:t>
      </w:r>
      <w:r w:rsidRPr="00130478">
        <w:rPr>
          <w:rFonts w:ascii="Georgia" w:eastAsia="Times New Roman" w:hAnsi="Georgia" w:cs="Times New Roman"/>
          <w:sz w:val="24"/>
          <w:szCs w:val="24"/>
          <w:highlight w:val="green"/>
          <w:lang w:eastAsia="en-GB"/>
        </w:rPr>
        <w:t>we conclude that</w:t>
      </w:r>
      <w:r w:rsidRPr="00130478">
        <w:rPr>
          <w:rFonts w:ascii="Georgia" w:eastAsia="Times New Roman" w:hAnsi="Georgia" w:cs="Times New Roman"/>
          <w:sz w:val="24"/>
          <w:szCs w:val="24"/>
          <w:lang w:eastAsia="en-GB"/>
        </w:rPr>
        <w:t xml:space="preserve"> Insurisk and Moorhead are not immune from Wilson’s tort action under</w:t>
      </w:r>
      <w:r w:rsidRPr="00892D12">
        <w:rPr>
          <w:rFonts w:ascii="Georgia" w:eastAsia="Times New Roman" w:hAnsi="Georgia" w:cs="Times New Roman"/>
          <w:sz w:val="24"/>
          <w:szCs w:val="24"/>
          <w:lang w:eastAsia="en-GB"/>
        </w:rPr>
        <w:t xml:space="preserve"> the exclusive remedy provision of the workers’ compensation statute, and that </w:t>
      </w:r>
      <w:r w:rsidRPr="00130478">
        <w:rPr>
          <w:rFonts w:ascii="Georgia" w:eastAsia="Times New Roman" w:hAnsi="Georgia" w:cs="Times New Roman"/>
          <w:sz w:val="24"/>
          <w:szCs w:val="24"/>
          <w:highlight w:val="green"/>
          <w:lang w:eastAsia="en-GB"/>
        </w:rPr>
        <w:t>pursuant to section (b) of the </w:t>
      </w:r>
      <w:r w:rsidRPr="00130478">
        <w:rPr>
          <w:rFonts w:ascii="Georgia" w:eastAsia="Times New Roman" w:hAnsi="Georgia" w:cs="Times New Roman"/>
          <w:i/>
          <w:iCs/>
          <w:sz w:val="24"/>
          <w:szCs w:val="24"/>
          <w:highlight w:val="green"/>
          <w:lang w:eastAsia="en-GB"/>
        </w:rPr>
        <w:t>Restatement (Second) of Torts </w:t>
      </w:r>
      <w:r w:rsidRPr="00130478">
        <w:rPr>
          <w:rFonts w:ascii="Georgia" w:eastAsia="Times New Roman" w:hAnsi="Georgia" w:cs="Times New Roman"/>
          <w:sz w:val="24"/>
          <w:szCs w:val="24"/>
          <w:highlight w:val="green"/>
          <w:lang w:eastAsia="en-GB"/>
        </w:rPr>
        <w:t>§ 324A, Insurisk and Moorhead owed Wilson a duty of care in connection with their undertaking to inspect the premises and warn Arkansas Oak Flooring about any detected safety hazards.</w:t>
      </w:r>
      <w:r w:rsidRPr="00892D12">
        <w:rPr>
          <w:rFonts w:ascii="Georgia" w:eastAsia="Times New Roman" w:hAnsi="Georgia" w:cs="Times New Roman"/>
          <w:sz w:val="24"/>
          <w:szCs w:val="24"/>
          <w:lang w:eastAsia="en-GB"/>
        </w:rPr>
        <w:t xml:space="preserve"> </w:t>
      </w:r>
      <w:r w:rsidRPr="00130478">
        <w:rPr>
          <w:rFonts w:ascii="Georgia" w:eastAsia="Times New Roman" w:hAnsi="Georgia" w:cs="Times New Roman"/>
          <w:sz w:val="24"/>
          <w:szCs w:val="24"/>
          <w:highlight w:val="red"/>
          <w:lang w:eastAsia="en-GB"/>
        </w:rPr>
        <w:t>Accordingly, we reverse the trial court’s order of summary judgment and remand for further proceedings consistent with this opinion.</w:t>
      </w:r>
    </w:p>
    <w:p w14:paraId="010EE3D6" w14:textId="77777777" w:rsidR="00892D12" w:rsidRPr="00892D12" w:rsidRDefault="00892D12" w:rsidP="00892D12">
      <w:pPr>
        <w:spacing w:before="100" w:beforeAutospacing="1" w:after="225" w:line="240" w:lineRule="auto"/>
        <w:rPr>
          <w:rFonts w:ascii="Georgia" w:eastAsia="Times New Roman" w:hAnsi="Georgia" w:cs="Times New Roman"/>
          <w:sz w:val="24"/>
          <w:szCs w:val="24"/>
          <w:lang w:eastAsia="en-GB"/>
        </w:rPr>
      </w:pPr>
      <w:r w:rsidRPr="00130478">
        <w:rPr>
          <w:rFonts w:ascii="Georgia" w:eastAsia="Times New Roman" w:hAnsi="Georgia" w:cs="Times New Roman"/>
          <w:sz w:val="24"/>
          <w:szCs w:val="24"/>
          <w:highlight w:val="red"/>
          <w:lang w:eastAsia="en-GB"/>
        </w:rPr>
        <w:t>Reversed and remanded.</w:t>
      </w:r>
    </w:p>
    <w:p w14:paraId="010EE3D7" w14:textId="44493E9B" w:rsidR="00892D12" w:rsidRPr="00892D12" w:rsidRDefault="00892D12" w:rsidP="00892D12">
      <w:pPr>
        <w:spacing w:after="0" w:line="240" w:lineRule="auto"/>
        <w:rPr>
          <w:rFonts w:ascii="Times New Roman" w:eastAsia="Times New Roman" w:hAnsi="Times New Roman" w:cs="Times New Roman"/>
          <w:sz w:val="24"/>
          <w:szCs w:val="24"/>
          <w:lang w:eastAsia="en-GB"/>
        </w:rPr>
      </w:pPr>
      <w:r w:rsidRPr="00892D12">
        <w:rPr>
          <w:rFonts w:ascii="Georgia" w:eastAsia="Times New Roman" w:hAnsi="Georgia" w:cs="Times New Roman"/>
          <w:b/>
          <w:bCs/>
          <w:color w:val="E878FF"/>
          <w:sz w:val="24"/>
          <w:szCs w:val="24"/>
          <w:lang w:eastAsia="en-GB"/>
        </w:rPr>
        <w:t>1</w:t>
      </w:r>
    </w:p>
    <w:p w14:paraId="010EE3D8" w14:textId="77777777" w:rsidR="00892D12" w:rsidRPr="00892D12" w:rsidRDefault="00892D12" w:rsidP="00892D12">
      <w:pPr>
        <w:spacing w:after="120"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Wilson died on September 5, 1993, as a result of a heart attack that was not associated with the injuries he sustained from his fall at Arkansas Oak’s facility. Simmons First National Bank, the special administrator of Wilson’s estate, was allowed to pursue this case on Wilson’s behalf.</w:t>
      </w:r>
    </w:p>
    <w:p w14:paraId="010EE3D9" w14:textId="77777777" w:rsidR="00892D12" w:rsidRPr="00892D12" w:rsidRDefault="00A37F18" w:rsidP="00892D12">
      <w:pPr>
        <w:spacing w:after="0" w:line="240" w:lineRule="auto"/>
        <w:rPr>
          <w:rFonts w:ascii="Times New Roman" w:eastAsia="Times New Roman" w:hAnsi="Times New Roman" w:cs="Times New Roman"/>
          <w:sz w:val="24"/>
          <w:szCs w:val="24"/>
          <w:lang w:eastAsia="en-GB"/>
        </w:rPr>
      </w:pPr>
      <w:hyperlink r:id="rId33" w:anchor="ref_footnote_1_2" w:history="1">
        <w:r w:rsidR="00892D12" w:rsidRPr="00892D12">
          <w:rPr>
            <w:rFonts w:ascii="Georgia" w:eastAsia="Times New Roman" w:hAnsi="Georgia" w:cs="Times New Roman"/>
            <w:b/>
            <w:bCs/>
            <w:color w:val="E878FF"/>
            <w:sz w:val="24"/>
            <w:szCs w:val="24"/>
            <w:lang w:eastAsia="en-GB"/>
          </w:rPr>
          <w:t>2</w:t>
        </w:r>
      </w:hyperlink>
    </w:p>
    <w:p w14:paraId="010EE3DA" w14:textId="1FAB0AA4" w:rsidR="00892D12" w:rsidRPr="00892D12" w:rsidRDefault="00892D12" w:rsidP="00892D12">
      <w:pPr>
        <w:spacing w:after="120" w:line="240" w:lineRule="auto"/>
        <w:rPr>
          <w:rFonts w:ascii="Georgia" w:eastAsia="Times New Roman" w:hAnsi="Georgia" w:cs="Times New Roman"/>
          <w:sz w:val="24"/>
          <w:szCs w:val="24"/>
          <w:lang w:eastAsia="en-GB"/>
        </w:rPr>
      </w:pPr>
      <w:r w:rsidRPr="00892D12">
        <w:rPr>
          <w:rFonts w:ascii="Georgia" w:eastAsia="Times New Roman" w:hAnsi="Georgia" w:cs="Times New Roman"/>
          <w:sz w:val="24"/>
          <w:szCs w:val="24"/>
          <w:lang w:eastAsia="en-GB"/>
        </w:rPr>
        <w:t>The doctrine embodied in Restatement 324A is frequently called the “good Samaritan” doctrine even though the duty may be undertaken gratuitously or for consideration. </w:t>
      </w:r>
      <w:r w:rsidRPr="00892D12">
        <w:rPr>
          <w:rFonts w:ascii="Georgia" w:eastAsia="Times New Roman" w:hAnsi="Georgia" w:cs="Times New Roman"/>
          <w:i/>
          <w:iCs/>
          <w:sz w:val="24"/>
          <w:szCs w:val="24"/>
          <w:lang w:eastAsia="en-GB"/>
        </w:rPr>
        <w:t>See, e.g., Pantentas v. United States, </w:t>
      </w:r>
      <w:r w:rsidRPr="00892D12">
        <w:rPr>
          <w:rFonts w:ascii="Georgia" w:eastAsia="Times New Roman" w:hAnsi="Georgia" w:cs="Times New Roman"/>
          <w:color w:val="007BFF"/>
          <w:sz w:val="24"/>
          <w:szCs w:val="24"/>
          <w:lang w:eastAsia="en-GB"/>
        </w:rPr>
        <w:t>687 F.2d 707</w:t>
      </w:r>
      <w:r w:rsidRPr="00892D12">
        <w:rPr>
          <w:rFonts w:ascii="Georgia" w:eastAsia="Times New Roman" w:hAnsi="Georgia" w:cs="Times New Roman"/>
          <w:sz w:val="24"/>
          <w:szCs w:val="24"/>
          <w:lang w:eastAsia="en-GB"/>
        </w:rPr>
        <w:t> (3rd Cir. 1982); </w:t>
      </w:r>
      <w:r w:rsidRPr="00892D12">
        <w:rPr>
          <w:rFonts w:ascii="Georgia" w:eastAsia="Times New Roman" w:hAnsi="Georgia" w:cs="Times New Roman"/>
          <w:i/>
          <w:iCs/>
          <w:sz w:val="24"/>
          <w:szCs w:val="24"/>
          <w:lang w:eastAsia="en-GB"/>
        </w:rPr>
        <w:t>Santillo v. Chambersburg Eng’g Co., </w:t>
      </w:r>
      <w:hyperlink r:id="rId34" w:history="1">
        <w:r w:rsidRPr="00892D12">
          <w:rPr>
            <w:rFonts w:ascii="Georgia" w:eastAsia="Times New Roman" w:hAnsi="Georgia" w:cs="Times New Roman"/>
            <w:color w:val="007BFF"/>
            <w:sz w:val="24"/>
            <w:szCs w:val="24"/>
            <w:lang w:eastAsia="en-GB"/>
          </w:rPr>
          <w:t>603 F. Supp. 211</w:t>
        </w:r>
      </w:hyperlink>
      <w:r w:rsidRPr="00892D12">
        <w:rPr>
          <w:rFonts w:ascii="Georgia" w:eastAsia="Times New Roman" w:hAnsi="Georgia" w:cs="Times New Roman"/>
          <w:sz w:val="24"/>
          <w:szCs w:val="24"/>
          <w:lang w:eastAsia="en-GB"/>
        </w:rPr>
        <w:t> (E.D. Pa. 1985), </w:t>
      </w:r>
      <w:r w:rsidRPr="00892D12">
        <w:rPr>
          <w:rFonts w:ascii="Georgia" w:eastAsia="Times New Roman" w:hAnsi="Georgia" w:cs="Times New Roman"/>
          <w:i/>
          <w:iCs/>
          <w:sz w:val="24"/>
          <w:szCs w:val="24"/>
          <w:lang w:eastAsia="en-GB"/>
        </w:rPr>
        <w:t>aff'd, </w:t>
      </w:r>
      <w:r w:rsidRPr="00892D12">
        <w:rPr>
          <w:rFonts w:ascii="Georgia" w:eastAsia="Times New Roman" w:hAnsi="Georgia" w:cs="Times New Roman"/>
          <w:color w:val="007BFF"/>
          <w:sz w:val="24"/>
          <w:szCs w:val="24"/>
          <w:lang w:eastAsia="en-GB"/>
        </w:rPr>
        <w:t>802 F.2d 448</w:t>
      </w:r>
      <w:r w:rsidRPr="00892D12">
        <w:rPr>
          <w:rFonts w:ascii="Georgia" w:eastAsia="Times New Roman" w:hAnsi="Georgia" w:cs="Times New Roman"/>
          <w:sz w:val="24"/>
          <w:szCs w:val="24"/>
          <w:lang w:eastAsia="en-GB"/>
        </w:rPr>
        <w:t> (3rd Cir. 1986).</w:t>
      </w:r>
    </w:p>
    <w:p w14:paraId="010EE3DB" w14:textId="77777777" w:rsidR="003C7770" w:rsidRDefault="003C7770"/>
    <w:p w14:paraId="010EE3DC" w14:textId="77777777" w:rsidR="00130478" w:rsidRPr="009456D4" w:rsidRDefault="00130478" w:rsidP="0013047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10EE3DD" w14:textId="77777777" w:rsidR="00130478" w:rsidRPr="00130478" w:rsidRDefault="00130478" w:rsidP="00130478">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Wilson fell from a catwalk that did not have safety rails while working for his employer (Arkansas Oak)</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Arkansas Oak hired </w:t>
      </w:r>
      <w:r w:rsidRPr="00130478">
        <w:rPr>
          <w:rFonts w:ascii="Georgia" w:eastAsia="Times New Roman" w:hAnsi="Georgia" w:cs="Times New Roman"/>
          <w:sz w:val="28"/>
          <w:szCs w:val="24"/>
          <w:lang w:eastAsia="en-GB"/>
        </w:rPr>
        <w:t xml:space="preserve">Insurisk Insurance Services (defendant) to conduct loss-control surveys of its facilities. Wilson sued defendant for negligently failing to discover, warn about, and correct the safety hazard posed by the unguarded catwalk. The question was whether Insurisk owed Wilson a duty of care. The trial court held that it did not. The appellate court reversed. </w:t>
      </w:r>
    </w:p>
    <w:p w14:paraId="010EE3DE" w14:textId="77777777" w:rsidR="00130478" w:rsidRDefault="00130478"/>
    <w:sectPr w:rsidR="00130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D12"/>
    <w:rsid w:val="00130478"/>
    <w:rsid w:val="0036748D"/>
    <w:rsid w:val="003C7770"/>
    <w:rsid w:val="00445E39"/>
    <w:rsid w:val="00892D12"/>
    <w:rsid w:val="00A37F18"/>
    <w:rsid w:val="00BC41B1"/>
    <w:rsid w:val="00EA7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E3A4"/>
  <w15:docId w15:val="{4A5128DB-D120-4AF7-B4DB-9428F06D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2D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D1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92D12"/>
  </w:style>
  <w:style w:type="character" w:customStyle="1" w:styleId="court-name">
    <w:name w:val="court-name"/>
    <w:basedOn w:val="DefaultParagraphFont"/>
    <w:rsid w:val="00892D12"/>
  </w:style>
  <w:style w:type="character" w:customStyle="1" w:styleId="docket-number">
    <w:name w:val="docket-number"/>
    <w:basedOn w:val="DefaultParagraphFont"/>
    <w:rsid w:val="00892D12"/>
  </w:style>
  <w:style w:type="character" w:customStyle="1" w:styleId="case-name-v">
    <w:name w:val="case-name-v"/>
    <w:basedOn w:val="DefaultParagraphFont"/>
    <w:rsid w:val="00892D12"/>
  </w:style>
  <w:style w:type="paragraph" w:customStyle="1" w:styleId="citation">
    <w:name w:val="citation"/>
    <w:basedOn w:val="Normal"/>
    <w:rsid w:val="00892D1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92D1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92D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92D12"/>
    <w:rPr>
      <w:color w:val="0000FF"/>
      <w:u w:val="single"/>
    </w:rPr>
  </w:style>
  <w:style w:type="character" w:styleId="Emphasis">
    <w:name w:val="Emphasis"/>
    <w:basedOn w:val="DefaultParagraphFont"/>
    <w:uiPriority w:val="20"/>
    <w:qFormat/>
    <w:rsid w:val="00892D12"/>
    <w:rPr>
      <w:i/>
      <w:iCs/>
    </w:rPr>
  </w:style>
  <w:style w:type="paragraph" w:customStyle="1" w:styleId="author">
    <w:name w:val="author"/>
    <w:basedOn w:val="Normal"/>
    <w:rsid w:val="00892D1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92D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570144">
      <w:bodyDiv w:val="1"/>
      <w:marLeft w:val="0"/>
      <w:marRight w:val="0"/>
      <w:marTop w:val="0"/>
      <w:marBottom w:val="0"/>
      <w:divBdr>
        <w:top w:val="none" w:sz="0" w:space="0" w:color="auto"/>
        <w:left w:val="none" w:sz="0" w:space="0" w:color="auto"/>
        <w:bottom w:val="none" w:sz="0" w:space="0" w:color="auto"/>
        <w:right w:val="none" w:sz="0" w:space="0" w:color="auto"/>
      </w:divBdr>
      <w:divsChild>
        <w:div w:id="1871411552">
          <w:marLeft w:val="0"/>
          <w:marRight w:val="0"/>
          <w:marTop w:val="0"/>
          <w:marBottom w:val="0"/>
          <w:divBdr>
            <w:top w:val="none" w:sz="0" w:space="0" w:color="auto"/>
            <w:left w:val="none" w:sz="0" w:space="0" w:color="auto"/>
            <w:bottom w:val="none" w:sz="0" w:space="0" w:color="auto"/>
            <w:right w:val="none" w:sz="0" w:space="0" w:color="auto"/>
          </w:divBdr>
        </w:div>
        <w:div w:id="80761375">
          <w:marLeft w:val="0"/>
          <w:marRight w:val="0"/>
          <w:marTop w:val="0"/>
          <w:marBottom w:val="0"/>
          <w:divBdr>
            <w:top w:val="none" w:sz="0" w:space="0" w:color="auto"/>
            <w:left w:val="none" w:sz="0" w:space="0" w:color="auto"/>
            <w:bottom w:val="none" w:sz="0" w:space="0" w:color="auto"/>
            <w:right w:val="none" w:sz="0" w:space="0" w:color="auto"/>
          </w:divBdr>
        </w:div>
        <w:div w:id="1140657258">
          <w:marLeft w:val="0"/>
          <w:marRight w:val="0"/>
          <w:marTop w:val="0"/>
          <w:marBottom w:val="0"/>
          <w:divBdr>
            <w:top w:val="none" w:sz="0" w:space="0" w:color="auto"/>
            <w:left w:val="none" w:sz="0" w:space="0" w:color="auto"/>
            <w:bottom w:val="none" w:sz="0" w:space="0" w:color="auto"/>
            <w:right w:val="none" w:sz="0" w:space="0" w:color="auto"/>
          </w:divBdr>
          <w:divsChild>
            <w:div w:id="316497341">
              <w:marLeft w:val="1417"/>
              <w:marRight w:val="0"/>
              <w:marTop w:val="0"/>
              <w:marBottom w:val="0"/>
              <w:divBdr>
                <w:top w:val="none" w:sz="0" w:space="0" w:color="auto"/>
                <w:left w:val="none" w:sz="0" w:space="0" w:color="auto"/>
                <w:bottom w:val="none" w:sz="0" w:space="0" w:color="auto"/>
                <w:right w:val="none" w:sz="0" w:space="0" w:color="auto"/>
              </w:divBdr>
            </w:div>
          </w:divsChild>
        </w:div>
        <w:div w:id="127717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55076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15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30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07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3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85395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042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30/687/" TargetMode="External"/><Relationship Id="rId18" Type="http://schemas.openxmlformats.org/officeDocument/2006/relationships/hyperlink" Target="https://cite.case.law/ark/275/183/" TargetMode="External"/><Relationship Id="rId26" Type="http://schemas.openxmlformats.org/officeDocument/2006/relationships/hyperlink" Target="https://cite.case.law/citations/?q=13%20A.L.R.%205th%20289" TargetMode="External"/><Relationship Id="rId3" Type="http://schemas.openxmlformats.org/officeDocument/2006/relationships/webSettings" Target="webSettings.xml"/><Relationship Id="rId21" Type="http://schemas.openxmlformats.org/officeDocument/2006/relationships/hyperlink" Target="https://cite.case.law/citations/?q=802%20F.2d%20447" TargetMode="External"/><Relationship Id="rId34" Type="http://schemas.openxmlformats.org/officeDocument/2006/relationships/hyperlink" Target="https://cite.case.law/f-supp/603/211/" TargetMode="External"/><Relationship Id="rId7" Type="http://schemas.openxmlformats.org/officeDocument/2006/relationships/hyperlink" Target="https://cite.case.law/ark/329/130/" TargetMode="External"/><Relationship Id="rId12" Type="http://schemas.openxmlformats.org/officeDocument/2006/relationships/hyperlink" Target="https://cite.case.law/ark/329/405/" TargetMode="External"/><Relationship Id="rId17" Type="http://schemas.openxmlformats.org/officeDocument/2006/relationships/hyperlink" Target="https://cite.case.law/ark/330/687/" TargetMode="External"/><Relationship Id="rId25" Type="http://schemas.openxmlformats.org/officeDocument/2006/relationships/hyperlink" Target="https://cite.case.law/f2d/736/1055/" TargetMode="External"/><Relationship Id="rId33" Type="http://schemas.openxmlformats.org/officeDocument/2006/relationships/hyperlink" Target="https://cite.case.law/ark/330/687/" TargetMode="External"/><Relationship Id="rId2" Type="http://schemas.openxmlformats.org/officeDocument/2006/relationships/settings" Target="settings.xml"/><Relationship Id="rId16" Type="http://schemas.openxmlformats.org/officeDocument/2006/relationships/hyperlink" Target="https://cite.case.law/ark/326/691/" TargetMode="External"/><Relationship Id="rId20" Type="http://schemas.openxmlformats.org/officeDocument/2006/relationships/hyperlink" Target="https://cite.case.law/f2d/736/1055/" TargetMode="External"/><Relationship Id="rId29" Type="http://schemas.openxmlformats.org/officeDocument/2006/relationships/hyperlink" Target="https://cite.case.law/f-supp/603/211/" TargetMode="External"/><Relationship Id="rId1" Type="http://schemas.openxmlformats.org/officeDocument/2006/relationships/styles" Target="styles.xml"/><Relationship Id="rId6" Type="http://schemas.openxmlformats.org/officeDocument/2006/relationships/hyperlink" Target="https://cite.case.law/ark/329/354/" TargetMode="External"/><Relationship Id="rId11" Type="http://schemas.openxmlformats.org/officeDocument/2006/relationships/hyperlink" Target="https://cite.case.law/ark/330/38/" TargetMode="External"/><Relationship Id="rId24" Type="http://schemas.openxmlformats.org/officeDocument/2006/relationships/hyperlink" Target="https://cite.case.law/ark/330/687/" TargetMode="External"/><Relationship Id="rId32" Type="http://schemas.openxmlformats.org/officeDocument/2006/relationships/hyperlink" Target="https://cite.case.law/citations/?q=930%20S.W.2d%20285" TargetMode="External"/><Relationship Id="rId5" Type="http://schemas.openxmlformats.org/officeDocument/2006/relationships/hyperlink" Target="https://cite.case.law/ark/330/687/" TargetMode="External"/><Relationship Id="rId15" Type="http://schemas.openxmlformats.org/officeDocument/2006/relationships/hyperlink" Target="https://cite.case.law/ark/294/50/" TargetMode="External"/><Relationship Id="rId23" Type="http://schemas.openxmlformats.org/officeDocument/2006/relationships/hyperlink" Target="https://cite.case.law/so-2d/227/519/" TargetMode="External"/><Relationship Id="rId28" Type="http://schemas.openxmlformats.org/officeDocument/2006/relationships/hyperlink" Target="https://cite.case.law/ark/330/687/" TargetMode="External"/><Relationship Id="rId36" Type="http://schemas.openxmlformats.org/officeDocument/2006/relationships/theme" Target="theme/theme1.xml"/><Relationship Id="rId10" Type="http://schemas.openxmlformats.org/officeDocument/2006/relationships/hyperlink" Target="https://cite.case.law/citations/?q=Ark.%20Code%20Ann.%20%C2%A7%2011-9-409" TargetMode="External"/><Relationship Id="rId19" Type="http://schemas.openxmlformats.org/officeDocument/2006/relationships/hyperlink" Target="https://cite.case.law/ark/330/687/" TargetMode="External"/><Relationship Id="rId31" Type="http://schemas.openxmlformats.org/officeDocument/2006/relationships/hyperlink" Target="https://cite.case.law/ark/329/143/" TargetMode="External"/><Relationship Id="rId4" Type="http://schemas.openxmlformats.org/officeDocument/2006/relationships/hyperlink" Target="https://cite.case.law/ark/330/687/" TargetMode="External"/><Relationship Id="rId9" Type="http://schemas.openxmlformats.org/officeDocument/2006/relationships/hyperlink" Target="https://cite.case.law/ark/330/687/" TargetMode="External"/><Relationship Id="rId14" Type="http://schemas.openxmlformats.org/officeDocument/2006/relationships/hyperlink" Target="https://cite.case.law/ark/246/377/" TargetMode="External"/><Relationship Id="rId22" Type="http://schemas.openxmlformats.org/officeDocument/2006/relationships/hyperlink" Target="https://cite.case.law/so-2d/227/519/" TargetMode="External"/><Relationship Id="rId27" Type="http://schemas.openxmlformats.org/officeDocument/2006/relationships/hyperlink" Target="https://cite.case.law/f2d/506/917/" TargetMode="External"/><Relationship Id="rId30" Type="http://schemas.openxmlformats.org/officeDocument/2006/relationships/hyperlink" Target="https://cite.case.law/f-supp/447/1160/" TargetMode="External"/><Relationship Id="rId35" Type="http://schemas.openxmlformats.org/officeDocument/2006/relationships/fontTable" Target="fontTable.xml"/><Relationship Id="rId8" Type="http://schemas.openxmlformats.org/officeDocument/2006/relationships/hyperlink" Target="https://cite.case.law/ark/329/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