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EDE41" w14:textId="77777777" w:rsidR="00D0091D" w:rsidRPr="00D0091D" w:rsidRDefault="00D0091D" w:rsidP="00D0091D">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D0091D">
        <w:rPr>
          <w:rFonts w:ascii="Times New Roman" w:eastAsia="Times New Roman" w:hAnsi="Times New Roman" w:cs="Times New Roman"/>
          <w:b/>
          <w:bCs/>
          <w:color w:val="2F2F2F"/>
          <w:spacing w:val="3"/>
          <w:kern w:val="36"/>
          <w:sz w:val="35"/>
          <w:szCs w:val="35"/>
          <w:lang w:eastAsia="en-GB"/>
        </w:rPr>
        <w:t>Steward v. McDonald, 330 Ark. 837, 958 S.W.2d 297 (1997)</w:t>
      </w:r>
    </w:p>
    <w:p w14:paraId="2FFEDE42" w14:textId="77777777" w:rsidR="00D0091D" w:rsidRPr="00D0091D" w:rsidRDefault="00D0091D" w:rsidP="00D0091D">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D0091D">
        <w:rPr>
          <w:rFonts w:ascii="Times New Roman" w:eastAsia="Times New Roman" w:hAnsi="Times New Roman" w:cs="Times New Roman"/>
          <w:color w:val="2F2F2F"/>
          <w:spacing w:val="3"/>
          <w:sz w:val="27"/>
          <w:szCs w:val="27"/>
          <w:lang w:eastAsia="en-GB"/>
        </w:rPr>
        <w:t>Dec. 18, 1997 · Arkansas Supreme Court · 97-137</w:t>
      </w:r>
    </w:p>
    <w:p w14:paraId="2FFEDE43" w14:textId="77777777" w:rsidR="00D0091D" w:rsidRPr="00D0091D" w:rsidRDefault="00D0091D" w:rsidP="00D0091D">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D0091D">
        <w:rPr>
          <w:rFonts w:ascii="Times New Roman" w:eastAsia="Times New Roman" w:hAnsi="Times New Roman" w:cs="Times New Roman"/>
          <w:color w:val="2F2F2F"/>
          <w:spacing w:val="3"/>
          <w:sz w:val="27"/>
          <w:szCs w:val="27"/>
          <w:lang w:eastAsia="en-GB"/>
        </w:rPr>
        <w:t>330 Ark. 837, 958 S.W.2d 297</w:t>
      </w:r>
    </w:p>
    <w:p w14:paraId="2FFEDE44" w14:textId="77777777" w:rsidR="00D0091D" w:rsidRPr="00D0091D" w:rsidRDefault="00D0091D" w:rsidP="00D0091D">
      <w:pPr>
        <w:shd w:val="clear" w:color="auto" w:fill="FFFFFF"/>
        <w:spacing w:after="0" w:line="240" w:lineRule="auto"/>
        <w:rPr>
          <w:rFonts w:ascii="Georgia" w:eastAsia="Times New Roman" w:hAnsi="Georgia" w:cs="Arial"/>
          <w:color w:val="2F2F2F"/>
          <w:spacing w:val="3"/>
          <w:sz w:val="30"/>
          <w:szCs w:val="30"/>
          <w:lang w:eastAsia="en-GB"/>
        </w:rPr>
      </w:pPr>
      <w:r w:rsidRPr="00D0091D">
        <w:rPr>
          <w:rFonts w:ascii="Georgia" w:eastAsia="Times New Roman" w:hAnsi="Georgia" w:cs="Arial"/>
          <w:color w:val="2F2F2F"/>
          <w:spacing w:val="3"/>
          <w:sz w:val="30"/>
          <w:szCs w:val="30"/>
          <w:lang w:eastAsia="en-GB"/>
        </w:rPr>
        <w:t>William T. STEWARD and Jeannine G. Steward</w:t>
      </w:r>
      <w:r w:rsidRPr="00D0091D">
        <w:rPr>
          <w:rFonts w:ascii="Georgia" w:eastAsia="Times New Roman" w:hAnsi="Georgia" w:cs="Arial"/>
          <w:i/>
          <w:iCs/>
          <w:color w:val="2F2F2F"/>
          <w:spacing w:val="3"/>
          <w:sz w:val="30"/>
          <w:szCs w:val="30"/>
          <w:lang w:eastAsia="en-GB"/>
        </w:rPr>
        <w:t>v.</w:t>
      </w:r>
      <w:r w:rsidRPr="00D0091D">
        <w:rPr>
          <w:rFonts w:ascii="Georgia" w:eastAsia="Times New Roman" w:hAnsi="Georgia" w:cs="Arial"/>
          <w:color w:val="2F2F2F"/>
          <w:spacing w:val="3"/>
          <w:sz w:val="30"/>
          <w:szCs w:val="30"/>
          <w:lang w:eastAsia="en-GB"/>
        </w:rPr>
        <w:t>Jerry Eugene McDONALD and Professional Services Industries, Inc.</w:t>
      </w:r>
    </w:p>
    <w:p w14:paraId="2FFEDE45" w14:textId="77777777" w:rsidR="00D0091D" w:rsidRPr="00D0091D" w:rsidRDefault="00D0091D" w:rsidP="00D0091D">
      <w:pPr>
        <w:spacing w:before="100" w:beforeAutospacing="1" w:after="100" w:afterAutospacing="1" w:line="240" w:lineRule="auto"/>
        <w:rPr>
          <w:rFonts w:ascii="Georgia" w:eastAsia="Times New Roman" w:hAnsi="Georgia" w:cs="Times New Roman"/>
          <w:sz w:val="24"/>
          <w:szCs w:val="24"/>
          <w:lang w:eastAsia="en-GB"/>
        </w:rPr>
      </w:pPr>
      <w:r w:rsidRPr="00D0091D">
        <w:rPr>
          <w:rFonts w:ascii="Georgia" w:eastAsia="Times New Roman" w:hAnsi="Georgia" w:cs="Times New Roman"/>
          <w:sz w:val="24"/>
          <w:szCs w:val="24"/>
          <w:lang w:eastAsia="en-GB"/>
        </w:rPr>
        <w:t>958 S.W.2d 297</w:t>
      </w:r>
    </w:p>
    <w:p w14:paraId="2FFEDE46" w14:textId="77777777" w:rsidR="00D0091D" w:rsidRPr="00D0091D" w:rsidRDefault="00D0091D" w:rsidP="00D0091D">
      <w:pPr>
        <w:spacing w:before="100" w:beforeAutospacing="1" w:after="100" w:afterAutospacing="1" w:line="240" w:lineRule="auto"/>
        <w:rPr>
          <w:rFonts w:ascii="Georgia" w:eastAsia="Times New Roman" w:hAnsi="Georgia" w:cs="Times New Roman"/>
          <w:sz w:val="24"/>
          <w:szCs w:val="24"/>
          <w:lang w:eastAsia="en-GB"/>
        </w:rPr>
      </w:pPr>
      <w:r w:rsidRPr="00D0091D">
        <w:rPr>
          <w:rFonts w:ascii="Georgia" w:eastAsia="Times New Roman" w:hAnsi="Georgia" w:cs="Times New Roman"/>
          <w:sz w:val="24"/>
          <w:szCs w:val="24"/>
          <w:lang w:eastAsia="en-GB"/>
        </w:rPr>
        <w:t>Supreme Court of Arkansas</w:t>
      </w:r>
    </w:p>
    <w:p w14:paraId="2FFEDE47" w14:textId="26145687" w:rsidR="00D0091D" w:rsidRPr="00D0091D" w:rsidRDefault="00D0091D" w:rsidP="00D0091D">
      <w:pPr>
        <w:shd w:val="clear" w:color="auto" w:fill="F7F7F9"/>
        <w:spacing w:before="100" w:beforeAutospacing="1" w:after="0" w:line="240" w:lineRule="auto"/>
        <w:rPr>
          <w:rFonts w:ascii="Georgia" w:eastAsia="Times New Roman" w:hAnsi="Georgia" w:cs="Times New Roman"/>
          <w:sz w:val="24"/>
          <w:szCs w:val="24"/>
          <w:lang w:eastAsia="en-GB"/>
        </w:rPr>
      </w:pPr>
      <w:r w:rsidRPr="00D0091D">
        <w:rPr>
          <w:rFonts w:ascii="Georgia" w:eastAsia="Times New Roman" w:hAnsi="Georgia" w:cs="Times New Roman"/>
          <w:i/>
          <w:iCs/>
          <w:color w:val="979797"/>
          <w:sz w:val="19"/>
          <w:szCs w:val="19"/>
          <w:lang w:eastAsia="en-GB"/>
        </w:rPr>
        <w:t>*839</w:t>
      </w:r>
      <w:r w:rsidRPr="00D0091D">
        <w:rPr>
          <w:rFonts w:ascii="Georgia" w:eastAsia="Times New Roman" w:hAnsi="Georgia" w:cs="Times New Roman"/>
          <w:sz w:val="24"/>
          <w:szCs w:val="24"/>
          <w:lang w:eastAsia="en-GB"/>
        </w:rPr>
        <w:t> </w:t>
      </w:r>
      <w:r w:rsidRPr="00D0091D">
        <w:rPr>
          <w:rFonts w:ascii="Georgia" w:eastAsia="Times New Roman" w:hAnsi="Georgia" w:cs="Times New Roman"/>
          <w:i/>
          <w:iCs/>
          <w:sz w:val="24"/>
          <w:szCs w:val="24"/>
          <w:lang w:eastAsia="en-GB"/>
        </w:rPr>
        <w:t>Warner, Smith &amp; Harris, PLC, </w:t>
      </w:r>
      <w:r w:rsidRPr="00D0091D">
        <w:rPr>
          <w:rFonts w:ascii="Georgia" w:eastAsia="Times New Roman" w:hAnsi="Georgia" w:cs="Times New Roman"/>
          <w:sz w:val="24"/>
          <w:szCs w:val="24"/>
          <w:lang w:eastAsia="en-GB"/>
        </w:rPr>
        <w:t>by: </w:t>
      </w:r>
      <w:r w:rsidRPr="00D0091D">
        <w:rPr>
          <w:rFonts w:ascii="Georgia" w:eastAsia="Times New Roman" w:hAnsi="Georgia" w:cs="Times New Roman"/>
          <w:i/>
          <w:iCs/>
          <w:sz w:val="24"/>
          <w:szCs w:val="24"/>
          <w:lang w:eastAsia="en-GB"/>
        </w:rPr>
        <w:t>Joel D. Johnson, </w:t>
      </w:r>
      <w:r w:rsidRPr="00D0091D">
        <w:rPr>
          <w:rFonts w:ascii="Georgia" w:eastAsia="Times New Roman" w:hAnsi="Georgia" w:cs="Times New Roman"/>
          <w:sz w:val="24"/>
          <w:szCs w:val="24"/>
          <w:lang w:eastAsia="en-GB"/>
        </w:rPr>
        <w:t>for appellants.</w:t>
      </w:r>
    </w:p>
    <w:p w14:paraId="2FFEDE48" w14:textId="77777777" w:rsidR="00D0091D" w:rsidRPr="00D0091D" w:rsidRDefault="00D0091D" w:rsidP="00D0091D">
      <w:pPr>
        <w:shd w:val="clear" w:color="auto" w:fill="F7F7F9"/>
        <w:spacing w:after="0" w:line="240" w:lineRule="auto"/>
        <w:rPr>
          <w:rFonts w:ascii="Georgia" w:eastAsia="Times New Roman" w:hAnsi="Georgia" w:cs="Times New Roman"/>
          <w:sz w:val="24"/>
          <w:szCs w:val="24"/>
          <w:lang w:eastAsia="en-GB"/>
        </w:rPr>
      </w:pPr>
      <w:r w:rsidRPr="00D0091D">
        <w:rPr>
          <w:rFonts w:ascii="Georgia" w:eastAsia="Times New Roman" w:hAnsi="Georgia" w:cs="Times New Roman"/>
          <w:i/>
          <w:iCs/>
          <w:sz w:val="24"/>
          <w:szCs w:val="24"/>
          <w:lang w:eastAsia="en-GB"/>
        </w:rPr>
        <w:t>Eddie H. Walker, Jr., </w:t>
      </w:r>
      <w:r w:rsidRPr="00D0091D">
        <w:rPr>
          <w:rFonts w:ascii="Georgia" w:eastAsia="Times New Roman" w:hAnsi="Georgia" w:cs="Times New Roman"/>
          <w:sz w:val="24"/>
          <w:szCs w:val="24"/>
          <w:lang w:eastAsia="en-GB"/>
        </w:rPr>
        <w:t>and </w:t>
      </w:r>
      <w:r w:rsidRPr="00D0091D">
        <w:rPr>
          <w:rFonts w:ascii="Georgia" w:eastAsia="Times New Roman" w:hAnsi="Georgia" w:cs="Times New Roman"/>
          <w:i/>
          <w:iCs/>
          <w:sz w:val="24"/>
          <w:szCs w:val="24"/>
          <w:lang w:eastAsia="en-GB"/>
        </w:rPr>
        <w:t>Stephen M. Shamm, </w:t>
      </w:r>
      <w:r w:rsidRPr="00D0091D">
        <w:rPr>
          <w:rFonts w:ascii="Georgia" w:eastAsia="Times New Roman" w:hAnsi="Georgia" w:cs="Times New Roman"/>
          <w:sz w:val="24"/>
          <w:szCs w:val="24"/>
          <w:lang w:eastAsia="en-GB"/>
        </w:rPr>
        <w:t>for appellee Jerry Eugene McDonald.</w:t>
      </w:r>
    </w:p>
    <w:p w14:paraId="2FFEDE49" w14:textId="77777777" w:rsidR="00D0091D" w:rsidRPr="00D0091D" w:rsidRDefault="00D0091D" w:rsidP="00D0091D">
      <w:pPr>
        <w:spacing w:before="100" w:beforeAutospacing="1" w:after="225" w:line="240" w:lineRule="auto"/>
        <w:rPr>
          <w:rFonts w:ascii="Georgia" w:eastAsia="Times New Roman" w:hAnsi="Georgia" w:cs="Times New Roman"/>
          <w:color w:val="E878FF"/>
          <w:sz w:val="24"/>
          <w:szCs w:val="24"/>
          <w:lang w:eastAsia="en-GB"/>
        </w:rPr>
      </w:pPr>
      <w:r w:rsidRPr="00D0091D">
        <w:rPr>
          <w:rFonts w:ascii="Georgia" w:eastAsia="Times New Roman" w:hAnsi="Georgia" w:cs="Times New Roman"/>
          <w:color w:val="E878FF"/>
          <w:sz w:val="24"/>
          <w:szCs w:val="24"/>
          <w:lang w:eastAsia="en-GB"/>
        </w:rPr>
        <w:t>Ray Thornton, Justice.</w:t>
      </w:r>
    </w:p>
    <w:p w14:paraId="2FFEDE4A" w14:textId="77777777" w:rsidR="00D0091D" w:rsidRPr="00D0091D" w:rsidRDefault="00D0091D" w:rsidP="00D0091D">
      <w:pPr>
        <w:spacing w:before="100" w:beforeAutospacing="1" w:after="225" w:line="240" w:lineRule="auto"/>
        <w:rPr>
          <w:rFonts w:ascii="Georgia" w:eastAsia="Times New Roman" w:hAnsi="Georgia" w:cs="Times New Roman"/>
          <w:sz w:val="24"/>
          <w:szCs w:val="24"/>
          <w:lang w:eastAsia="en-GB"/>
        </w:rPr>
      </w:pPr>
      <w:r w:rsidRPr="00D0091D">
        <w:rPr>
          <w:rFonts w:ascii="Georgia" w:eastAsia="Times New Roman" w:hAnsi="Georgia" w:cs="Times New Roman"/>
          <w:sz w:val="24"/>
          <w:szCs w:val="24"/>
          <w:lang w:eastAsia="en-GB"/>
        </w:rPr>
        <w:t xml:space="preserve">The issue in this case is whether a landlord owes a duty of care to his tenant’s employees. </w:t>
      </w:r>
      <w:r w:rsidRPr="0069009F">
        <w:rPr>
          <w:rFonts w:ascii="Georgia" w:eastAsia="Times New Roman" w:hAnsi="Georgia" w:cs="Times New Roman"/>
          <w:sz w:val="24"/>
          <w:szCs w:val="24"/>
          <w:highlight w:val="yellow"/>
          <w:lang w:eastAsia="en-GB"/>
        </w:rPr>
        <w:t>Appellants William T. Steward and Jeannine G. Steward (“Landlords”) leased a building to appellee Professional Services Industries, Inc. (PSI). PSI employed appellee Jerry Eugene McDonald, who was injured when a riser broke while he was carrying boxes weighing approximately 120 pounds up a flight of stairs in the leased building. The stairway did not have a handrail at the time the injury occurred. After the accident, McDonald received benefits under the Arkansas Workers’ Compensation Act.</w:t>
      </w:r>
    </w:p>
    <w:p w14:paraId="2FFEDE4B" w14:textId="77777777" w:rsidR="00D0091D" w:rsidRPr="00D0091D" w:rsidRDefault="00D0091D" w:rsidP="00D0091D">
      <w:pPr>
        <w:spacing w:before="100" w:beforeAutospacing="1" w:after="225" w:line="240" w:lineRule="auto"/>
        <w:rPr>
          <w:rFonts w:ascii="Georgia" w:eastAsia="Times New Roman" w:hAnsi="Georgia" w:cs="Times New Roman"/>
          <w:sz w:val="24"/>
          <w:szCs w:val="24"/>
          <w:lang w:eastAsia="en-GB"/>
        </w:rPr>
      </w:pPr>
      <w:r w:rsidRPr="0069009F">
        <w:rPr>
          <w:rFonts w:ascii="Georgia" w:eastAsia="Times New Roman" w:hAnsi="Georgia" w:cs="Times New Roman"/>
          <w:sz w:val="24"/>
          <w:szCs w:val="24"/>
          <w:highlight w:val="magenta"/>
          <w:lang w:eastAsia="en-GB"/>
        </w:rPr>
        <w:t>McDonald filed a complaint against the Landlords</w:t>
      </w:r>
      <w:r w:rsidRPr="00D0091D">
        <w:rPr>
          <w:rFonts w:ascii="Georgia" w:eastAsia="Times New Roman" w:hAnsi="Georgia" w:cs="Times New Roman"/>
          <w:sz w:val="24"/>
          <w:szCs w:val="24"/>
          <w:lang w:eastAsia="en-GB"/>
        </w:rPr>
        <w:t>, alleging that they had failed to maintain, repair, and construct the stairway in violation of our general unsafe-place-to-work statute, </w:t>
      </w:r>
      <w:hyperlink r:id="rId4" w:history="1">
        <w:r w:rsidRPr="00D0091D">
          <w:rPr>
            <w:rFonts w:ascii="Georgia" w:eastAsia="Times New Roman" w:hAnsi="Georgia" w:cs="Times New Roman"/>
            <w:color w:val="007BFF"/>
            <w:sz w:val="24"/>
            <w:szCs w:val="24"/>
            <w:lang w:eastAsia="en-GB"/>
          </w:rPr>
          <w:t>Ark. Code Ann. § 11-2-117</w:t>
        </w:r>
      </w:hyperlink>
      <w:r w:rsidRPr="00D0091D">
        <w:rPr>
          <w:rFonts w:ascii="Georgia" w:eastAsia="Times New Roman" w:hAnsi="Georgia" w:cs="Times New Roman"/>
          <w:sz w:val="24"/>
          <w:szCs w:val="24"/>
          <w:lang w:eastAsia="en-GB"/>
        </w:rPr>
        <w:t xml:space="preserve"> (1987), and that the Landlords were negligent in failing to provide guardrails, toeboards, and handrails as required by OSHA. McDonald later amended his complaint to allege violations of the Arkansas Department of Labor Basic Safety Manual. </w:t>
      </w:r>
      <w:r w:rsidRPr="0069009F">
        <w:rPr>
          <w:rFonts w:ascii="Georgia" w:eastAsia="Times New Roman" w:hAnsi="Georgia" w:cs="Times New Roman"/>
          <w:sz w:val="24"/>
          <w:szCs w:val="24"/>
          <w:lang w:eastAsia="en-GB"/>
        </w:rPr>
        <w:t xml:space="preserve">The Landlords then filed a third-party complaint against PSI, as the tenant, based on the principle of implied indemnification. </w:t>
      </w:r>
      <w:r w:rsidRPr="0069009F">
        <w:rPr>
          <w:rFonts w:ascii="Georgia" w:eastAsia="Times New Roman" w:hAnsi="Georgia" w:cs="Times New Roman"/>
          <w:sz w:val="24"/>
          <w:szCs w:val="24"/>
          <w:highlight w:val="magenta"/>
          <w:lang w:eastAsia="en-GB"/>
        </w:rPr>
        <w:t xml:space="preserve">The Landlords </w:t>
      </w:r>
      <w:r w:rsidRPr="0069009F">
        <w:rPr>
          <w:rFonts w:ascii="Georgia" w:eastAsia="Times New Roman" w:hAnsi="Georgia" w:cs="Times New Roman"/>
          <w:sz w:val="24"/>
          <w:szCs w:val="24"/>
          <w:lang w:eastAsia="en-GB"/>
        </w:rPr>
        <w:t xml:space="preserve">and PSI both </w:t>
      </w:r>
      <w:r w:rsidRPr="0069009F">
        <w:rPr>
          <w:rFonts w:ascii="Georgia" w:eastAsia="Times New Roman" w:hAnsi="Georgia" w:cs="Times New Roman"/>
          <w:sz w:val="24"/>
          <w:szCs w:val="24"/>
          <w:highlight w:val="magenta"/>
          <w:lang w:eastAsia="en-GB"/>
        </w:rPr>
        <w:t>filed motions for summary judgment. The trial court</w:t>
      </w:r>
      <w:r w:rsidRPr="0069009F">
        <w:rPr>
          <w:rFonts w:ascii="Georgia" w:eastAsia="Times New Roman" w:hAnsi="Georgia" w:cs="Times New Roman"/>
          <w:sz w:val="24"/>
          <w:szCs w:val="24"/>
          <w:lang w:eastAsia="en-GB"/>
        </w:rPr>
        <w:t xml:space="preserve"> granted summary judgment in favor of PSI; however, it </w:t>
      </w:r>
      <w:r w:rsidRPr="0069009F">
        <w:rPr>
          <w:rFonts w:ascii="Georgia" w:eastAsia="Times New Roman" w:hAnsi="Georgia" w:cs="Times New Roman"/>
          <w:sz w:val="24"/>
          <w:szCs w:val="24"/>
          <w:highlight w:val="magenta"/>
          <w:lang w:eastAsia="en-GB"/>
        </w:rPr>
        <w:t>denied the Landlords’ motion, and McDonald’s claim against them proceeded to trial. The jury returned a general verdict in favor of the Landlords.</w:t>
      </w:r>
    </w:p>
    <w:p w14:paraId="2FFEDE4C" w14:textId="6EEBE473" w:rsidR="00D0091D" w:rsidRPr="00D0091D" w:rsidRDefault="00D0091D" w:rsidP="00D0091D">
      <w:pPr>
        <w:spacing w:before="100" w:beforeAutospacing="1" w:after="225" w:line="240" w:lineRule="auto"/>
        <w:rPr>
          <w:rFonts w:ascii="Georgia" w:eastAsia="Times New Roman" w:hAnsi="Georgia" w:cs="Times New Roman"/>
          <w:sz w:val="24"/>
          <w:szCs w:val="24"/>
          <w:lang w:eastAsia="en-GB"/>
        </w:rPr>
      </w:pPr>
      <w:r w:rsidRPr="0069009F">
        <w:rPr>
          <w:rFonts w:ascii="Georgia" w:eastAsia="Times New Roman" w:hAnsi="Georgia" w:cs="Times New Roman"/>
          <w:i/>
          <w:iCs/>
          <w:color w:val="979797"/>
          <w:sz w:val="19"/>
          <w:szCs w:val="19"/>
          <w:highlight w:val="magenta"/>
          <w:lang w:eastAsia="en-GB"/>
        </w:rPr>
        <w:t>*840</w:t>
      </w:r>
      <w:r w:rsidRPr="0069009F">
        <w:rPr>
          <w:rFonts w:ascii="Georgia" w:eastAsia="Times New Roman" w:hAnsi="Georgia" w:cs="Times New Roman"/>
          <w:sz w:val="24"/>
          <w:szCs w:val="24"/>
          <w:highlight w:val="magenta"/>
          <w:lang w:eastAsia="en-GB"/>
        </w:rPr>
        <w:t>McDonald then filed a motion for new trial</w:t>
      </w:r>
      <w:r w:rsidRPr="00D0091D">
        <w:rPr>
          <w:rFonts w:ascii="Georgia" w:eastAsia="Times New Roman" w:hAnsi="Georgia" w:cs="Times New Roman"/>
          <w:sz w:val="24"/>
          <w:szCs w:val="24"/>
          <w:lang w:eastAsia="en-GB"/>
        </w:rPr>
        <w:t>, on the basis that the verdict was “clearly contrary to the preponderance of the evidence or . . . contrary to the law.” Ark. R. Civ. P. 59(a)(6</w:t>
      </w:r>
      <w:r w:rsidRPr="0069009F">
        <w:rPr>
          <w:rFonts w:ascii="Georgia" w:eastAsia="Times New Roman" w:hAnsi="Georgia" w:cs="Times New Roman"/>
          <w:sz w:val="24"/>
          <w:szCs w:val="24"/>
          <w:lang w:eastAsia="en-GB"/>
        </w:rPr>
        <w:t>).</w:t>
      </w:r>
      <w:r w:rsidRPr="0069009F">
        <w:rPr>
          <w:rFonts w:ascii="Georgia" w:eastAsia="Times New Roman" w:hAnsi="Georgia" w:cs="Times New Roman"/>
          <w:sz w:val="24"/>
          <w:szCs w:val="24"/>
          <w:highlight w:val="magenta"/>
          <w:lang w:eastAsia="en-GB"/>
        </w:rPr>
        <w:t xml:space="preserve"> The trial court premised its order granting a new trial on its interpretation of our general unsafe-place-to-w</w:t>
      </w:r>
      <w:r w:rsidR="0069009F">
        <w:rPr>
          <w:rFonts w:ascii="Georgia" w:eastAsia="Times New Roman" w:hAnsi="Georgia" w:cs="Times New Roman"/>
          <w:sz w:val="24"/>
          <w:szCs w:val="24"/>
          <w:highlight w:val="magenta"/>
          <w:lang w:eastAsia="en-GB"/>
        </w:rPr>
        <w:t>o</w:t>
      </w:r>
      <w:r w:rsidRPr="0069009F">
        <w:rPr>
          <w:rFonts w:ascii="Georgia" w:eastAsia="Times New Roman" w:hAnsi="Georgia" w:cs="Times New Roman"/>
          <w:sz w:val="24"/>
          <w:szCs w:val="24"/>
          <w:highlight w:val="magenta"/>
          <w:lang w:eastAsia="en-GB"/>
        </w:rPr>
        <w:t>rk statute, </w:t>
      </w:r>
      <w:hyperlink r:id="rId5" w:history="1">
        <w:r w:rsidRPr="0069009F">
          <w:rPr>
            <w:rFonts w:ascii="Georgia" w:eastAsia="Times New Roman" w:hAnsi="Georgia" w:cs="Times New Roman"/>
            <w:color w:val="007BFF"/>
            <w:sz w:val="24"/>
            <w:szCs w:val="24"/>
            <w:highlight w:val="magenta"/>
            <w:lang w:eastAsia="en-GB"/>
          </w:rPr>
          <w:t>Ark. Code Ann. § 11-2-117</w:t>
        </w:r>
      </w:hyperlink>
      <w:r w:rsidRPr="0069009F">
        <w:rPr>
          <w:rFonts w:ascii="Georgia" w:eastAsia="Times New Roman" w:hAnsi="Georgia" w:cs="Times New Roman"/>
          <w:sz w:val="24"/>
          <w:szCs w:val="24"/>
          <w:highlight w:val="magenta"/>
          <w:lang w:eastAsia="en-GB"/>
        </w:rPr>
        <w:t> (Repl. 1996)</w:t>
      </w:r>
      <w:r w:rsidRPr="00D0091D">
        <w:rPr>
          <w:rFonts w:ascii="Georgia" w:eastAsia="Times New Roman" w:hAnsi="Georgia" w:cs="Times New Roman"/>
          <w:sz w:val="24"/>
          <w:szCs w:val="24"/>
          <w:lang w:eastAsia="en-GB"/>
        </w:rPr>
        <w:t>, which states in pertinent part:</w:t>
      </w:r>
    </w:p>
    <w:p w14:paraId="2FFEDE4D" w14:textId="77777777" w:rsidR="00D0091D" w:rsidRPr="00D0091D" w:rsidRDefault="00D0091D" w:rsidP="00D0091D">
      <w:pPr>
        <w:spacing w:before="100" w:beforeAutospacing="1" w:after="225" w:line="240" w:lineRule="auto"/>
        <w:rPr>
          <w:rFonts w:ascii="Georgia" w:eastAsia="Times New Roman" w:hAnsi="Georgia" w:cs="Times New Roman"/>
          <w:sz w:val="24"/>
          <w:szCs w:val="24"/>
          <w:lang w:eastAsia="en-GB"/>
        </w:rPr>
      </w:pPr>
      <w:r w:rsidRPr="00D0091D">
        <w:rPr>
          <w:rFonts w:ascii="Georgia" w:eastAsia="Times New Roman" w:hAnsi="Georgia" w:cs="Times New Roman"/>
          <w:sz w:val="24"/>
          <w:szCs w:val="24"/>
          <w:lang w:eastAsia="en-GB"/>
        </w:rPr>
        <w:t>Every employer and </w:t>
      </w:r>
      <w:r w:rsidRPr="00D0091D">
        <w:rPr>
          <w:rFonts w:ascii="Georgia" w:eastAsia="Times New Roman" w:hAnsi="Georgia" w:cs="Times New Roman"/>
          <w:i/>
          <w:iCs/>
          <w:sz w:val="24"/>
          <w:szCs w:val="24"/>
          <w:lang w:eastAsia="en-GB"/>
        </w:rPr>
        <w:t>every owner of a place of employment, </w:t>
      </w:r>
      <w:r w:rsidRPr="00D0091D">
        <w:rPr>
          <w:rFonts w:ascii="Georgia" w:eastAsia="Times New Roman" w:hAnsi="Georgia" w:cs="Times New Roman"/>
          <w:sz w:val="24"/>
          <w:szCs w:val="24"/>
          <w:lang w:eastAsia="en-GB"/>
        </w:rPr>
        <w:t>place of public assembly, or public budding, now or hereafter _ constructed, shall construct, repair, and maintain it so as to render it safe.</w:t>
      </w:r>
    </w:p>
    <w:p w14:paraId="2FFEDE4E" w14:textId="493E072D" w:rsidR="00D0091D" w:rsidRPr="00D0091D" w:rsidRDefault="00D0091D" w:rsidP="00D0091D">
      <w:pPr>
        <w:spacing w:before="100" w:beforeAutospacing="1" w:after="225" w:line="240" w:lineRule="auto"/>
        <w:rPr>
          <w:rFonts w:ascii="Georgia" w:eastAsia="Times New Roman" w:hAnsi="Georgia" w:cs="Times New Roman"/>
          <w:sz w:val="24"/>
          <w:szCs w:val="24"/>
          <w:lang w:eastAsia="en-GB"/>
        </w:rPr>
      </w:pPr>
      <w:r w:rsidRPr="0069009F">
        <w:rPr>
          <w:rFonts w:ascii="Georgia" w:eastAsia="Times New Roman" w:hAnsi="Georgia" w:cs="Times New Roman"/>
          <w:color w:val="007BFF"/>
          <w:sz w:val="24"/>
          <w:szCs w:val="24"/>
          <w:highlight w:val="magenta"/>
          <w:lang w:eastAsia="en-GB"/>
        </w:rPr>
        <w:t>Ark. Code Ann. § 11-2-117</w:t>
      </w:r>
      <w:r w:rsidRPr="0069009F">
        <w:rPr>
          <w:rFonts w:ascii="Georgia" w:eastAsia="Times New Roman" w:hAnsi="Georgia" w:cs="Times New Roman"/>
          <w:sz w:val="24"/>
          <w:szCs w:val="24"/>
          <w:highlight w:val="magenta"/>
          <w:lang w:eastAsia="en-GB"/>
        </w:rPr>
        <w:t>(b)</w:t>
      </w:r>
      <w:r w:rsidRPr="00D0091D">
        <w:rPr>
          <w:rFonts w:ascii="Georgia" w:eastAsia="Times New Roman" w:hAnsi="Georgia" w:cs="Times New Roman"/>
          <w:sz w:val="24"/>
          <w:szCs w:val="24"/>
          <w:lang w:eastAsia="en-GB"/>
        </w:rPr>
        <w:t xml:space="preserve"> (emphasis added). </w:t>
      </w:r>
      <w:r w:rsidRPr="0069009F">
        <w:rPr>
          <w:rFonts w:ascii="Georgia" w:eastAsia="Times New Roman" w:hAnsi="Georgia" w:cs="Times New Roman"/>
          <w:sz w:val="24"/>
          <w:szCs w:val="24"/>
          <w:highlight w:val="magenta"/>
          <w:lang w:eastAsia="en-GB"/>
        </w:rPr>
        <w:t xml:space="preserve">The trial court found that the statute applied to the Landlords and created a duty to provide a safe place to work. It further </w:t>
      </w:r>
      <w:r w:rsidRPr="0069009F">
        <w:rPr>
          <w:rFonts w:ascii="Georgia" w:eastAsia="Times New Roman" w:hAnsi="Georgia" w:cs="Times New Roman"/>
          <w:sz w:val="24"/>
          <w:szCs w:val="24"/>
          <w:highlight w:val="magenta"/>
          <w:lang w:eastAsia="en-GB"/>
        </w:rPr>
        <w:lastRenderedPageBreak/>
        <w:t>found that the jury’s failure to find the Landlords negligent on that basis was clearly against a preponderance of the evidence.</w:t>
      </w:r>
    </w:p>
    <w:p w14:paraId="2FFEDE4F" w14:textId="77777777" w:rsidR="00D0091D" w:rsidRPr="00D0091D" w:rsidRDefault="00D0091D" w:rsidP="00D0091D">
      <w:pPr>
        <w:spacing w:before="100" w:beforeAutospacing="1" w:after="225" w:line="240" w:lineRule="auto"/>
        <w:rPr>
          <w:rFonts w:ascii="Georgia" w:eastAsia="Times New Roman" w:hAnsi="Georgia" w:cs="Times New Roman"/>
          <w:sz w:val="24"/>
          <w:szCs w:val="24"/>
          <w:lang w:eastAsia="en-GB"/>
        </w:rPr>
      </w:pPr>
      <w:r w:rsidRPr="0069009F">
        <w:rPr>
          <w:rFonts w:ascii="Georgia" w:eastAsia="Times New Roman" w:hAnsi="Georgia" w:cs="Times New Roman"/>
          <w:sz w:val="24"/>
          <w:szCs w:val="24"/>
          <w:highlight w:val="green"/>
          <w:lang w:eastAsia="en-GB"/>
        </w:rPr>
        <w:t>In construing the statute, we have determined that the general assembly did not intend for the phrase “every owner of a place of employment” to expand or extend a landlord’s duty to provide a safe place to work for his tenant’s employees.</w:t>
      </w:r>
      <w:r w:rsidRPr="0069009F">
        <w:rPr>
          <w:rFonts w:ascii="Georgia" w:eastAsia="Times New Roman" w:hAnsi="Georgia" w:cs="Times New Roman"/>
          <w:sz w:val="24"/>
          <w:szCs w:val="24"/>
          <w:lang w:eastAsia="en-GB"/>
        </w:rPr>
        <w:t xml:space="preserve"> We have not previously had occasion to interpret the meaning of this phrase in the context of this statute.</w:t>
      </w:r>
    </w:p>
    <w:p w14:paraId="2FFEDE50" w14:textId="77777777" w:rsidR="00D0091D" w:rsidRPr="00D0091D" w:rsidRDefault="00D0091D" w:rsidP="00D0091D">
      <w:pPr>
        <w:spacing w:before="100" w:beforeAutospacing="1" w:after="225" w:line="240" w:lineRule="auto"/>
        <w:rPr>
          <w:rFonts w:ascii="Georgia" w:eastAsia="Times New Roman" w:hAnsi="Georgia" w:cs="Times New Roman"/>
          <w:sz w:val="24"/>
          <w:szCs w:val="24"/>
          <w:lang w:eastAsia="en-GB"/>
        </w:rPr>
      </w:pPr>
      <w:r w:rsidRPr="00D0091D">
        <w:rPr>
          <w:rFonts w:ascii="Georgia" w:eastAsia="Times New Roman" w:hAnsi="Georgia" w:cs="Times New Roman"/>
          <w:sz w:val="24"/>
          <w:szCs w:val="24"/>
          <w:lang w:eastAsia="en-GB"/>
        </w:rPr>
        <w:t xml:space="preserve">In his complaint, McDonald alleged that this statute imposes a duty on property owners, who lease a place of employment, to construct, repair, and maintain the property in a manner that renders it reasonably safe. McDonald based this argument solely on the statutory language. </w:t>
      </w:r>
      <w:r w:rsidRPr="0069009F">
        <w:rPr>
          <w:rFonts w:ascii="Georgia" w:eastAsia="Times New Roman" w:hAnsi="Georgia" w:cs="Times New Roman"/>
          <w:sz w:val="24"/>
          <w:szCs w:val="24"/>
          <w:highlight w:val="magenta"/>
          <w:lang w:eastAsia="en-GB"/>
        </w:rPr>
        <w:t>The trial court’s order granting a new trial indicates that the court likewise found “that the jury finding that the Defendants were not negligent in failing to provide a safe place to work as required by </w:t>
      </w:r>
      <w:hyperlink r:id="rId6" w:history="1">
        <w:r w:rsidRPr="0069009F">
          <w:rPr>
            <w:rFonts w:ascii="Georgia" w:eastAsia="Times New Roman" w:hAnsi="Georgia" w:cs="Times New Roman"/>
            <w:color w:val="007BFF"/>
            <w:sz w:val="24"/>
            <w:szCs w:val="24"/>
            <w:highlight w:val="magenta"/>
            <w:lang w:eastAsia="en-GB"/>
          </w:rPr>
          <w:t>Ark. Code Ann. § 11-2-117</w:t>
        </w:r>
      </w:hyperlink>
      <w:r w:rsidRPr="0069009F">
        <w:rPr>
          <w:rFonts w:ascii="Georgia" w:eastAsia="Times New Roman" w:hAnsi="Georgia" w:cs="Times New Roman"/>
          <w:sz w:val="24"/>
          <w:szCs w:val="24"/>
          <w:highlight w:val="magenta"/>
          <w:lang w:eastAsia="en-GB"/>
        </w:rPr>
        <w:t> is clearly against the preponderance of the evidence.”</w:t>
      </w:r>
    </w:p>
    <w:p w14:paraId="2FFEDE51" w14:textId="603ED2FF" w:rsidR="00D0091D" w:rsidRPr="00D0091D" w:rsidRDefault="00D0091D" w:rsidP="00D0091D">
      <w:pPr>
        <w:spacing w:before="100" w:beforeAutospacing="1" w:after="225" w:line="240" w:lineRule="auto"/>
        <w:rPr>
          <w:rFonts w:ascii="Georgia" w:eastAsia="Times New Roman" w:hAnsi="Georgia" w:cs="Times New Roman"/>
          <w:sz w:val="24"/>
          <w:szCs w:val="24"/>
          <w:lang w:eastAsia="en-GB"/>
        </w:rPr>
      </w:pPr>
      <w:r w:rsidRPr="00D0091D">
        <w:rPr>
          <w:rFonts w:ascii="Georgia" w:eastAsia="Times New Roman" w:hAnsi="Georgia" w:cs="Times New Roman"/>
          <w:sz w:val="24"/>
          <w:szCs w:val="24"/>
          <w:lang w:eastAsia="en-GB"/>
        </w:rPr>
        <w:t>McDonald also argued that the lease agreement, which contained language stating that the Landlords were responsible for major repairs and the tenant for minor repairs, could be interpreted to mean that the Landlords had a contractual duty to repair the stairs. This question was submitted to the jury for determination, and the jury found that the Landlords were not negligent. However, the trial court’s order granting a new trial was not based </w:t>
      </w:r>
      <w:r w:rsidRPr="00D0091D">
        <w:rPr>
          <w:rFonts w:ascii="Georgia" w:eastAsia="Times New Roman" w:hAnsi="Georgia" w:cs="Times New Roman"/>
          <w:i/>
          <w:iCs/>
          <w:color w:val="979797"/>
          <w:sz w:val="19"/>
          <w:szCs w:val="19"/>
          <w:lang w:eastAsia="en-GB"/>
        </w:rPr>
        <w:t>*841</w:t>
      </w:r>
      <w:r w:rsidRPr="00D0091D">
        <w:rPr>
          <w:rFonts w:ascii="Georgia" w:eastAsia="Times New Roman" w:hAnsi="Georgia" w:cs="Times New Roman"/>
          <w:sz w:val="24"/>
          <w:szCs w:val="24"/>
          <w:lang w:eastAsia="en-GB"/>
        </w:rPr>
        <w:t>on any assertion of duty imposed under the terms of the lease agreement, but rather that a duty was imposed by statute and by the safety regulations. Therefore, we confine our discussion to the issues on which the trial court predicated its order in granting a new trial.</w:t>
      </w:r>
    </w:p>
    <w:p w14:paraId="2FFEDE52" w14:textId="31E18690" w:rsidR="00D0091D" w:rsidRPr="00D0091D" w:rsidRDefault="00D0091D" w:rsidP="00D0091D">
      <w:pPr>
        <w:spacing w:before="100" w:beforeAutospacing="1" w:after="225" w:line="240" w:lineRule="auto"/>
        <w:rPr>
          <w:rFonts w:ascii="Georgia" w:eastAsia="Times New Roman" w:hAnsi="Georgia" w:cs="Times New Roman"/>
          <w:sz w:val="24"/>
          <w:szCs w:val="24"/>
          <w:lang w:eastAsia="en-GB"/>
        </w:rPr>
      </w:pPr>
      <w:r w:rsidRPr="00D0091D">
        <w:rPr>
          <w:rFonts w:ascii="Georgia" w:eastAsia="Times New Roman" w:hAnsi="Georgia" w:cs="Times New Roman"/>
          <w:sz w:val="24"/>
          <w:szCs w:val="24"/>
          <w:lang w:eastAsia="en-GB"/>
        </w:rPr>
        <w:t>We have followed the common-law rule that a lessor owes no duty to the lessee to repair the premises. </w:t>
      </w:r>
      <w:r w:rsidRPr="00D0091D">
        <w:rPr>
          <w:rFonts w:ascii="Georgia" w:eastAsia="Times New Roman" w:hAnsi="Georgia" w:cs="Times New Roman"/>
          <w:i/>
          <w:iCs/>
          <w:sz w:val="24"/>
          <w:szCs w:val="24"/>
          <w:lang w:eastAsia="en-GB"/>
        </w:rPr>
        <w:t>Majewski v. Cantrell, </w:t>
      </w:r>
      <w:hyperlink r:id="rId7" w:history="1">
        <w:r w:rsidRPr="00D0091D">
          <w:rPr>
            <w:rFonts w:ascii="Georgia" w:eastAsia="Times New Roman" w:hAnsi="Georgia" w:cs="Times New Roman"/>
            <w:color w:val="007BFF"/>
            <w:sz w:val="24"/>
            <w:szCs w:val="24"/>
            <w:lang w:eastAsia="en-GB"/>
          </w:rPr>
          <w:t>293 Ark. 360</w:t>
        </w:r>
      </w:hyperlink>
      <w:r w:rsidRPr="00D0091D">
        <w:rPr>
          <w:rFonts w:ascii="Georgia" w:eastAsia="Times New Roman" w:hAnsi="Georgia" w:cs="Times New Roman"/>
          <w:sz w:val="24"/>
          <w:szCs w:val="24"/>
          <w:lang w:eastAsia="en-GB"/>
        </w:rPr>
        <w:t>, </w:t>
      </w:r>
      <w:r w:rsidRPr="00D0091D">
        <w:rPr>
          <w:rFonts w:ascii="Georgia" w:eastAsia="Times New Roman" w:hAnsi="Georgia" w:cs="Times New Roman"/>
          <w:color w:val="007BFF"/>
          <w:sz w:val="24"/>
          <w:szCs w:val="24"/>
          <w:lang w:eastAsia="en-GB"/>
        </w:rPr>
        <w:t>737 S.W.2d 649</w:t>
      </w:r>
      <w:r w:rsidRPr="00D0091D">
        <w:rPr>
          <w:rFonts w:ascii="Georgia" w:eastAsia="Times New Roman" w:hAnsi="Georgia" w:cs="Times New Roman"/>
          <w:sz w:val="24"/>
          <w:szCs w:val="24"/>
          <w:lang w:eastAsia="en-GB"/>
        </w:rPr>
        <w:t> (1987). However, we have elaborated that a lessor can be held liable where he agrees to undertake the repairs. </w:t>
      </w:r>
      <w:hyperlink r:id="rId8" w:history="1">
        <w:r w:rsidRPr="00D0091D">
          <w:rPr>
            <w:rFonts w:ascii="Georgia" w:eastAsia="Times New Roman" w:hAnsi="Georgia" w:cs="Times New Roman"/>
            <w:i/>
            <w:iCs/>
            <w:color w:val="007BFF"/>
            <w:sz w:val="24"/>
            <w:szCs w:val="24"/>
            <w:lang w:eastAsia="en-GB"/>
          </w:rPr>
          <w:t>Id.</w:t>
        </w:r>
      </w:hyperlink>
      <w:r w:rsidRPr="00D0091D">
        <w:rPr>
          <w:rFonts w:ascii="Georgia" w:eastAsia="Times New Roman" w:hAnsi="Georgia" w:cs="Times New Roman"/>
          <w:i/>
          <w:iCs/>
          <w:sz w:val="24"/>
          <w:szCs w:val="24"/>
          <w:lang w:eastAsia="en-GB"/>
        </w:rPr>
        <w:t> </w:t>
      </w:r>
      <w:r w:rsidRPr="00D0091D">
        <w:rPr>
          <w:rFonts w:ascii="Georgia" w:eastAsia="Times New Roman" w:hAnsi="Georgia" w:cs="Times New Roman"/>
          <w:sz w:val="24"/>
          <w:szCs w:val="24"/>
          <w:lang w:eastAsia="en-GB"/>
        </w:rPr>
        <w:t>In </w:t>
      </w:r>
      <w:r w:rsidRPr="00D0091D">
        <w:rPr>
          <w:rFonts w:ascii="Georgia" w:eastAsia="Times New Roman" w:hAnsi="Georgia" w:cs="Times New Roman"/>
          <w:i/>
          <w:iCs/>
          <w:sz w:val="24"/>
          <w:szCs w:val="24"/>
          <w:lang w:eastAsia="en-GB"/>
        </w:rPr>
        <w:t>Majewski, </w:t>
      </w:r>
      <w:r w:rsidRPr="00D0091D">
        <w:rPr>
          <w:rFonts w:ascii="Georgia" w:eastAsia="Times New Roman" w:hAnsi="Georgia" w:cs="Times New Roman"/>
          <w:sz w:val="24"/>
          <w:szCs w:val="24"/>
          <w:lang w:eastAsia="en-GB"/>
        </w:rPr>
        <w:t>we followed the majority rule, stating that:</w:t>
      </w:r>
    </w:p>
    <w:p w14:paraId="2FFEDE53" w14:textId="77777777" w:rsidR="00D0091D" w:rsidRPr="00D0091D" w:rsidRDefault="00D0091D" w:rsidP="00D0091D">
      <w:pPr>
        <w:spacing w:after="100" w:line="240" w:lineRule="auto"/>
        <w:rPr>
          <w:rFonts w:ascii="Georgia" w:eastAsia="Times New Roman" w:hAnsi="Georgia" w:cs="Times New Roman"/>
          <w:color w:val="004FB3"/>
          <w:sz w:val="24"/>
          <w:szCs w:val="24"/>
          <w:lang w:eastAsia="en-GB"/>
        </w:rPr>
      </w:pPr>
      <w:r w:rsidRPr="00D0091D">
        <w:rPr>
          <w:rFonts w:ascii="Georgia" w:eastAsia="Times New Roman" w:hAnsi="Georgia" w:cs="Times New Roman"/>
          <w:color w:val="004FB3"/>
          <w:sz w:val="24"/>
          <w:szCs w:val="24"/>
          <w:lang w:eastAsia="en-GB"/>
        </w:rPr>
        <w:t>A landlord is subject to liability for physical harm caused to the tenant and others upon the leased property with the consent of the tenant or his subtenant by a condition of disrepair existing before or arising after the tenant has taken possession if: (1) the landlord, as such, has contracted by a promise in the lease or otherwise to keep the leased property in repair; (2) the disrepair creates an unreasonable risk to persons upon the leased property which the performance of the landlord’s agreement would have prevented; and (3) the landlord fails to exercise reasonable care to perform his contract.</w:t>
      </w:r>
    </w:p>
    <w:p w14:paraId="2FFEDE54" w14:textId="24314A06" w:rsidR="00D0091D" w:rsidRPr="00D0091D" w:rsidRDefault="00D0091D" w:rsidP="00D0091D">
      <w:pPr>
        <w:spacing w:before="100" w:beforeAutospacing="1" w:after="225" w:line="240" w:lineRule="auto"/>
        <w:rPr>
          <w:rFonts w:ascii="Georgia" w:eastAsia="Times New Roman" w:hAnsi="Georgia" w:cs="Times New Roman"/>
          <w:sz w:val="24"/>
          <w:szCs w:val="24"/>
          <w:lang w:eastAsia="en-GB"/>
        </w:rPr>
      </w:pPr>
      <w:r w:rsidRPr="00D0091D">
        <w:rPr>
          <w:rFonts w:ascii="Georgia" w:eastAsia="Times New Roman" w:hAnsi="Georgia" w:cs="Times New Roman"/>
          <w:i/>
          <w:iCs/>
          <w:color w:val="007BFF"/>
          <w:sz w:val="24"/>
          <w:szCs w:val="24"/>
          <w:lang w:eastAsia="en-GB"/>
        </w:rPr>
        <w:t>Id. </w:t>
      </w:r>
      <w:hyperlink r:id="rId9" w:history="1">
        <w:r w:rsidRPr="00D0091D">
          <w:rPr>
            <w:rFonts w:ascii="Georgia" w:eastAsia="Times New Roman" w:hAnsi="Georgia" w:cs="Times New Roman"/>
            <w:color w:val="007BFF"/>
            <w:sz w:val="24"/>
            <w:szCs w:val="24"/>
            <w:lang w:eastAsia="en-GB"/>
          </w:rPr>
          <w:t>at 362-63</w:t>
        </w:r>
      </w:hyperlink>
      <w:r w:rsidRPr="00D0091D">
        <w:rPr>
          <w:rFonts w:ascii="Georgia" w:eastAsia="Times New Roman" w:hAnsi="Georgia" w:cs="Times New Roman"/>
          <w:sz w:val="24"/>
          <w:szCs w:val="24"/>
          <w:lang w:eastAsia="en-GB"/>
        </w:rPr>
        <w:t>, </w:t>
      </w:r>
      <w:r w:rsidRPr="00D0091D">
        <w:rPr>
          <w:rFonts w:ascii="Georgia" w:eastAsia="Times New Roman" w:hAnsi="Georgia" w:cs="Times New Roman"/>
          <w:color w:val="007BFF"/>
          <w:sz w:val="24"/>
          <w:szCs w:val="24"/>
          <w:lang w:eastAsia="en-GB"/>
        </w:rPr>
        <w:t>737 S.W.2d at 651</w:t>
      </w:r>
      <w:r w:rsidRPr="00D0091D">
        <w:rPr>
          <w:rFonts w:ascii="Georgia" w:eastAsia="Times New Roman" w:hAnsi="Georgia" w:cs="Times New Roman"/>
          <w:sz w:val="24"/>
          <w:szCs w:val="24"/>
          <w:lang w:eastAsia="en-GB"/>
        </w:rPr>
        <w:t>.</w:t>
      </w:r>
    </w:p>
    <w:p w14:paraId="2FFEDE55" w14:textId="2FBD7E4A" w:rsidR="00D0091D" w:rsidRPr="00D0091D" w:rsidRDefault="00D0091D" w:rsidP="00D0091D">
      <w:pPr>
        <w:spacing w:before="100" w:beforeAutospacing="1" w:after="225" w:line="240" w:lineRule="auto"/>
        <w:rPr>
          <w:rFonts w:ascii="Georgia" w:eastAsia="Times New Roman" w:hAnsi="Georgia" w:cs="Times New Roman"/>
          <w:sz w:val="24"/>
          <w:szCs w:val="24"/>
          <w:lang w:eastAsia="en-GB"/>
        </w:rPr>
      </w:pPr>
      <w:r w:rsidRPr="00D0091D">
        <w:rPr>
          <w:rFonts w:ascii="Georgia" w:eastAsia="Times New Roman" w:hAnsi="Georgia" w:cs="Times New Roman"/>
          <w:sz w:val="24"/>
          <w:szCs w:val="24"/>
          <w:lang w:eastAsia="en-GB"/>
        </w:rPr>
        <w:t>Similarly, in </w:t>
      </w:r>
      <w:r w:rsidRPr="00D0091D">
        <w:rPr>
          <w:rFonts w:ascii="Georgia" w:eastAsia="Times New Roman" w:hAnsi="Georgia" w:cs="Times New Roman"/>
          <w:i/>
          <w:iCs/>
          <w:sz w:val="24"/>
          <w:szCs w:val="24"/>
          <w:lang w:eastAsia="en-GB"/>
        </w:rPr>
        <w:t>Bartley v. Sweetser, </w:t>
      </w:r>
      <w:hyperlink r:id="rId10" w:history="1">
        <w:r w:rsidRPr="00D0091D">
          <w:rPr>
            <w:rFonts w:ascii="Georgia" w:eastAsia="Times New Roman" w:hAnsi="Georgia" w:cs="Times New Roman"/>
            <w:color w:val="007BFF"/>
            <w:sz w:val="24"/>
            <w:szCs w:val="24"/>
            <w:lang w:eastAsia="en-GB"/>
          </w:rPr>
          <w:t>319 Ark. 117</w:t>
        </w:r>
      </w:hyperlink>
      <w:r w:rsidRPr="00D0091D">
        <w:rPr>
          <w:rFonts w:ascii="Georgia" w:eastAsia="Times New Roman" w:hAnsi="Georgia" w:cs="Times New Roman"/>
          <w:sz w:val="24"/>
          <w:szCs w:val="24"/>
          <w:lang w:eastAsia="en-GB"/>
        </w:rPr>
        <w:t>, </w:t>
      </w:r>
      <w:r w:rsidRPr="00D0091D">
        <w:rPr>
          <w:rFonts w:ascii="Georgia" w:eastAsia="Times New Roman" w:hAnsi="Georgia" w:cs="Times New Roman"/>
          <w:color w:val="007BFF"/>
          <w:sz w:val="24"/>
          <w:szCs w:val="24"/>
          <w:lang w:eastAsia="en-GB"/>
        </w:rPr>
        <w:t>890 S.W.2d 250</w:t>
      </w:r>
      <w:r w:rsidRPr="00D0091D">
        <w:rPr>
          <w:rFonts w:ascii="Georgia" w:eastAsia="Times New Roman" w:hAnsi="Georgia" w:cs="Times New Roman"/>
          <w:sz w:val="24"/>
          <w:szCs w:val="24"/>
          <w:lang w:eastAsia="en-GB"/>
        </w:rPr>
        <w:t> (1994), we noted that since 1932, we have adhered to the rule that a landlord is under no legal obligation to a tenant for injuries sustained in common areas, absent a statute or agreement. </w:t>
      </w:r>
      <w:r w:rsidRPr="00D0091D">
        <w:rPr>
          <w:rFonts w:ascii="Georgia" w:eastAsia="Times New Roman" w:hAnsi="Georgia" w:cs="Times New Roman"/>
          <w:i/>
          <w:iCs/>
          <w:sz w:val="24"/>
          <w:szCs w:val="24"/>
          <w:lang w:eastAsia="en-GB"/>
        </w:rPr>
        <w:t>See also </w:t>
      </w:r>
      <w:r w:rsidRPr="00D0091D">
        <w:rPr>
          <w:rFonts w:ascii="Georgia" w:eastAsia="Times New Roman" w:hAnsi="Georgia" w:cs="Times New Roman"/>
          <w:sz w:val="24"/>
          <w:szCs w:val="24"/>
          <w:lang w:eastAsia="en-GB"/>
        </w:rPr>
        <w:t>52 C.J.S. </w:t>
      </w:r>
      <w:r w:rsidRPr="00D0091D">
        <w:rPr>
          <w:rFonts w:ascii="Georgia" w:eastAsia="Times New Roman" w:hAnsi="Georgia" w:cs="Times New Roman"/>
          <w:i/>
          <w:iCs/>
          <w:sz w:val="24"/>
          <w:szCs w:val="24"/>
          <w:lang w:eastAsia="en-GB"/>
        </w:rPr>
        <w:t>Landlord and Tenant </w:t>
      </w:r>
      <w:r w:rsidRPr="00D0091D">
        <w:rPr>
          <w:rFonts w:ascii="Georgia" w:eastAsia="Times New Roman" w:hAnsi="Georgia" w:cs="Times New Roman"/>
          <w:sz w:val="24"/>
          <w:szCs w:val="24"/>
          <w:lang w:eastAsia="en-GB"/>
        </w:rPr>
        <w:t>§ 417 (1968). A party who gratuitously undertakes a duty can, however, be liable for negligently performing that duty. </w:t>
      </w:r>
      <w:r w:rsidRPr="00D0091D">
        <w:rPr>
          <w:rFonts w:ascii="Georgia" w:eastAsia="Times New Roman" w:hAnsi="Georgia" w:cs="Times New Roman"/>
          <w:i/>
          <w:iCs/>
          <w:sz w:val="24"/>
          <w:szCs w:val="24"/>
          <w:lang w:eastAsia="en-GB"/>
        </w:rPr>
        <w:t>Keck v. American Employment Agency, Inc., </w:t>
      </w:r>
      <w:hyperlink r:id="rId11" w:history="1">
        <w:r w:rsidRPr="00D0091D">
          <w:rPr>
            <w:rFonts w:ascii="Georgia" w:eastAsia="Times New Roman" w:hAnsi="Georgia" w:cs="Times New Roman"/>
            <w:color w:val="007BFF"/>
            <w:sz w:val="24"/>
            <w:szCs w:val="24"/>
            <w:lang w:eastAsia="en-GB"/>
          </w:rPr>
          <w:t>279 Ark. 294</w:t>
        </w:r>
      </w:hyperlink>
      <w:r w:rsidRPr="00D0091D">
        <w:rPr>
          <w:rFonts w:ascii="Georgia" w:eastAsia="Times New Roman" w:hAnsi="Georgia" w:cs="Times New Roman"/>
          <w:sz w:val="24"/>
          <w:szCs w:val="24"/>
          <w:lang w:eastAsia="en-GB"/>
        </w:rPr>
        <w:t>, </w:t>
      </w:r>
      <w:r w:rsidRPr="00D0091D">
        <w:rPr>
          <w:rFonts w:ascii="Georgia" w:eastAsia="Times New Roman" w:hAnsi="Georgia" w:cs="Times New Roman"/>
          <w:color w:val="007BFF"/>
          <w:sz w:val="24"/>
          <w:szCs w:val="24"/>
          <w:lang w:eastAsia="en-GB"/>
        </w:rPr>
        <w:t>652 S.W.2d 2</w:t>
      </w:r>
      <w:r w:rsidRPr="00D0091D">
        <w:rPr>
          <w:rFonts w:ascii="Georgia" w:eastAsia="Times New Roman" w:hAnsi="Georgia" w:cs="Times New Roman"/>
          <w:sz w:val="24"/>
          <w:szCs w:val="24"/>
          <w:lang w:eastAsia="en-GB"/>
        </w:rPr>
        <w:t> (1983); </w:t>
      </w:r>
      <w:r w:rsidRPr="00D0091D">
        <w:rPr>
          <w:rFonts w:ascii="Georgia" w:eastAsia="Times New Roman" w:hAnsi="Georgia" w:cs="Times New Roman"/>
          <w:i/>
          <w:iCs/>
          <w:sz w:val="24"/>
          <w:szCs w:val="24"/>
          <w:lang w:eastAsia="en-GB"/>
        </w:rPr>
        <w:t>see also </w:t>
      </w:r>
      <w:r w:rsidRPr="00D0091D">
        <w:rPr>
          <w:rFonts w:ascii="Georgia" w:eastAsia="Times New Roman" w:hAnsi="Georgia" w:cs="Times New Roman"/>
          <w:sz w:val="24"/>
          <w:szCs w:val="24"/>
          <w:lang w:eastAsia="en-GB"/>
        </w:rPr>
        <w:t xml:space="preserve">Restatement (Second) of Torts § 323 (1965). We have recognized that a duty can </w:t>
      </w:r>
      <w:r w:rsidRPr="00D0091D">
        <w:rPr>
          <w:rFonts w:ascii="Georgia" w:eastAsia="Times New Roman" w:hAnsi="Georgia" w:cs="Times New Roman"/>
          <w:sz w:val="24"/>
          <w:szCs w:val="24"/>
          <w:lang w:eastAsia="en-GB"/>
        </w:rPr>
        <w:lastRenderedPageBreak/>
        <w:t>also arise, in certain circumstances, under the terms of a lease between a landlord and tenant. </w:t>
      </w:r>
      <w:r w:rsidRPr="00D0091D">
        <w:rPr>
          <w:rFonts w:ascii="Georgia" w:eastAsia="Times New Roman" w:hAnsi="Georgia" w:cs="Times New Roman"/>
          <w:i/>
          <w:iCs/>
          <w:sz w:val="24"/>
          <w:szCs w:val="24"/>
          <w:lang w:eastAsia="en-GB"/>
        </w:rPr>
        <w:t>Bartley v. Sweetser, </w:t>
      </w:r>
      <w:hyperlink r:id="rId12" w:history="1">
        <w:r w:rsidRPr="00D0091D">
          <w:rPr>
            <w:rFonts w:ascii="Georgia" w:eastAsia="Times New Roman" w:hAnsi="Georgia" w:cs="Times New Roman"/>
            <w:i/>
            <w:iCs/>
            <w:color w:val="007BFF"/>
            <w:sz w:val="24"/>
            <w:szCs w:val="24"/>
            <w:lang w:eastAsia="en-GB"/>
          </w:rPr>
          <w:t>supra.</w:t>
        </w:r>
      </w:hyperlink>
    </w:p>
    <w:p w14:paraId="2FFEDE56" w14:textId="5B2E51D1" w:rsidR="00D0091D" w:rsidRPr="00D0091D" w:rsidRDefault="00D0091D" w:rsidP="00D0091D">
      <w:pPr>
        <w:spacing w:before="100" w:beforeAutospacing="1" w:after="225" w:line="240" w:lineRule="auto"/>
        <w:rPr>
          <w:rFonts w:ascii="Georgia" w:eastAsia="Times New Roman" w:hAnsi="Georgia" w:cs="Times New Roman"/>
          <w:sz w:val="24"/>
          <w:szCs w:val="24"/>
          <w:lang w:eastAsia="en-GB"/>
        </w:rPr>
      </w:pPr>
      <w:r w:rsidRPr="00D0091D">
        <w:rPr>
          <w:rFonts w:ascii="Georgia" w:eastAsia="Times New Roman" w:hAnsi="Georgia" w:cs="Times New Roman"/>
          <w:sz w:val="24"/>
          <w:szCs w:val="24"/>
          <w:lang w:eastAsia="en-GB"/>
        </w:rPr>
        <w:t>It is well settled that statutes will not be taken in derogation of the common law unless the act shows that such was the intent of the legislature. </w:t>
      </w:r>
      <w:r w:rsidRPr="0069009F">
        <w:rPr>
          <w:rFonts w:ascii="Georgia" w:eastAsia="Times New Roman" w:hAnsi="Georgia" w:cs="Times New Roman"/>
          <w:i/>
          <w:iCs/>
          <w:sz w:val="24"/>
          <w:szCs w:val="24"/>
          <w:highlight w:val="cyan"/>
          <w:lang w:eastAsia="en-GB"/>
        </w:rPr>
        <w:t>White v. State, </w:t>
      </w:r>
      <w:r w:rsidRPr="0069009F">
        <w:rPr>
          <w:rFonts w:ascii="Georgia" w:eastAsia="Times New Roman" w:hAnsi="Georgia" w:cs="Times New Roman"/>
          <w:color w:val="007BFF"/>
          <w:sz w:val="24"/>
          <w:szCs w:val="24"/>
          <w:highlight w:val="cyan"/>
          <w:lang w:eastAsia="en-GB"/>
        </w:rPr>
        <w:t>290 Ark. 130</w:t>
      </w:r>
      <w:r w:rsidRPr="0069009F">
        <w:rPr>
          <w:rFonts w:ascii="Georgia" w:eastAsia="Times New Roman" w:hAnsi="Georgia" w:cs="Times New Roman"/>
          <w:sz w:val="24"/>
          <w:szCs w:val="24"/>
          <w:highlight w:val="cyan"/>
          <w:lang w:eastAsia="en-GB"/>
        </w:rPr>
        <w:t>, </w:t>
      </w:r>
      <w:hyperlink r:id="rId13" w:history="1">
        <w:r w:rsidRPr="0069009F">
          <w:rPr>
            <w:rFonts w:ascii="Georgia" w:eastAsia="Times New Roman" w:hAnsi="Georgia" w:cs="Times New Roman"/>
            <w:color w:val="007BFF"/>
            <w:sz w:val="24"/>
            <w:szCs w:val="24"/>
            <w:highlight w:val="cyan"/>
            <w:lang w:eastAsia="en-GB"/>
          </w:rPr>
          <w:t>717 S.W.2d 784</w:t>
        </w:r>
      </w:hyperlink>
      <w:r w:rsidRPr="0069009F">
        <w:rPr>
          <w:rFonts w:ascii="Georgia" w:eastAsia="Times New Roman" w:hAnsi="Georgia" w:cs="Times New Roman"/>
          <w:sz w:val="24"/>
          <w:szCs w:val="24"/>
          <w:highlight w:val="cyan"/>
          <w:lang w:eastAsia="en-GB"/>
        </w:rPr>
        <w:t> (1986); </w:t>
      </w:r>
      <w:r w:rsidRPr="0069009F">
        <w:rPr>
          <w:rFonts w:ascii="Georgia" w:eastAsia="Times New Roman" w:hAnsi="Georgia" w:cs="Times New Roman"/>
          <w:i/>
          <w:iCs/>
          <w:sz w:val="24"/>
          <w:szCs w:val="24"/>
          <w:highlight w:val="cyan"/>
          <w:lang w:eastAsia="en-GB"/>
        </w:rPr>
        <w:t>Gray v. Nations, </w:t>
      </w:r>
      <w:r w:rsidRPr="0069009F">
        <w:rPr>
          <w:rFonts w:ascii="Georgia" w:eastAsia="Times New Roman" w:hAnsi="Georgia" w:cs="Times New Roman"/>
          <w:sz w:val="24"/>
          <w:szCs w:val="24"/>
          <w:highlight w:val="cyan"/>
          <w:lang w:eastAsia="en-GB"/>
        </w:rPr>
        <w:t>1 Ark. (1 Pike) 557 (1839).</w:t>
      </w:r>
      <w:r w:rsidRPr="00D0091D">
        <w:rPr>
          <w:rFonts w:ascii="Georgia" w:eastAsia="Times New Roman" w:hAnsi="Georgia" w:cs="Times New Roman"/>
          <w:sz w:val="24"/>
          <w:szCs w:val="24"/>
          <w:lang w:eastAsia="en-GB"/>
        </w:rPr>
        <w:t xml:space="preserve"> We </w:t>
      </w:r>
      <w:r w:rsidRPr="00D0091D">
        <w:rPr>
          <w:rFonts w:ascii="Georgia" w:eastAsia="Times New Roman" w:hAnsi="Georgia" w:cs="Times New Roman"/>
          <w:i/>
          <w:iCs/>
          <w:color w:val="979797"/>
          <w:sz w:val="19"/>
          <w:szCs w:val="19"/>
          <w:lang w:eastAsia="en-GB"/>
        </w:rPr>
        <w:t>*842</w:t>
      </w:r>
      <w:r w:rsidRPr="00D0091D">
        <w:rPr>
          <w:rFonts w:ascii="Georgia" w:eastAsia="Times New Roman" w:hAnsi="Georgia" w:cs="Times New Roman"/>
          <w:sz w:val="24"/>
          <w:szCs w:val="24"/>
          <w:lang w:eastAsia="en-GB"/>
        </w:rPr>
        <w:t>strictly construe statutes that impose duties or liabilities unknown at common law in favor of those upon whom the burden is sought to be imposed, and nothing will be taken as intended that is not clearly expressed. </w:t>
      </w:r>
      <w:r w:rsidRPr="0069009F">
        <w:rPr>
          <w:rFonts w:ascii="Georgia" w:eastAsia="Times New Roman" w:hAnsi="Georgia" w:cs="Times New Roman"/>
          <w:i/>
          <w:iCs/>
          <w:sz w:val="24"/>
          <w:szCs w:val="24"/>
          <w:highlight w:val="cyan"/>
          <w:lang w:eastAsia="en-GB"/>
        </w:rPr>
        <w:t>Hartford Ins. Group v. Carter, </w:t>
      </w:r>
      <w:hyperlink r:id="rId14" w:history="1">
        <w:r w:rsidRPr="0069009F">
          <w:rPr>
            <w:rFonts w:ascii="Georgia" w:eastAsia="Times New Roman" w:hAnsi="Georgia" w:cs="Times New Roman"/>
            <w:color w:val="007BFF"/>
            <w:sz w:val="24"/>
            <w:szCs w:val="24"/>
            <w:highlight w:val="cyan"/>
            <w:lang w:eastAsia="en-GB"/>
          </w:rPr>
          <w:t>251 Ark. 680</w:t>
        </w:r>
      </w:hyperlink>
      <w:r w:rsidRPr="0069009F">
        <w:rPr>
          <w:rFonts w:ascii="Georgia" w:eastAsia="Times New Roman" w:hAnsi="Georgia" w:cs="Times New Roman"/>
          <w:sz w:val="24"/>
          <w:szCs w:val="24"/>
          <w:highlight w:val="cyan"/>
          <w:lang w:eastAsia="en-GB"/>
        </w:rPr>
        <w:t>, </w:t>
      </w:r>
      <w:r w:rsidRPr="0069009F">
        <w:rPr>
          <w:rFonts w:ascii="Georgia" w:eastAsia="Times New Roman" w:hAnsi="Georgia" w:cs="Times New Roman"/>
          <w:color w:val="007BFF"/>
          <w:sz w:val="24"/>
          <w:szCs w:val="24"/>
          <w:highlight w:val="cyan"/>
          <w:lang w:eastAsia="en-GB"/>
        </w:rPr>
        <w:t>473 S.W.2d 918</w:t>
      </w:r>
      <w:r w:rsidRPr="0069009F">
        <w:rPr>
          <w:rFonts w:ascii="Georgia" w:eastAsia="Times New Roman" w:hAnsi="Georgia" w:cs="Times New Roman"/>
          <w:sz w:val="24"/>
          <w:szCs w:val="24"/>
          <w:highlight w:val="cyan"/>
          <w:lang w:eastAsia="en-GB"/>
        </w:rPr>
        <w:t> (1971); </w:t>
      </w:r>
      <w:r w:rsidRPr="0069009F">
        <w:rPr>
          <w:rFonts w:ascii="Georgia" w:eastAsia="Times New Roman" w:hAnsi="Georgia" w:cs="Times New Roman"/>
          <w:i/>
          <w:iCs/>
          <w:sz w:val="24"/>
          <w:szCs w:val="24"/>
          <w:lang w:eastAsia="en-GB"/>
        </w:rPr>
        <w:t>see also </w:t>
      </w:r>
      <w:r w:rsidRPr="0069009F">
        <w:rPr>
          <w:rFonts w:ascii="Georgia" w:eastAsia="Times New Roman" w:hAnsi="Georgia" w:cs="Times New Roman"/>
          <w:sz w:val="24"/>
          <w:szCs w:val="24"/>
          <w:highlight w:val="cyan"/>
          <w:lang w:eastAsia="en-GB"/>
        </w:rPr>
        <w:t>Norman J. Singer, 3 Sutherland Stat. Const. § 61.01, at 171 (5th ed. 1992).</w:t>
      </w:r>
    </w:p>
    <w:p w14:paraId="2FFEDE57" w14:textId="77777777" w:rsidR="00D0091D" w:rsidRPr="00D0091D" w:rsidRDefault="00D0091D" w:rsidP="00D0091D">
      <w:pPr>
        <w:spacing w:before="100" w:beforeAutospacing="1" w:after="225" w:line="240" w:lineRule="auto"/>
        <w:rPr>
          <w:rFonts w:ascii="Georgia" w:eastAsia="Times New Roman" w:hAnsi="Georgia" w:cs="Times New Roman"/>
          <w:sz w:val="24"/>
          <w:szCs w:val="24"/>
          <w:lang w:eastAsia="en-GB"/>
        </w:rPr>
      </w:pPr>
      <w:r w:rsidRPr="00D0091D">
        <w:rPr>
          <w:rFonts w:ascii="Georgia" w:eastAsia="Times New Roman" w:hAnsi="Georgia" w:cs="Times New Roman"/>
          <w:sz w:val="24"/>
          <w:szCs w:val="24"/>
          <w:lang w:eastAsia="en-GB"/>
        </w:rPr>
        <w:t xml:space="preserve">McDonald’s argument would require us to conclude that the legislature intended </w:t>
      </w:r>
      <w:r w:rsidRPr="0069009F">
        <w:rPr>
          <w:rFonts w:ascii="Georgia" w:eastAsia="Times New Roman" w:hAnsi="Georgia" w:cs="Times New Roman"/>
          <w:sz w:val="24"/>
          <w:szCs w:val="24"/>
          <w:highlight w:val="cyan"/>
          <w:lang w:eastAsia="en-GB"/>
        </w:rPr>
        <w:t>section 11-2-117</w:t>
      </w:r>
      <w:r w:rsidRPr="00D0091D">
        <w:rPr>
          <w:rFonts w:ascii="Georgia" w:eastAsia="Times New Roman" w:hAnsi="Georgia" w:cs="Times New Roman"/>
          <w:sz w:val="24"/>
          <w:szCs w:val="24"/>
          <w:lang w:eastAsia="en-GB"/>
        </w:rPr>
        <w:t xml:space="preserve"> to subject all landowners who lease property to employers of more than five employees to liability for negligence in failing to provide and maintain a safe workplace. If we accept McDonald’s interpretation of </w:t>
      </w:r>
      <w:r w:rsidRPr="0069009F">
        <w:rPr>
          <w:rFonts w:ascii="Georgia" w:eastAsia="Times New Roman" w:hAnsi="Georgia" w:cs="Times New Roman"/>
          <w:sz w:val="24"/>
          <w:szCs w:val="24"/>
          <w:highlight w:val="cyan"/>
          <w:lang w:eastAsia="en-GB"/>
        </w:rPr>
        <w:t>section 11-2-117</w:t>
      </w:r>
      <w:r w:rsidRPr="00D0091D">
        <w:rPr>
          <w:rFonts w:ascii="Georgia" w:eastAsia="Times New Roman" w:hAnsi="Georgia" w:cs="Times New Roman"/>
          <w:sz w:val="24"/>
          <w:szCs w:val="24"/>
          <w:lang w:eastAsia="en-GB"/>
        </w:rPr>
        <w:t>, the resulting rule would clearly be in derogation of the common-law rule regarding a landlord’s duty of care owed to a tenant. Therefore, we must strictly construe the statute in an attempt to give effect to the legislature’s intent.</w:t>
      </w:r>
    </w:p>
    <w:p w14:paraId="2FFEDE58" w14:textId="2D2EEC84" w:rsidR="00D0091D" w:rsidRPr="00D0091D" w:rsidRDefault="00D0091D" w:rsidP="00D0091D">
      <w:pPr>
        <w:spacing w:before="100" w:beforeAutospacing="1" w:after="225" w:line="240" w:lineRule="auto"/>
        <w:rPr>
          <w:rFonts w:ascii="Georgia" w:eastAsia="Times New Roman" w:hAnsi="Georgia" w:cs="Times New Roman"/>
          <w:sz w:val="24"/>
          <w:szCs w:val="24"/>
          <w:lang w:eastAsia="en-GB"/>
        </w:rPr>
      </w:pPr>
      <w:r w:rsidRPr="00D0091D">
        <w:rPr>
          <w:rFonts w:ascii="Georgia" w:eastAsia="Times New Roman" w:hAnsi="Georgia" w:cs="Times New Roman"/>
          <w:sz w:val="24"/>
          <w:szCs w:val="24"/>
          <w:lang w:eastAsia="en-GB"/>
        </w:rPr>
        <w:t xml:space="preserve">The legislature enacted almost all of </w:t>
      </w:r>
      <w:r w:rsidRPr="0069009F">
        <w:rPr>
          <w:rFonts w:ascii="Georgia" w:eastAsia="Times New Roman" w:hAnsi="Georgia" w:cs="Times New Roman"/>
          <w:sz w:val="24"/>
          <w:szCs w:val="24"/>
          <w:highlight w:val="cyan"/>
          <w:lang w:eastAsia="en-GB"/>
        </w:rPr>
        <w:t xml:space="preserve">Subchapter 2 of Title 11 through Act 161 of 1937, </w:t>
      </w:r>
      <w:r w:rsidRPr="0069009F">
        <w:rPr>
          <w:rFonts w:ascii="Georgia" w:eastAsia="Times New Roman" w:hAnsi="Georgia" w:cs="Times New Roman"/>
          <w:sz w:val="24"/>
          <w:szCs w:val="24"/>
          <w:lang w:eastAsia="en-GB"/>
        </w:rPr>
        <w:t xml:space="preserve">our </w:t>
      </w:r>
      <w:r w:rsidRPr="0069009F">
        <w:rPr>
          <w:rFonts w:ascii="Georgia" w:eastAsia="Times New Roman" w:hAnsi="Georgia" w:cs="Times New Roman"/>
          <w:sz w:val="24"/>
          <w:szCs w:val="24"/>
          <w:highlight w:val="cyan"/>
          <w:lang w:eastAsia="en-GB"/>
        </w:rPr>
        <w:t>Labor Department Act. </w:t>
      </w:r>
      <w:hyperlink r:id="rId15" w:history="1">
        <w:r w:rsidRPr="0069009F">
          <w:rPr>
            <w:rFonts w:ascii="Georgia" w:eastAsia="Times New Roman" w:hAnsi="Georgia" w:cs="Times New Roman"/>
            <w:color w:val="007BFF"/>
            <w:sz w:val="24"/>
            <w:szCs w:val="24"/>
            <w:highlight w:val="cyan"/>
            <w:lang w:eastAsia="en-GB"/>
          </w:rPr>
          <w:t>1937 Ark. Acts 161</w:t>
        </w:r>
      </w:hyperlink>
      <w:r w:rsidRPr="0069009F">
        <w:rPr>
          <w:rFonts w:ascii="Georgia" w:eastAsia="Times New Roman" w:hAnsi="Georgia" w:cs="Times New Roman"/>
          <w:sz w:val="24"/>
          <w:szCs w:val="24"/>
          <w:highlight w:val="cyan"/>
          <w:lang w:eastAsia="en-GB"/>
        </w:rPr>
        <w:t> (codified at </w:t>
      </w:r>
      <w:r w:rsidRPr="0069009F">
        <w:rPr>
          <w:rFonts w:ascii="Georgia" w:eastAsia="Times New Roman" w:hAnsi="Georgia" w:cs="Times New Roman"/>
          <w:color w:val="007BFF"/>
          <w:sz w:val="24"/>
          <w:szCs w:val="24"/>
          <w:highlight w:val="cyan"/>
          <w:lang w:eastAsia="en-GB"/>
        </w:rPr>
        <w:t>Ark. Code Ann. §§ 11-2-101</w:t>
      </w:r>
      <w:r w:rsidRPr="0069009F">
        <w:rPr>
          <w:rFonts w:ascii="Georgia" w:eastAsia="Times New Roman" w:hAnsi="Georgia" w:cs="Times New Roman"/>
          <w:sz w:val="24"/>
          <w:szCs w:val="24"/>
          <w:highlight w:val="cyan"/>
          <w:lang w:eastAsia="en-GB"/>
        </w:rPr>
        <w:t> — 121); </w:t>
      </w:r>
      <w:r w:rsidRPr="0069009F">
        <w:rPr>
          <w:rFonts w:ascii="Georgia" w:eastAsia="Times New Roman" w:hAnsi="Georgia" w:cs="Times New Roman"/>
          <w:i/>
          <w:iCs/>
          <w:sz w:val="24"/>
          <w:szCs w:val="24"/>
          <w:highlight w:val="cyan"/>
          <w:lang w:eastAsia="en-GB"/>
        </w:rPr>
        <w:t>Horn v. Shirley, </w:t>
      </w:r>
      <w:hyperlink r:id="rId16" w:history="1">
        <w:r w:rsidRPr="0069009F">
          <w:rPr>
            <w:rFonts w:ascii="Georgia" w:eastAsia="Times New Roman" w:hAnsi="Georgia" w:cs="Times New Roman"/>
            <w:color w:val="007BFF"/>
            <w:sz w:val="24"/>
            <w:szCs w:val="24"/>
            <w:highlight w:val="cyan"/>
            <w:lang w:eastAsia="en-GB"/>
          </w:rPr>
          <w:t>246 Ark. 1134</w:t>
        </w:r>
      </w:hyperlink>
      <w:r w:rsidRPr="0069009F">
        <w:rPr>
          <w:rFonts w:ascii="Georgia" w:eastAsia="Times New Roman" w:hAnsi="Georgia" w:cs="Times New Roman"/>
          <w:sz w:val="24"/>
          <w:szCs w:val="24"/>
          <w:highlight w:val="cyan"/>
          <w:lang w:eastAsia="en-GB"/>
        </w:rPr>
        <w:t>, </w:t>
      </w:r>
      <w:r w:rsidRPr="0069009F">
        <w:rPr>
          <w:rFonts w:ascii="Georgia" w:eastAsia="Times New Roman" w:hAnsi="Georgia" w:cs="Times New Roman"/>
          <w:color w:val="007BFF"/>
          <w:sz w:val="24"/>
          <w:szCs w:val="24"/>
          <w:highlight w:val="cyan"/>
          <w:lang w:eastAsia="en-GB"/>
        </w:rPr>
        <w:t>441 S.W.2d 468</w:t>
      </w:r>
      <w:r w:rsidRPr="0069009F">
        <w:rPr>
          <w:rFonts w:ascii="Georgia" w:eastAsia="Times New Roman" w:hAnsi="Georgia" w:cs="Times New Roman"/>
          <w:sz w:val="24"/>
          <w:szCs w:val="24"/>
          <w:highlight w:val="cyan"/>
          <w:lang w:eastAsia="en-GB"/>
        </w:rPr>
        <w:t> (1969).</w:t>
      </w:r>
      <w:r w:rsidRPr="00D0091D">
        <w:rPr>
          <w:rFonts w:ascii="Georgia" w:eastAsia="Times New Roman" w:hAnsi="Georgia" w:cs="Times New Roman"/>
          <w:sz w:val="24"/>
          <w:szCs w:val="24"/>
          <w:lang w:eastAsia="en-GB"/>
        </w:rPr>
        <w:t xml:space="preserve"> The primary function of the Act is clearly expressed in its title:</w:t>
      </w:r>
    </w:p>
    <w:p w14:paraId="2FFEDE59" w14:textId="77777777" w:rsidR="00D0091D" w:rsidRPr="00D0091D" w:rsidRDefault="00D0091D" w:rsidP="00D0091D">
      <w:pPr>
        <w:spacing w:after="100" w:line="240" w:lineRule="auto"/>
        <w:rPr>
          <w:rFonts w:ascii="Georgia" w:eastAsia="Times New Roman" w:hAnsi="Georgia" w:cs="Times New Roman"/>
          <w:color w:val="004FB3"/>
          <w:sz w:val="24"/>
          <w:szCs w:val="24"/>
          <w:lang w:eastAsia="en-GB"/>
        </w:rPr>
      </w:pPr>
      <w:r w:rsidRPr="00D0091D">
        <w:rPr>
          <w:rFonts w:ascii="Georgia" w:eastAsia="Times New Roman" w:hAnsi="Georgia" w:cs="Times New Roman"/>
          <w:color w:val="004FB3"/>
          <w:sz w:val="24"/>
          <w:szCs w:val="24"/>
          <w:lang w:eastAsia="en-GB"/>
        </w:rPr>
        <w:t>AN ACT to Create a Department of Labor; to Create the Office of Commissioner of Land and to Define the Duties of the Commissioner as Administrative Head of the Department of Labor; to Provide for the Arbitration and Conciliation of Labor Disputes; to Authorize the Commissioner to Make Investigations and to Collect Statistics for the Purpose of Enforcing the Labor Laws of the State of Arkansas; to Empower the Board to Make Rules Relating to Health and Safety in Places of Employment; to Provide for the Review of Such Rules; to Provide Penalties for the Proper Enforcement of this Act and to Repeal all Laws in Conflict Herewith.</w:t>
      </w:r>
    </w:p>
    <w:p w14:paraId="2FFEDE5A" w14:textId="77777777" w:rsidR="00D0091D" w:rsidRPr="00D0091D" w:rsidRDefault="00A7779F" w:rsidP="00D0091D">
      <w:pPr>
        <w:spacing w:before="100" w:beforeAutospacing="1" w:after="225" w:line="240" w:lineRule="auto"/>
        <w:rPr>
          <w:rFonts w:ascii="Georgia" w:eastAsia="Times New Roman" w:hAnsi="Georgia" w:cs="Times New Roman"/>
          <w:sz w:val="24"/>
          <w:szCs w:val="24"/>
          <w:lang w:eastAsia="en-GB"/>
        </w:rPr>
      </w:pPr>
      <w:hyperlink r:id="rId17" w:history="1">
        <w:r w:rsidR="00D0091D" w:rsidRPr="0069009F">
          <w:rPr>
            <w:rFonts w:ascii="Georgia" w:eastAsia="Times New Roman" w:hAnsi="Georgia" w:cs="Times New Roman"/>
            <w:color w:val="007BFF"/>
            <w:sz w:val="24"/>
            <w:szCs w:val="24"/>
            <w:highlight w:val="cyan"/>
            <w:lang w:eastAsia="en-GB"/>
          </w:rPr>
          <w:t>1937 Ark. Acts 161</w:t>
        </w:r>
      </w:hyperlink>
      <w:r w:rsidR="00D0091D" w:rsidRPr="0069009F">
        <w:rPr>
          <w:rFonts w:ascii="Georgia" w:eastAsia="Times New Roman" w:hAnsi="Georgia" w:cs="Times New Roman"/>
          <w:sz w:val="24"/>
          <w:szCs w:val="24"/>
          <w:highlight w:val="cyan"/>
          <w:lang w:eastAsia="en-GB"/>
        </w:rPr>
        <w:t xml:space="preserve">. </w:t>
      </w:r>
      <w:r w:rsidR="00D0091D" w:rsidRPr="0069009F">
        <w:rPr>
          <w:rFonts w:ascii="Georgia" w:eastAsia="Times New Roman" w:hAnsi="Georgia" w:cs="Times New Roman"/>
          <w:sz w:val="24"/>
          <w:szCs w:val="24"/>
          <w:lang w:eastAsia="en-GB"/>
        </w:rPr>
        <w:t>W</w:t>
      </w:r>
      <w:r w:rsidR="00D0091D" w:rsidRPr="00D0091D">
        <w:rPr>
          <w:rFonts w:ascii="Georgia" w:eastAsia="Times New Roman" w:hAnsi="Georgia" w:cs="Times New Roman"/>
          <w:sz w:val="24"/>
          <w:szCs w:val="24"/>
          <w:lang w:eastAsia="en-GB"/>
        </w:rPr>
        <w:t>e gain further insight into the legislature’s purpose from the Act</w:t>
      </w:r>
      <w:r w:rsidR="00D0091D" w:rsidRPr="0069009F">
        <w:rPr>
          <w:rFonts w:ascii="Georgia" w:eastAsia="Times New Roman" w:hAnsi="Georgia" w:cs="Times New Roman"/>
          <w:sz w:val="24"/>
          <w:szCs w:val="24"/>
          <w:lang w:eastAsia="en-GB"/>
        </w:rPr>
        <w:t>’s</w:t>
      </w:r>
      <w:r w:rsidR="00D0091D" w:rsidRPr="00D0091D">
        <w:rPr>
          <w:rFonts w:ascii="Georgia" w:eastAsia="Times New Roman" w:hAnsi="Georgia" w:cs="Times New Roman"/>
          <w:sz w:val="24"/>
          <w:szCs w:val="24"/>
          <w:lang w:eastAsia="en-GB"/>
        </w:rPr>
        <w:t xml:space="preserve"> Emergency Clause:</w:t>
      </w:r>
    </w:p>
    <w:p w14:paraId="2FFEDE5B" w14:textId="007D80BB" w:rsidR="00D0091D" w:rsidRPr="00D0091D" w:rsidRDefault="00D0091D" w:rsidP="00D0091D">
      <w:pPr>
        <w:spacing w:after="100" w:line="240" w:lineRule="auto"/>
        <w:rPr>
          <w:rFonts w:ascii="Georgia" w:eastAsia="Times New Roman" w:hAnsi="Georgia" w:cs="Times New Roman"/>
          <w:color w:val="004FB3"/>
          <w:sz w:val="24"/>
          <w:szCs w:val="24"/>
          <w:lang w:eastAsia="en-GB"/>
        </w:rPr>
      </w:pPr>
      <w:r w:rsidRPr="00D0091D">
        <w:rPr>
          <w:rFonts w:ascii="Georgia" w:eastAsia="Times New Roman" w:hAnsi="Georgia" w:cs="Times New Roman"/>
          <w:color w:val="004FB3"/>
          <w:sz w:val="24"/>
          <w:szCs w:val="24"/>
          <w:lang w:eastAsia="en-GB"/>
        </w:rPr>
        <w:t>It is found and determined by the General Assembly that the present laws relating to labor in this State are not sufficient to meet present conditions; that in order for this State to coordinate its activities concerning labor with Federal Agencies on unemployment and security benefits, it is necessary that a Department </w:t>
      </w:r>
      <w:r w:rsidRPr="00D0091D">
        <w:rPr>
          <w:rFonts w:ascii="Georgia" w:eastAsia="Times New Roman" w:hAnsi="Georgia" w:cs="Times New Roman"/>
          <w:i/>
          <w:iCs/>
          <w:color w:val="979797"/>
          <w:sz w:val="19"/>
          <w:szCs w:val="19"/>
          <w:lang w:eastAsia="en-GB"/>
        </w:rPr>
        <w:t>*843</w:t>
      </w:r>
      <w:r w:rsidRPr="00D0091D">
        <w:rPr>
          <w:rFonts w:ascii="Georgia" w:eastAsia="Times New Roman" w:hAnsi="Georgia" w:cs="Times New Roman"/>
          <w:color w:val="004FB3"/>
          <w:sz w:val="24"/>
          <w:szCs w:val="24"/>
          <w:lang w:eastAsia="en-GB"/>
        </w:rPr>
        <w:t>of Labor be created with the powers and duties prescribed by this Bill; THEREFORE, an emergency is hereby declared to exist and this Act shall take effect and be in full force and effect from and after its passage and approval.</w:t>
      </w:r>
    </w:p>
    <w:p w14:paraId="2FFEDE5C" w14:textId="77777777" w:rsidR="00D0091D" w:rsidRPr="00D0091D" w:rsidRDefault="00A7779F" w:rsidP="00D0091D">
      <w:pPr>
        <w:spacing w:before="100" w:beforeAutospacing="1" w:after="225" w:line="240" w:lineRule="auto"/>
        <w:rPr>
          <w:rFonts w:ascii="Georgia" w:eastAsia="Times New Roman" w:hAnsi="Georgia" w:cs="Times New Roman"/>
          <w:sz w:val="24"/>
          <w:szCs w:val="24"/>
          <w:lang w:eastAsia="en-GB"/>
        </w:rPr>
      </w:pPr>
      <w:hyperlink r:id="rId18" w:history="1">
        <w:r w:rsidR="00D0091D" w:rsidRPr="0069009F">
          <w:rPr>
            <w:rFonts w:ascii="Georgia" w:eastAsia="Times New Roman" w:hAnsi="Georgia" w:cs="Times New Roman"/>
            <w:color w:val="007BFF"/>
            <w:sz w:val="24"/>
            <w:szCs w:val="24"/>
            <w:highlight w:val="cyan"/>
            <w:lang w:eastAsia="en-GB"/>
          </w:rPr>
          <w:t>1937 Ark. Acts 161</w:t>
        </w:r>
      </w:hyperlink>
      <w:r w:rsidR="00D0091D" w:rsidRPr="0069009F">
        <w:rPr>
          <w:rFonts w:ascii="Georgia" w:eastAsia="Times New Roman" w:hAnsi="Georgia" w:cs="Times New Roman"/>
          <w:sz w:val="24"/>
          <w:szCs w:val="24"/>
          <w:highlight w:val="cyan"/>
          <w:lang w:eastAsia="en-GB"/>
        </w:rPr>
        <w:t>, § 26.</w:t>
      </w:r>
      <w:r w:rsidR="00D0091D" w:rsidRPr="00D0091D">
        <w:rPr>
          <w:rFonts w:ascii="Georgia" w:eastAsia="Times New Roman" w:hAnsi="Georgia" w:cs="Times New Roman"/>
          <w:sz w:val="24"/>
          <w:szCs w:val="24"/>
          <w:lang w:eastAsia="en-GB"/>
        </w:rPr>
        <w:t xml:space="preserve"> The portion of the Act that is at issue here remains essentially unchanged from its form at inception. § 9(b) (codified at Ark. Code Ann. § ll-2-117(b)).</w:t>
      </w:r>
    </w:p>
    <w:p w14:paraId="2FFEDE5D" w14:textId="77777777" w:rsidR="00D0091D" w:rsidRPr="0069009F" w:rsidRDefault="00D0091D" w:rsidP="00D0091D">
      <w:pPr>
        <w:spacing w:before="100" w:beforeAutospacing="1" w:after="225" w:line="240" w:lineRule="auto"/>
        <w:rPr>
          <w:rFonts w:ascii="Georgia" w:eastAsia="Times New Roman" w:hAnsi="Georgia" w:cs="Times New Roman"/>
          <w:sz w:val="24"/>
          <w:szCs w:val="24"/>
          <w:lang w:eastAsia="en-GB"/>
        </w:rPr>
      </w:pPr>
      <w:r w:rsidRPr="0069009F">
        <w:rPr>
          <w:rFonts w:ascii="Georgia" w:eastAsia="Times New Roman" w:hAnsi="Georgia" w:cs="Times New Roman"/>
          <w:sz w:val="24"/>
          <w:szCs w:val="24"/>
          <w:lang w:eastAsia="en-GB"/>
        </w:rPr>
        <w:t xml:space="preserve">Clearly, from the foregoing words of the general assembly, we may deduce that </w:t>
      </w:r>
      <w:r w:rsidRPr="0069009F">
        <w:rPr>
          <w:rFonts w:ascii="Georgia" w:eastAsia="Times New Roman" w:hAnsi="Georgia" w:cs="Times New Roman"/>
          <w:sz w:val="24"/>
          <w:szCs w:val="24"/>
          <w:highlight w:val="cyan"/>
          <w:lang w:eastAsia="en-GB"/>
        </w:rPr>
        <w:t xml:space="preserve">section 11-2-117 </w:t>
      </w:r>
      <w:r w:rsidRPr="0069009F">
        <w:rPr>
          <w:rFonts w:ascii="Georgia" w:eastAsia="Times New Roman" w:hAnsi="Georgia" w:cs="Times New Roman"/>
          <w:sz w:val="24"/>
          <w:szCs w:val="24"/>
          <w:lang w:eastAsia="en-GB"/>
        </w:rPr>
        <w:t>had its origin in legislation creating the Department of Labor with all its incidental powers and duties, granting the State the authority to enforce the statute with civil or criminal penalties, and establishing standards to be used in assessing whether a violation has occurred. Had the legislature intended a radical change in the law to extend causes of action for negligence based on a landlord’s duty to his tenant, the Act would have expressed such an intention in some plain and unmistakable terms.</w:t>
      </w:r>
    </w:p>
    <w:p w14:paraId="2FFEDE5E" w14:textId="0FEE313C" w:rsidR="00D0091D" w:rsidRPr="00D0091D" w:rsidRDefault="00D0091D" w:rsidP="00D0091D">
      <w:pPr>
        <w:spacing w:before="100" w:beforeAutospacing="1" w:after="225" w:line="240" w:lineRule="auto"/>
        <w:rPr>
          <w:rFonts w:ascii="Georgia" w:eastAsia="Times New Roman" w:hAnsi="Georgia" w:cs="Times New Roman"/>
          <w:sz w:val="24"/>
          <w:szCs w:val="24"/>
          <w:lang w:eastAsia="en-GB"/>
        </w:rPr>
      </w:pPr>
      <w:r w:rsidRPr="0069009F">
        <w:rPr>
          <w:rFonts w:ascii="Georgia" w:eastAsia="Times New Roman" w:hAnsi="Georgia" w:cs="Times New Roman"/>
          <w:sz w:val="24"/>
          <w:szCs w:val="24"/>
          <w:lang w:eastAsia="en-GB"/>
        </w:rPr>
        <w:t>Instead, the Act speaks of causes of action brought by the State against employers and owners of places of employment, places of public assembly, or public buildings. The Labor Department Act clearly contemplates bringing a cause of action against an “employer,” which is defined within this subchapter as “including] every person, . . . having</w:t>
      </w:r>
      <w:r w:rsidRPr="00D0091D">
        <w:rPr>
          <w:rFonts w:ascii="Georgia" w:eastAsia="Times New Roman" w:hAnsi="Georgia" w:cs="Times New Roman"/>
          <w:sz w:val="24"/>
          <w:szCs w:val="24"/>
          <w:lang w:eastAsia="en-GB"/>
        </w:rPr>
        <w:t> </w:t>
      </w:r>
      <w:r w:rsidRPr="00D0091D">
        <w:rPr>
          <w:rFonts w:ascii="Georgia" w:eastAsia="Times New Roman" w:hAnsi="Georgia" w:cs="Times New Roman"/>
          <w:i/>
          <w:iCs/>
          <w:sz w:val="24"/>
          <w:szCs w:val="24"/>
          <w:lang w:eastAsia="en-GB"/>
        </w:rPr>
        <w:t>control or custody of any . . . place of employment, </w:t>
      </w:r>
      <w:r w:rsidRPr="00D0091D">
        <w:rPr>
          <w:rFonts w:ascii="Georgia" w:eastAsia="Times New Roman" w:hAnsi="Georgia" w:cs="Times New Roman"/>
          <w:sz w:val="24"/>
          <w:szCs w:val="24"/>
          <w:lang w:eastAsia="en-GB"/>
        </w:rPr>
        <w:t>or of any employee.” </w:t>
      </w:r>
      <w:r w:rsidRPr="00D0091D">
        <w:rPr>
          <w:rFonts w:ascii="Georgia" w:eastAsia="Times New Roman" w:hAnsi="Georgia" w:cs="Times New Roman"/>
          <w:color w:val="007BFF"/>
          <w:sz w:val="24"/>
          <w:szCs w:val="24"/>
          <w:lang w:eastAsia="en-GB"/>
        </w:rPr>
        <w:t>Ark. Code Ann. § 11</w:t>
      </w:r>
      <w:r w:rsidRPr="00D0091D">
        <w:rPr>
          <w:rFonts w:ascii="Georgia" w:eastAsia="Times New Roman" w:hAnsi="Georgia" w:cs="Times New Roman"/>
          <w:sz w:val="24"/>
          <w:szCs w:val="24"/>
          <w:lang w:eastAsia="en-GB"/>
        </w:rPr>
        <w:t xml:space="preserve"> — 2— 102(1) (emphasis added). </w:t>
      </w:r>
      <w:r w:rsidRPr="0069009F">
        <w:rPr>
          <w:rFonts w:ascii="Georgia" w:eastAsia="Times New Roman" w:hAnsi="Georgia" w:cs="Times New Roman"/>
          <w:sz w:val="24"/>
          <w:szCs w:val="24"/>
          <w:highlight w:val="green"/>
          <w:lang w:eastAsia="en-GB"/>
        </w:rPr>
        <w:t xml:space="preserve">Reading </w:t>
      </w:r>
      <w:r w:rsidRPr="0069009F">
        <w:rPr>
          <w:rFonts w:ascii="Georgia" w:eastAsia="Times New Roman" w:hAnsi="Georgia" w:cs="Times New Roman"/>
          <w:sz w:val="24"/>
          <w:szCs w:val="24"/>
          <w:highlight w:val="cyan"/>
          <w:lang w:eastAsia="en-GB"/>
        </w:rPr>
        <w:t>section 11-2-117(b)</w:t>
      </w:r>
      <w:r w:rsidRPr="0069009F">
        <w:rPr>
          <w:rFonts w:ascii="Georgia" w:eastAsia="Times New Roman" w:hAnsi="Georgia" w:cs="Times New Roman"/>
          <w:sz w:val="24"/>
          <w:szCs w:val="24"/>
          <w:highlight w:val="green"/>
          <w:lang w:eastAsia="en-GB"/>
        </w:rPr>
        <w:t xml:space="preserve"> in conjunction with </w:t>
      </w:r>
      <w:r w:rsidRPr="0069009F">
        <w:rPr>
          <w:rFonts w:ascii="Georgia" w:eastAsia="Times New Roman" w:hAnsi="Georgia" w:cs="Times New Roman"/>
          <w:sz w:val="24"/>
          <w:szCs w:val="24"/>
          <w:highlight w:val="cyan"/>
          <w:lang w:eastAsia="en-GB"/>
        </w:rPr>
        <w:t>section 11-2-102(1)</w:t>
      </w:r>
      <w:r w:rsidRPr="0069009F">
        <w:rPr>
          <w:rFonts w:ascii="Georgia" w:eastAsia="Times New Roman" w:hAnsi="Georgia" w:cs="Times New Roman"/>
          <w:sz w:val="24"/>
          <w:szCs w:val="24"/>
          <w:highlight w:val="green"/>
          <w:lang w:eastAsia="en-GB"/>
        </w:rPr>
        <w:t>, we cannot ascertain a legislative intent to impose greater liability on an owner of a place of employment than that imposed on an employer. Applying the rules of strict construction, we cannot say that the legislature plainly intended that the responsibility for a safe workplace is greater on an owner of a place of employment than it is on an employer, who may be penalized under the statute for having an unsafe workplace under its “control or custody.”</w:t>
      </w:r>
    </w:p>
    <w:p w14:paraId="2FFEDE5F" w14:textId="0BC7B184" w:rsidR="00D0091D" w:rsidRPr="00D0091D" w:rsidRDefault="00D0091D" w:rsidP="00D0091D">
      <w:pPr>
        <w:spacing w:before="100" w:beforeAutospacing="1" w:after="225" w:line="240" w:lineRule="auto"/>
        <w:rPr>
          <w:rFonts w:ascii="Georgia" w:eastAsia="Times New Roman" w:hAnsi="Georgia" w:cs="Times New Roman"/>
          <w:sz w:val="24"/>
          <w:szCs w:val="24"/>
          <w:lang w:eastAsia="en-GB"/>
        </w:rPr>
      </w:pPr>
      <w:r w:rsidRPr="0069009F">
        <w:rPr>
          <w:rFonts w:ascii="Georgia" w:eastAsia="Times New Roman" w:hAnsi="Georgia" w:cs="Times New Roman"/>
          <w:sz w:val="24"/>
          <w:szCs w:val="24"/>
          <w:highlight w:val="green"/>
          <w:lang w:eastAsia="en-GB"/>
        </w:rPr>
        <w:t>We hold that, without an assumption of responsibility for repairs, there was no common-law duty under which we may impose liability on the Stewards, as landlords, to provide a safe workplace for the employees of their tenant and that none was </w:t>
      </w:r>
      <w:hyperlink r:id="rId19" w:anchor="p844" w:history="1">
        <w:r w:rsidRPr="0069009F">
          <w:rPr>
            <w:rFonts w:ascii="Georgia" w:eastAsia="Times New Roman" w:hAnsi="Georgia" w:cs="Times New Roman"/>
            <w:i/>
            <w:iCs/>
            <w:color w:val="979797"/>
            <w:sz w:val="19"/>
            <w:szCs w:val="19"/>
            <w:highlight w:val="green"/>
            <w:lang w:eastAsia="en-GB"/>
          </w:rPr>
          <w:t>*844</w:t>
        </w:r>
      </w:hyperlink>
      <w:r w:rsidRPr="0069009F">
        <w:rPr>
          <w:rFonts w:ascii="Georgia" w:eastAsia="Times New Roman" w:hAnsi="Georgia" w:cs="Times New Roman"/>
          <w:sz w:val="24"/>
          <w:szCs w:val="24"/>
          <w:highlight w:val="green"/>
          <w:lang w:eastAsia="en-GB"/>
        </w:rPr>
        <w:t xml:space="preserve">created by the statute. </w:t>
      </w:r>
      <w:r w:rsidRPr="0069009F">
        <w:rPr>
          <w:rFonts w:ascii="Georgia" w:eastAsia="Times New Roman" w:hAnsi="Georgia" w:cs="Times New Roman"/>
          <w:sz w:val="24"/>
          <w:szCs w:val="24"/>
          <w:highlight w:val="magenta"/>
          <w:lang w:eastAsia="en-GB"/>
        </w:rPr>
        <w:t>We will reverse a trial court’s order granting a motion for a new trial only if there is a manifest abuse of discretion.</w:t>
      </w:r>
      <w:r w:rsidRPr="00D0091D">
        <w:rPr>
          <w:rFonts w:ascii="Georgia" w:eastAsia="Times New Roman" w:hAnsi="Georgia" w:cs="Times New Roman"/>
          <w:sz w:val="24"/>
          <w:szCs w:val="24"/>
          <w:lang w:eastAsia="en-GB"/>
        </w:rPr>
        <w:t> </w:t>
      </w:r>
      <w:r w:rsidRPr="00D0091D">
        <w:rPr>
          <w:rFonts w:ascii="Georgia" w:eastAsia="Times New Roman" w:hAnsi="Georgia" w:cs="Times New Roman"/>
          <w:i/>
          <w:iCs/>
          <w:sz w:val="24"/>
          <w:szCs w:val="24"/>
          <w:lang w:eastAsia="en-GB"/>
        </w:rPr>
        <w:t>Ray v. Green, </w:t>
      </w:r>
      <w:r w:rsidRPr="00D0091D">
        <w:rPr>
          <w:rFonts w:ascii="Georgia" w:eastAsia="Times New Roman" w:hAnsi="Georgia" w:cs="Times New Roman"/>
          <w:color w:val="007BFF"/>
          <w:sz w:val="24"/>
          <w:szCs w:val="24"/>
          <w:lang w:eastAsia="en-GB"/>
        </w:rPr>
        <w:t>310 Ark. 571</w:t>
      </w:r>
      <w:r w:rsidRPr="00D0091D">
        <w:rPr>
          <w:rFonts w:ascii="Georgia" w:eastAsia="Times New Roman" w:hAnsi="Georgia" w:cs="Times New Roman"/>
          <w:sz w:val="24"/>
          <w:szCs w:val="24"/>
          <w:lang w:eastAsia="en-GB"/>
        </w:rPr>
        <w:t>, </w:t>
      </w:r>
      <w:hyperlink r:id="rId20" w:history="1">
        <w:r w:rsidRPr="00D0091D">
          <w:rPr>
            <w:rFonts w:ascii="Georgia" w:eastAsia="Times New Roman" w:hAnsi="Georgia" w:cs="Times New Roman"/>
            <w:color w:val="007BFF"/>
            <w:sz w:val="24"/>
            <w:szCs w:val="24"/>
            <w:lang w:eastAsia="en-GB"/>
          </w:rPr>
          <w:t>839 S.W.2d 515</w:t>
        </w:r>
      </w:hyperlink>
      <w:r w:rsidRPr="00D0091D">
        <w:rPr>
          <w:rFonts w:ascii="Georgia" w:eastAsia="Times New Roman" w:hAnsi="Georgia" w:cs="Times New Roman"/>
          <w:sz w:val="24"/>
          <w:szCs w:val="24"/>
          <w:lang w:eastAsia="en-GB"/>
        </w:rPr>
        <w:t> (1992</w:t>
      </w:r>
      <w:r w:rsidRPr="0069009F">
        <w:rPr>
          <w:rFonts w:ascii="Georgia" w:eastAsia="Times New Roman" w:hAnsi="Georgia" w:cs="Times New Roman"/>
          <w:sz w:val="24"/>
          <w:szCs w:val="24"/>
          <w:lang w:eastAsia="en-GB"/>
        </w:rPr>
        <w:t>). A clearly erroneous interpretation of the law or a clearly erroneous application of a law or rule can constitute such manifest abuse of discretion.</w:t>
      </w:r>
      <w:r w:rsidRPr="00D0091D">
        <w:rPr>
          <w:rFonts w:ascii="Georgia" w:eastAsia="Times New Roman" w:hAnsi="Georgia" w:cs="Times New Roman"/>
          <w:sz w:val="24"/>
          <w:szCs w:val="24"/>
          <w:lang w:eastAsia="en-GB"/>
        </w:rPr>
        <w:t> </w:t>
      </w:r>
      <w:r w:rsidRPr="00D0091D">
        <w:rPr>
          <w:rFonts w:ascii="Georgia" w:eastAsia="Times New Roman" w:hAnsi="Georgia" w:cs="Times New Roman"/>
          <w:i/>
          <w:iCs/>
          <w:sz w:val="24"/>
          <w:szCs w:val="24"/>
          <w:lang w:eastAsia="en-GB"/>
        </w:rPr>
        <w:t>Ford Motor Co. v. Nuckolls, </w:t>
      </w:r>
      <w:r w:rsidRPr="00D0091D">
        <w:rPr>
          <w:rFonts w:ascii="Georgia" w:eastAsia="Times New Roman" w:hAnsi="Georgia" w:cs="Times New Roman"/>
          <w:color w:val="007BFF"/>
          <w:sz w:val="24"/>
          <w:szCs w:val="24"/>
          <w:lang w:eastAsia="en-GB"/>
        </w:rPr>
        <w:t>320 Ark. 15</w:t>
      </w:r>
      <w:r w:rsidRPr="00D0091D">
        <w:rPr>
          <w:rFonts w:ascii="Georgia" w:eastAsia="Times New Roman" w:hAnsi="Georgia" w:cs="Times New Roman"/>
          <w:sz w:val="24"/>
          <w:szCs w:val="24"/>
          <w:lang w:eastAsia="en-GB"/>
        </w:rPr>
        <w:t>, </w:t>
      </w:r>
      <w:hyperlink r:id="rId21" w:history="1">
        <w:r w:rsidRPr="00D0091D">
          <w:rPr>
            <w:rFonts w:ascii="Georgia" w:eastAsia="Times New Roman" w:hAnsi="Georgia" w:cs="Times New Roman"/>
            <w:color w:val="007BFF"/>
            <w:sz w:val="24"/>
            <w:szCs w:val="24"/>
            <w:lang w:eastAsia="en-GB"/>
          </w:rPr>
          <w:t>894 S.W.2d 897</w:t>
        </w:r>
      </w:hyperlink>
      <w:r w:rsidRPr="00D0091D">
        <w:rPr>
          <w:rFonts w:ascii="Georgia" w:eastAsia="Times New Roman" w:hAnsi="Georgia" w:cs="Times New Roman"/>
          <w:sz w:val="24"/>
          <w:szCs w:val="24"/>
          <w:lang w:eastAsia="en-GB"/>
        </w:rPr>
        <w:t xml:space="preserve"> (1995). </w:t>
      </w:r>
      <w:r w:rsidRPr="0069009F">
        <w:rPr>
          <w:rFonts w:ascii="Georgia" w:eastAsia="Times New Roman" w:hAnsi="Georgia" w:cs="Times New Roman"/>
          <w:sz w:val="24"/>
          <w:szCs w:val="24"/>
          <w:highlight w:val="green"/>
          <w:lang w:eastAsia="en-GB"/>
        </w:rPr>
        <w:t xml:space="preserve">We conclude that the trial court misinterpreted </w:t>
      </w:r>
      <w:r w:rsidRPr="0069009F">
        <w:rPr>
          <w:rFonts w:ascii="Georgia" w:eastAsia="Times New Roman" w:hAnsi="Georgia" w:cs="Times New Roman"/>
          <w:sz w:val="24"/>
          <w:szCs w:val="24"/>
          <w:highlight w:val="cyan"/>
          <w:lang w:eastAsia="en-GB"/>
        </w:rPr>
        <w:t xml:space="preserve">section 11-2-117 </w:t>
      </w:r>
      <w:r w:rsidRPr="0069009F">
        <w:rPr>
          <w:rFonts w:ascii="Georgia" w:eastAsia="Times New Roman" w:hAnsi="Georgia" w:cs="Times New Roman"/>
          <w:sz w:val="24"/>
          <w:szCs w:val="24"/>
          <w:highlight w:val="green"/>
          <w:lang w:eastAsia="en-GB"/>
        </w:rPr>
        <w:t>in its order granting new trial, and that this misinterpretation of the law constitutes a manifest abuse of discretion.</w:t>
      </w:r>
      <w:r w:rsidRPr="00D0091D">
        <w:rPr>
          <w:rFonts w:ascii="Georgia" w:eastAsia="Times New Roman" w:hAnsi="Georgia" w:cs="Times New Roman"/>
          <w:sz w:val="24"/>
          <w:szCs w:val="24"/>
          <w:lang w:eastAsia="en-GB"/>
        </w:rPr>
        <w:t xml:space="preserve"> Because of our decision, the remaining issues that appellant raises on appeal are rendered moot.</w:t>
      </w:r>
    </w:p>
    <w:p w14:paraId="2FFEDE60" w14:textId="77777777" w:rsidR="00D0091D" w:rsidRPr="00D0091D" w:rsidRDefault="00D0091D" w:rsidP="00D0091D">
      <w:pPr>
        <w:spacing w:before="100" w:beforeAutospacing="1" w:after="225" w:line="240" w:lineRule="auto"/>
        <w:rPr>
          <w:rFonts w:ascii="Georgia" w:eastAsia="Times New Roman" w:hAnsi="Georgia" w:cs="Times New Roman"/>
          <w:sz w:val="24"/>
          <w:szCs w:val="24"/>
          <w:lang w:eastAsia="en-GB"/>
        </w:rPr>
      </w:pPr>
      <w:r w:rsidRPr="00D0091D">
        <w:rPr>
          <w:rFonts w:ascii="Georgia" w:eastAsia="Times New Roman" w:hAnsi="Georgia" w:cs="Times New Roman"/>
          <w:sz w:val="24"/>
          <w:szCs w:val="24"/>
          <w:lang w:eastAsia="en-GB"/>
        </w:rPr>
        <w:t xml:space="preserve">Accordingly, </w:t>
      </w:r>
      <w:r w:rsidRPr="0069009F">
        <w:rPr>
          <w:rFonts w:ascii="Georgia" w:eastAsia="Times New Roman" w:hAnsi="Georgia" w:cs="Times New Roman"/>
          <w:sz w:val="24"/>
          <w:szCs w:val="24"/>
          <w:highlight w:val="red"/>
          <w:lang w:eastAsia="en-GB"/>
        </w:rPr>
        <w:t>we reverse the trial court’s order granting a new trial and dismiss this appeal.</w:t>
      </w:r>
    </w:p>
    <w:p w14:paraId="2FFEDE61" w14:textId="77777777" w:rsidR="00D0091D" w:rsidRPr="00D0091D" w:rsidRDefault="00D0091D" w:rsidP="00D0091D">
      <w:pPr>
        <w:spacing w:before="100" w:beforeAutospacing="1" w:after="225" w:line="240" w:lineRule="auto"/>
        <w:rPr>
          <w:rFonts w:ascii="Georgia" w:eastAsia="Times New Roman" w:hAnsi="Georgia" w:cs="Times New Roman"/>
          <w:sz w:val="24"/>
          <w:szCs w:val="24"/>
          <w:lang w:eastAsia="en-GB"/>
        </w:rPr>
      </w:pPr>
      <w:r w:rsidRPr="00D0091D">
        <w:rPr>
          <w:rFonts w:ascii="Georgia" w:eastAsia="Times New Roman" w:hAnsi="Georgia" w:cs="Times New Roman"/>
          <w:sz w:val="24"/>
          <w:szCs w:val="24"/>
          <w:lang w:eastAsia="en-GB"/>
        </w:rPr>
        <w:t>Brown, J., concurs.</w:t>
      </w:r>
    </w:p>
    <w:p w14:paraId="2FFEDE62" w14:textId="77777777" w:rsidR="00D0091D" w:rsidRPr="00D0091D" w:rsidRDefault="00D0091D" w:rsidP="00D0091D">
      <w:pPr>
        <w:spacing w:before="100" w:beforeAutospacing="1" w:after="225" w:line="240" w:lineRule="auto"/>
        <w:rPr>
          <w:rFonts w:ascii="Georgia" w:eastAsia="Times New Roman" w:hAnsi="Georgia" w:cs="Times New Roman"/>
          <w:color w:val="E878FF"/>
          <w:sz w:val="24"/>
          <w:szCs w:val="24"/>
          <w:lang w:eastAsia="en-GB"/>
        </w:rPr>
      </w:pPr>
      <w:r w:rsidRPr="00D0091D">
        <w:rPr>
          <w:rFonts w:ascii="Georgia" w:eastAsia="Times New Roman" w:hAnsi="Georgia" w:cs="Times New Roman"/>
          <w:color w:val="E878FF"/>
          <w:sz w:val="24"/>
          <w:szCs w:val="24"/>
          <w:lang w:eastAsia="en-GB"/>
        </w:rPr>
        <w:t>Robert L. Brown, Justice,</w:t>
      </w:r>
    </w:p>
    <w:p w14:paraId="2FFEDE63" w14:textId="77777777" w:rsidR="00D0091D" w:rsidRPr="00D0091D" w:rsidRDefault="00D0091D" w:rsidP="00D0091D">
      <w:pPr>
        <w:spacing w:before="100" w:beforeAutospacing="1" w:after="225" w:line="240" w:lineRule="auto"/>
        <w:rPr>
          <w:rFonts w:ascii="Georgia" w:eastAsia="Times New Roman" w:hAnsi="Georgia" w:cs="Times New Roman"/>
          <w:sz w:val="24"/>
          <w:szCs w:val="24"/>
          <w:lang w:eastAsia="en-GB"/>
        </w:rPr>
      </w:pPr>
      <w:r w:rsidRPr="00D0091D">
        <w:rPr>
          <w:rFonts w:ascii="Georgia" w:eastAsia="Times New Roman" w:hAnsi="Georgia" w:cs="Times New Roman"/>
          <w:sz w:val="24"/>
          <w:szCs w:val="24"/>
          <w:lang w:eastAsia="en-GB"/>
        </w:rPr>
        <w:t>concurring. I write to concur because I believe the majority has given an unduly restrictive construction to Ark. Code Ann. § ll-2-117(b) (Repl. 1996). Section 11-2-117(b) reads:</w:t>
      </w:r>
    </w:p>
    <w:p w14:paraId="2FFEDE64" w14:textId="77777777" w:rsidR="00D0091D" w:rsidRPr="00D0091D" w:rsidRDefault="00D0091D" w:rsidP="00D0091D">
      <w:pPr>
        <w:spacing w:after="100" w:line="240" w:lineRule="auto"/>
        <w:rPr>
          <w:rFonts w:ascii="Georgia" w:eastAsia="Times New Roman" w:hAnsi="Georgia" w:cs="Times New Roman"/>
          <w:color w:val="004FB3"/>
          <w:sz w:val="24"/>
          <w:szCs w:val="24"/>
          <w:lang w:eastAsia="en-GB"/>
        </w:rPr>
      </w:pPr>
      <w:r w:rsidRPr="00D0091D">
        <w:rPr>
          <w:rFonts w:ascii="Georgia" w:eastAsia="Times New Roman" w:hAnsi="Georgia" w:cs="Times New Roman"/>
          <w:color w:val="004FB3"/>
          <w:sz w:val="24"/>
          <w:szCs w:val="24"/>
          <w:lang w:eastAsia="en-GB"/>
        </w:rPr>
        <w:t>Every employer and </w:t>
      </w:r>
      <w:r w:rsidRPr="00D0091D">
        <w:rPr>
          <w:rFonts w:ascii="Georgia" w:eastAsia="Times New Roman" w:hAnsi="Georgia" w:cs="Times New Roman"/>
          <w:i/>
          <w:iCs/>
          <w:color w:val="004FB3"/>
          <w:sz w:val="24"/>
          <w:szCs w:val="24"/>
          <w:lang w:eastAsia="en-GB"/>
        </w:rPr>
        <w:t>every owner of a place of employment, </w:t>
      </w:r>
      <w:r w:rsidRPr="00D0091D">
        <w:rPr>
          <w:rFonts w:ascii="Georgia" w:eastAsia="Times New Roman" w:hAnsi="Georgia" w:cs="Times New Roman"/>
          <w:color w:val="004FB3"/>
          <w:sz w:val="24"/>
          <w:szCs w:val="24"/>
          <w:lang w:eastAsia="en-GB"/>
        </w:rPr>
        <w:t>place of public assembly, or public building, now or hereafter constructed, shall construct, repair, and maintain it so as to render it safe.</w:t>
      </w:r>
    </w:p>
    <w:p w14:paraId="2FFEDE65" w14:textId="0361041F" w:rsidR="00D0091D" w:rsidRPr="00D0091D" w:rsidRDefault="00D0091D" w:rsidP="00D0091D">
      <w:pPr>
        <w:spacing w:before="100" w:beforeAutospacing="1" w:after="225" w:line="240" w:lineRule="auto"/>
        <w:rPr>
          <w:rFonts w:ascii="Georgia" w:eastAsia="Times New Roman" w:hAnsi="Georgia" w:cs="Times New Roman"/>
          <w:sz w:val="24"/>
          <w:szCs w:val="24"/>
          <w:lang w:eastAsia="en-GB"/>
        </w:rPr>
      </w:pPr>
      <w:r w:rsidRPr="00D0091D">
        <w:rPr>
          <w:rFonts w:ascii="Georgia" w:eastAsia="Times New Roman" w:hAnsi="Georgia" w:cs="Times New Roman"/>
          <w:i/>
          <w:iCs/>
          <w:color w:val="007BFF"/>
          <w:sz w:val="24"/>
          <w:szCs w:val="24"/>
          <w:lang w:eastAsia="en-GB"/>
        </w:rPr>
        <w:t>Id.</w:t>
      </w:r>
      <w:r w:rsidRPr="00D0091D">
        <w:rPr>
          <w:rFonts w:ascii="Georgia" w:eastAsia="Times New Roman" w:hAnsi="Georgia" w:cs="Times New Roman"/>
          <w:i/>
          <w:iCs/>
          <w:sz w:val="24"/>
          <w:szCs w:val="24"/>
          <w:lang w:eastAsia="en-GB"/>
        </w:rPr>
        <w:t> </w:t>
      </w:r>
      <w:r w:rsidRPr="00D0091D">
        <w:rPr>
          <w:rFonts w:ascii="Georgia" w:eastAsia="Times New Roman" w:hAnsi="Georgia" w:cs="Times New Roman"/>
          <w:sz w:val="24"/>
          <w:szCs w:val="24"/>
          <w:lang w:eastAsia="en-GB"/>
        </w:rPr>
        <w:t>(emphasis added). In my judgment, this provision establishes a statutory duty on the part of the Stewards, who own a building used as a workplace, to turn the premises over to PSI in a safe condition. This duty attaches even though the owners are landlords because of the clear reference in the statute to “owner.” Here, the issue of premises safety was submitted to the jury, and the jury found for the Stewards. For that reason, I concur in the result.</w:t>
      </w:r>
    </w:p>
    <w:p w14:paraId="2FFEDE66" w14:textId="46C2FF0A" w:rsidR="00D0091D" w:rsidRPr="00D0091D" w:rsidRDefault="00D0091D" w:rsidP="00D0091D">
      <w:pPr>
        <w:spacing w:before="100" w:beforeAutospacing="1" w:after="225" w:line="240" w:lineRule="auto"/>
        <w:rPr>
          <w:rFonts w:ascii="Georgia" w:eastAsia="Times New Roman" w:hAnsi="Georgia" w:cs="Times New Roman"/>
          <w:sz w:val="24"/>
          <w:szCs w:val="24"/>
          <w:lang w:eastAsia="en-GB"/>
        </w:rPr>
      </w:pPr>
      <w:r w:rsidRPr="00D0091D">
        <w:rPr>
          <w:rFonts w:ascii="Georgia" w:eastAsia="Times New Roman" w:hAnsi="Georgia" w:cs="Times New Roman"/>
          <w:sz w:val="24"/>
          <w:szCs w:val="24"/>
          <w:lang w:eastAsia="en-GB"/>
        </w:rPr>
        <w:t>The Supreme Court of West Virginia was faced with a similar issue in </w:t>
      </w:r>
      <w:r w:rsidRPr="00D0091D">
        <w:rPr>
          <w:rFonts w:ascii="Georgia" w:eastAsia="Times New Roman" w:hAnsi="Georgia" w:cs="Times New Roman"/>
          <w:i/>
          <w:iCs/>
          <w:sz w:val="24"/>
          <w:szCs w:val="24"/>
          <w:lang w:eastAsia="en-GB"/>
        </w:rPr>
        <w:t>Pack v. Van Meter, </w:t>
      </w:r>
      <w:hyperlink r:id="rId22" w:history="1">
        <w:r w:rsidRPr="00D0091D">
          <w:rPr>
            <w:rFonts w:ascii="Georgia" w:eastAsia="Times New Roman" w:hAnsi="Georgia" w:cs="Times New Roman"/>
            <w:color w:val="007BFF"/>
            <w:sz w:val="24"/>
            <w:szCs w:val="24"/>
            <w:lang w:eastAsia="en-GB"/>
          </w:rPr>
          <w:t>354 S.E.2d 581</w:t>
        </w:r>
      </w:hyperlink>
      <w:r w:rsidRPr="00D0091D">
        <w:rPr>
          <w:rFonts w:ascii="Georgia" w:eastAsia="Times New Roman" w:hAnsi="Georgia" w:cs="Times New Roman"/>
          <w:sz w:val="24"/>
          <w:szCs w:val="24"/>
          <w:lang w:eastAsia="en-GB"/>
        </w:rPr>
        <w:t> (W.Va. 1986). In that case, Ms. Pack, who was employed by a dress shop that leased space in a building owned by the Van Meters, was injured when she fell down a set of stairs that did not have a handrail, which violated § 21-3-6 of the West Virginia Code. That code provision </w:t>
      </w:r>
      <w:r w:rsidRPr="00D0091D">
        <w:rPr>
          <w:rFonts w:ascii="Georgia" w:eastAsia="Times New Roman" w:hAnsi="Georgia" w:cs="Times New Roman"/>
          <w:i/>
          <w:iCs/>
          <w:color w:val="979797"/>
          <w:sz w:val="19"/>
          <w:szCs w:val="19"/>
          <w:lang w:eastAsia="en-GB"/>
        </w:rPr>
        <w:t>*845</w:t>
      </w:r>
      <w:r w:rsidRPr="00D0091D">
        <w:rPr>
          <w:rFonts w:ascii="Georgia" w:eastAsia="Times New Roman" w:hAnsi="Georgia" w:cs="Times New Roman"/>
          <w:sz w:val="24"/>
          <w:szCs w:val="24"/>
          <w:lang w:eastAsia="en-GB"/>
        </w:rPr>
        <w:t>mandated proper and substantial handrails in all mercantile establishments. Because the statute was silent on whether this duty was owed by the Van Meters, the Supreme Court looked to its safe-workplace statute for guidance:</w:t>
      </w:r>
    </w:p>
    <w:p w14:paraId="2FFEDE67" w14:textId="77777777" w:rsidR="00D0091D" w:rsidRPr="00D0091D" w:rsidRDefault="00D0091D" w:rsidP="00D0091D">
      <w:pPr>
        <w:spacing w:after="100" w:line="240" w:lineRule="auto"/>
        <w:rPr>
          <w:rFonts w:ascii="Georgia" w:eastAsia="Times New Roman" w:hAnsi="Georgia" w:cs="Times New Roman"/>
          <w:color w:val="004FB3"/>
          <w:sz w:val="24"/>
          <w:szCs w:val="24"/>
          <w:lang w:eastAsia="en-GB"/>
        </w:rPr>
      </w:pPr>
      <w:r w:rsidRPr="00D0091D">
        <w:rPr>
          <w:rFonts w:ascii="Georgia" w:eastAsia="Times New Roman" w:hAnsi="Georgia" w:cs="Times New Roman"/>
          <w:color w:val="004FB3"/>
          <w:sz w:val="24"/>
          <w:szCs w:val="24"/>
          <w:lang w:eastAsia="en-GB"/>
        </w:rPr>
        <w:t>W.Va.Code, 21-3-1, is the introductory section in the part of our Code relating mainly to the safety and welfare of employees in the workplace and contains this provision with regard to the owner of certain premises: “Every employer and </w:t>
      </w:r>
      <w:r w:rsidRPr="00D0091D">
        <w:rPr>
          <w:rFonts w:ascii="Georgia" w:eastAsia="Times New Roman" w:hAnsi="Georgia" w:cs="Times New Roman"/>
          <w:i/>
          <w:iCs/>
          <w:color w:val="004FB3"/>
          <w:sz w:val="24"/>
          <w:szCs w:val="24"/>
          <w:lang w:eastAsia="en-GB"/>
        </w:rPr>
        <w:t>every owner of a place of employment, </w:t>
      </w:r>
      <w:r w:rsidRPr="00D0091D">
        <w:rPr>
          <w:rFonts w:ascii="Georgia" w:eastAsia="Times New Roman" w:hAnsi="Georgia" w:cs="Times New Roman"/>
          <w:color w:val="004FB3"/>
          <w:sz w:val="24"/>
          <w:szCs w:val="24"/>
          <w:lang w:eastAsia="en-GB"/>
        </w:rPr>
        <w:t>place of public assembly, or a public building, now or hereafter constructed, shall so construct, repair and maintain the same as to render it reasonably safe.” (Emphasis added). This language clearly imposes a duty on both the employer and the owner of a place of employment, place of public assembly, or a public building to maintain such places in a reasonably safe condition.</w:t>
      </w:r>
    </w:p>
    <w:p w14:paraId="2FFEDE68" w14:textId="566A0551" w:rsidR="00D0091D" w:rsidRPr="00D0091D" w:rsidRDefault="00A7779F" w:rsidP="00D0091D">
      <w:pPr>
        <w:spacing w:before="100" w:beforeAutospacing="1" w:after="225" w:line="240" w:lineRule="auto"/>
        <w:rPr>
          <w:rFonts w:ascii="Georgia" w:eastAsia="Times New Roman" w:hAnsi="Georgia" w:cs="Times New Roman"/>
          <w:sz w:val="24"/>
          <w:szCs w:val="24"/>
          <w:lang w:eastAsia="en-GB"/>
        </w:rPr>
      </w:pPr>
      <w:hyperlink r:id="rId23" w:history="1">
        <w:r w:rsidR="00D0091D" w:rsidRPr="00D0091D">
          <w:rPr>
            <w:rFonts w:ascii="Georgia" w:eastAsia="Times New Roman" w:hAnsi="Georgia" w:cs="Times New Roman"/>
            <w:i/>
            <w:iCs/>
            <w:color w:val="007BFF"/>
            <w:sz w:val="24"/>
            <w:szCs w:val="24"/>
            <w:lang w:eastAsia="en-GB"/>
          </w:rPr>
          <w:t>Id. </w:t>
        </w:r>
      </w:hyperlink>
      <w:r w:rsidR="00D0091D" w:rsidRPr="00D0091D">
        <w:rPr>
          <w:rFonts w:ascii="Georgia" w:eastAsia="Times New Roman" w:hAnsi="Georgia" w:cs="Times New Roman"/>
          <w:color w:val="007BFF"/>
          <w:sz w:val="24"/>
          <w:szCs w:val="24"/>
          <w:lang w:eastAsia="en-GB"/>
        </w:rPr>
        <w:t>at 585</w:t>
      </w:r>
      <w:r w:rsidR="00D0091D" w:rsidRPr="00D0091D">
        <w:rPr>
          <w:rFonts w:ascii="Georgia" w:eastAsia="Times New Roman" w:hAnsi="Georgia" w:cs="Times New Roman"/>
          <w:sz w:val="24"/>
          <w:szCs w:val="24"/>
          <w:lang w:eastAsia="en-GB"/>
        </w:rPr>
        <w:t>.</w:t>
      </w:r>
    </w:p>
    <w:p w14:paraId="2FFEDE69" w14:textId="06C3E90C" w:rsidR="00D0091D" w:rsidRPr="00D0091D" w:rsidRDefault="00D0091D" w:rsidP="00D0091D">
      <w:pPr>
        <w:spacing w:before="100" w:beforeAutospacing="1" w:after="225" w:line="240" w:lineRule="auto"/>
        <w:rPr>
          <w:rFonts w:ascii="Georgia" w:eastAsia="Times New Roman" w:hAnsi="Georgia" w:cs="Times New Roman"/>
          <w:sz w:val="24"/>
          <w:szCs w:val="24"/>
          <w:lang w:eastAsia="en-GB"/>
        </w:rPr>
      </w:pPr>
      <w:r w:rsidRPr="00D0091D">
        <w:rPr>
          <w:rFonts w:ascii="Georgia" w:eastAsia="Times New Roman" w:hAnsi="Georgia" w:cs="Times New Roman"/>
          <w:sz w:val="24"/>
          <w:szCs w:val="24"/>
          <w:lang w:eastAsia="en-GB"/>
        </w:rPr>
        <w:t>The West Virginia Supreme Court noted that finding a duty on the part of the Van Meters was necessary; otherwise, the “every owner” language of the safe-workplace statute would be rendered meaningless. </w:t>
      </w:r>
      <w:hyperlink r:id="rId24" w:history="1">
        <w:r w:rsidRPr="00D0091D">
          <w:rPr>
            <w:rFonts w:ascii="Georgia" w:eastAsia="Times New Roman" w:hAnsi="Georgia" w:cs="Times New Roman"/>
            <w:i/>
            <w:iCs/>
            <w:color w:val="007BFF"/>
            <w:sz w:val="24"/>
            <w:szCs w:val="24"/>
            <w:lang w:eastAsia="en-GB"/>
          </w:rPr>
          <w:t>Id. </w:t>
        </w:r>
      </w:hyperlink>
      <w:r w:rsidRPr="00D0091D">
        <w:rPr>
          <w:rFonts w:ascii="Georgia" w:eastAsia="Times New Roman" w:hAnsi="Georgia" w:cs="Times New Roman"/>
          <w:color w:val="007BFF"/>
          <w:sz w:val="24"/>
          <w:szCs w:val="24"/>
          <w:lang w:eastAsia="en-GB"/>
        </w:rPr>
        <w:t>at 586</w:t>
      </w:r>
      <w:r w:rsidRPr="00D0091D">
        <w:rPr>
          <w:rFonts w:ascii="Georgia" w:eastAsia="Times New Roman" w:hAnsi="Georgia" w:cs="Times New Roman"/>
          <w:sz w:val="24"/>
          <w:szCs w:val="24"/>
          <w:lang w:eastAsia="en-GB"/>
        </w:rPr>
        <w:t>.</w:t>
      </w:r>
    </w:p>
    <w:p w14:paraId="2FFEDE6A" w14:textId="0917C1E2" w:rsidR="00D0091D" w:rsidRPr="00D0091D" w:rsidRDefault="00D0091D" w:rsidP="00D0091D">
      <w:pPr>
        <w:spacing w:before="100" w:beforeAutospacing="1" w:after="225" w:line="240" w:lineRule="auto"/>
        <w:rPr>
          <w:rFonts w:ascii="Georgia" w:eastAsia="Times New Roman" w:hAnsi="Georgia" w:cs="Times New Roman"/>
          <w:sz w:val="24"/>
          <w:szCs w:val="24"/>
          <w:lang w:eastAsia="en-GB"/>
        </w:rPr>
      </w:pPr>
      <w:r w:rsidRPr="00D0091D">
        <w:rPr>
          <w:rFonts w:ascii="Georgia" w:eastAsia="Times New Roman" w:hAnsi="Georgia" w:cs="Times New Roman"/>
          <w:sz w:val="24"/>
          <w:szCs w:val="24"/>
          <w:lang w:eastAsia="en-GB"/>
        </w:rPr>
        <w:t>The </w:t>
      </w:r>
      <w:r w:rsidRPr="00D0091D">
        <w:rPr>
          <w:rFonts w:ascii="Georgia" w:eastAsia="Times New Roman" w:hAnsi="Georgia" w:cs="Times New Roman"/>
          <w:i/>
          <w:iCs/>
          <w:sz w:val="24"/>
          <w:szCs w:val="24"/>
          <w:lang w:eastAsia="en-GB"/>
        </w:rPr>
        <w:t>Pack </w:t>
      </w:r>
      <w:r w:rsidRPr="00D0091D">
        <w:rPr>
          <w:rFonts w:ascii="Georgia" w:eastAsia="Times New Roman" w:hAnsi="Georgia" w:cs="Times New Roman"/>
          <w:sz w:val="24"/>
          <w:szCs w:val="24"/>
          <w:lang w:eastAsia="en-GB"/>
        </w:rPr>
        <w:t>case is instructive because of the factual similarities to the present case, and also because both the Arkansas and West Virginia legislatures took action in 1937 to include the “every owner” language in their respective safe-workplace statutes. While I agree that statutes in derogation of the common law must be strictly construed, it is settled law that the intent of the General Assembly must be garnered from the plain meaning of the language used. </w:t>
      </w:r>
      <w:r w:rsidRPr="00D0091D">
        <w:rPr>
          <w:rFonts w:ascii="Georgia" w:eastAsia="Times New Roman" w:hAnsi="Georgia" w:cs="Times New Roman"/>
          <w:i/>
          <w:iCs/>
          <w:sz w:val="24"/>
          <w:szCs w:val="24"/>
          <w:lang w:eastAsia="en-GB"/>
        </w:rPr>
        <w:t>Masterson v. Stambuck, </w:t>
      </w:r>
      <w:hyperlink r:id="rId25" w:history="1">
        <w:r w:rsidRPr="00D0091D">
          <w:rPr>
            <w:rFonts w:ascii="Georgia" w:eastAsia="Times New Roman" w:hAnsi="Georgia" w:cs="Times New Roman"/>
            <w:color w:val="007BFF"/>
            <w:sz w:val="24"/>
            <w:szCs w:val="24"/>
            <w:lang w:eastAsia="en-GB"/>
          </w:rPr>
          <w:t>321 Ark. 391</w:t>
        </w:r>
      </w:hyperlink>
      <w:r w:rsidRPr="00D0091D">
        <w:rPr>
          <w:rFonts w:ascii="Georgia" w:eastAsia="Times New Roman" w:hAnsi="Georgia" w:cs="Times New Roman"/>
          <w:sz w:val="24"/>
          <w:szCs w:val="24"/>
          <w:lang w:eastAsia="en-GB"/>
        </w:rPr>
        <w:t>, </w:t>
      </w:r>
      <w:r w:rsidRPr="00D0091D">
        <w:rPr>
          <w:rFonts w:ascii="Georgia" w:eastAsia="Times New Roman" w:hAnsi="Georgia" w:cs="Times New Roman"/>
          <w:color w:val="007BFF"/>
          <w:sz w:val="24"/>
          <w:szCs w:val="24"/>
          <w:lang w:eastAsia="en-GB"/>
        </w:rPr>
        <w:t>902 S.W.2d 803</w:t>
      </w:r>
      <w:r w:rsidRPr="00D0091D">
        <w:rPr>
          <w:rFonts w:ascii="Georgia" w:eastAsia="Times New Roman" w:hAnsi="Georgia" w:cs="Times New Roman"/>
          <w:sz w:val="24"/>
          <w:szCs w:val="24"/>
          <w:lang w:eastAsia="en-GB"/>
        </w:rPr>
        <w:t> (1995); </w:t>
      </w:r>
      <w:r w:rsidRPr="00D0091D">
        <w:rPr>
          <w:rFonts w:ascii="Georgia" w:eastAsia="Times New Roman" w:hAnsi="Georgia" w:cs="Times New Roman"/>
          <w:i/>
          <w:iCs/>
          <w:sz w:val="24"/>
          <w:szCs w:val="24"/>
          <w:lang w:eastAsia="en-GB"/>
        </w:rPr>
        <w:t>Hercules, Inc. v. Pledger, </w:t>
      </w:r>
      <w:hyperlink r:id="rId26" w:history="1">
        <w:r w:rsidRPr="00D0091D">
          <w:rPr>
            <w:rFonts w:ascii="Georgia" w:eastAsia="Times New Roman" w:hAnsi="Georgia" w:cs="Times New Roman"/>
            <w:color w:val="007BFF"/>
            <w:sz w:val="24"/>
            <w:szCs w:val="24"/>
            <w:lang w:eastAsia="en-GB"/>
          </w:rPr>
          <w:t>319 Ark. 702</w:t>
        </w:r>
      </w:hyperlink>
      <w:r w:rsidRPr="00D0091D">
        <w:rPr>
          <w:rFonts w:ascii="Georgia" w:eastAsia="Times New Roman" w:hAnsi="Georgia" w:cs="Times New Roman"/>
          <w:sz w:val="24"/>
          <w:szCs w:val="24"/>
          <w:lang w:eastAsia="en-GB"/>
        </w:rPr>
        <w:t>, </w:t>
      </w:r>
      <w:r w:rsidRPr="00D0091D">
        <w:rPr>
          <w:rFonts w:ascii="Georgia" w:eastAsia="Times New Roman" w:hAnsi="Georgia" w:cs="Times New Roman"/>
          <w:color w:val="007BFF"/>
          <w:sz w:val="24"/>
          <w:szCs w:val="24"/>
          <w:lang w:eastAsia="en-GB"/>
        </w:rPr>
        <w:t>894 S.W.2d 576</w:t>
      </w:r>
      <w:r w:rsidRPr="00D0091D">
        <w:rPr>
          <w:rFonts w:ascii="Georgia" w:eastAsia="Times New Roman" w:hAnsi="Georgia" w:cs="Times New Roman"/>
          <w:sz w:val="24"/>
          <w:szCs w:val="24"/>
          <w:lang w:eastAsia="en-GB"/>
        </w:rPr>
        <w:t>. (1995); </w:t>
      </w:r>
      <w:r w:rsidRPr="00D0091D">
        <w:rPr>
          <w:rFonts w:ascii="Georgia" w:eastAsia="Times New Roman" w:hAnsi="Georgia" w:cs="Times New Roman"/>
          <w:i/>
          <w:iCs/>
          <w:sz w:val="24"/>
          <w:szCs w:val="24"/>
          <w:lang w:eastAsia="en-GB"/>
        </w:rPr>
        <w:t>Pugh v. St. Paul Fire &amp; Marine Ins. Co., </w:t>
      </w:r>
      <w:hyperlink r:id="rId27" w:history="1">
        <w:r w:rsidRPr="00D0091D">
          <w:rPr>
            <w:rFonts w:ascii="Georgia" w:eastAsia="Times New Roman" w:hAnsi="Georgia" w:cs="Times New Roman"/>
            <w:color w:val="007BFF"/>
            <w:sz w:val="24"/>
            <w:szCs w:val="24"/>
            <w:lang w:eastAsia="en-GB"/>
          </w:rPr>
          <w:t>317 Ark. 304</w:t>
        </w:r>
      </w:hyperlink>
      <w:r w:rsidRPr="00D0091D">
        <w:rPr>
          <w:rFonts w:ascii="Georgia" w:eastAsia="Times New Roman" w:hAnsi="Georgia" w:cs="Times New Roman"/>
          <w:sz w:val="24"/>
          <w:szCs w:val="24"/>
          <w:lang w:eastAsia="en-GB"/>
        </w:rPr>
        <w:t>, </w:t>
      </w:r>
      <w:r w:rsidRPr="00D0091D">
        <w:rPr>
          <w:rFonts w:ascii="Georgia" w:eastAsia="Times New Roman" w:hAnsi="Georgia" w:cs="Times New Roman"/>
          <w:color w:val="007BFF"/>
          <w:sz w:val="24"/>
          <w:szCs w:val="24"/>
          <w:lang w:eastAsia="en-GB"/>
        </w:rPr>
        <w:t>877 S.W.2d 577</w:t>
      </w:r>
      <w:r w:rsidRPr="00D0091D">
        <w:rPr>
          <w:rFonts w:ascii="Georgia" w:eastAsia="Times New Roman" w:hAnsi="Georgia" w:cs="Times New Roman"/>
          <w:sz w:val="24"/>
          <w:szCs w:val="24"/>
          <w:lang w:eastAsia="en-GB"/>
        </w:rPr>
        <w:t> (1994); </w:t>
      </w:r>
      <w:r w:rsidRPr="00D0091D">
        <w:rPr>
          <w:rFonts w:ascii="Georgia" w:eastAsia="Times New Roman" w:hAnsi="Georgia" w:cs="Times New Roman"/>
          <w:i/>
          <w:iCs/>
          <w:sz w:val="24"/>
          <w:szCs w:val="24"/>
          <w:lang w:eastAsia="en-GB"/>
        </w:rPr>
        <w:t>Worthen Nat’l Bank v. McCuen, </w:t>
      </w:r>
      <w:hyperlink r:id="rId28" w:history="1">
        <w:r w:rsidRPr="00D0091D">
          <w:rPr>
            <w:rFonts w:ascii="Georgia" w:eastAsia="Times New Roman" w:hAnsi="Georgia" w:cs="Times New Roman"/>
            <w:color w:val="007BFF"/>
            <w:sz w:val="24"/>
            <w:szCs w:val="24"/>
            <w:lang w:eastAsia="en-GB"/>
          </w:rPr>
          <w:t>317 Ark. 195</w:t>
        </w:r>
      </w:hyperlink>
      <w:r w:rsidRPr="00D0091D">
        <w:rPr>
          <w:rFonts w:ascii="Georgia" w:eastAsia="Times New Roman" w:hAnsi="Georgia" w:cs="Times New Roman"/>
          <w:sz w:val="24"/>
          <w:szCs w:val="24"/>
          <w:lang w:eastAsia="en-GB"/>
        </w:rPr>
        <w:t>, </w:t>
      </w:r>
      <w:r w:rsidRPr="00D0091D">
        <w:rPr>
          <w:rFonts w:ascii="Georgia" w:eastAsia="Times New Roman" w:hAnsi="Georgia" w:cs="Times New Roman"/>
          <w:color w:val="007BFF"/>
          <w:sz w:val="24"/>
          <w:szCs w:val="24"/>
          <w:lang w:eastAsia="en-GB"/>
        </w:rPr>
        <w:t>876 S.W.2d 567</w:t>
      </w:r>
      <w:r w:rsidRPr="00D0091D">
        <w:rPr>
          <w:rFonts w:ascii="Georgia" w:eastAsia="Times New Roman" w:hAnsi="Georgia" w:cs="Times New Roman"/>
          <w:sz w:val="24"/>
          <w:szCs w:val="24"/>
          <w:lang w:eastAsia="en-GB"/>
        </w:rPr>
        <w:t> (1994). Because it is undisputed that the Stewards were landlords </w:t>
      </w:r>
      <w:r w:rsidRPr="00D0091D">
        <w:rPr>
          <w:rFonts w:ascii="Georgia" w:eastAsia="Times New Roman" w:hAnsi="Georgia" w:cs="Times New Roman"/>
          <w:i/>
          <w:iCs/>
          <w:sz w:val="24"/>
          <w:szCs w:val="24"/>
          <w:lang w:eastAsia="en-GB"/>
        </w:rPr>
        <w:t>and </w:t>
      </w:r>
      <w:r w:rsidRPr="00D0091D">
        <w:rPr>
          <w:rFonts w:ascii="Georgia" w:eastAsia="Times New Roman" w:hAnsi="Georgia" w:cs="Times New Roman"/>
          <w:sz w:val="24"/>
          <w:szCs w:val="24"/>
          <w:lang w:eastAsia="en-GB"/>
        </w:rPr>
        <w:t>owners of the building leased by PSI, and because they had an opportunity to cure the structural defect prior to surrendering the property, a duty attached under the plain meaning of § 11-2-117(b).</w:t>
      </w:r>
    </w:p>
    <w:p w14:paraId="2FFEDE6B" w14:textId="1113314D" w:rsidR="00D0091D" w:rsidRPr="00D0091D" w:rsidRDefault="00A7779F" w:rsidP="00D0091D">
      <w:pPr>
        <w:spacing w:before="100" w:beforeAutospacing="1" w:after="225" w:line="240" w:lineRule="auto"/>
        <w:rPr>
          <w:rFonts w:ascii="Georgia" w:eastAsia="Times New Roman" w:hAnsi="Georgia" w:cs="Times New Roman"/>
          <w:sz w:val="24"/>
          <w:szCs w:val="24"/>
          <w:lang w:eastAsia="en-GB"/>
        </w:rPr>
      </w:pPr>
      <w:hyperlink r:id="rId29" w:anchor="p846" w:history="1">
        <w:r w:rsidR="00D0091D" w:rsidRPr="00D0091D">
          <w:rPr>
            <w:rFonts w:ascii="Georgia" w:eastAsia="Times New Roman" w:hAnsi="Georgia" w:cs="Times New Roman"/>
            <w:i/>
            <w:iCs/>
            <w:color w:val="979797"/>
            <w:sz w:val="19"/>
            <w:szCs w:val="19"/>
            <w:lang w:eastAsia="en-GB"/>
          </w:rPr>
          <w:t>*846</w:t>
        </w:r>
      </w:hyperlink>
      <w:r w:rsidR="00D0091D" w:rsidRPr="00D0091D">
        <w:rPr>
          <w:rFonts w:ascii="Georgia" w:eastAsia="Times New Roman" w:hAnsi="Georgia" w:cs="Times New Roman"/>
          <w:sz w:val="24"/>
          <w:szCs w:val="24"/>
          <w:lang w:eastAsia="en-GB"/>
        </w:rPr>
        <w:t>The question then is whether the trial court was within its discretion in awarding McDonald a new trial on the ground that the jury’s finding that the Stewards did not violate their statutory duty was clearly contrary to the preponderance of the evidence. </w:t>
      </w:r>
      <w:r w:rsidR="00D0091D" w:rsidRPr="00D0091D">
        <w:rPr>
          <w:rFonts w:ascii="Georgia" w:eastAsia="Times New Roman" w:hAnsi="Georgia" w:cs="Times New Roman"/>
          <w:i/>
          <w:iCs/>
          <w:sz w:val="24"/>
          <w:szCs w:val="24"/>
          <w:lang w:eastAsia="en-GB"/>
        </w:rPr>
        <w:t>See </w:t>
      </w:r>
      <w:r w:rsidR="00D0091D" w:rsidRPr="00D0091D">
        <w:rPr>
          <w:rFonts w:ascii="Georgia" w:eastAsia="Times New Roman" w:hAnsi="Georgia" w:cs="Times New Roman"/>
          <w:sz w:val="24"/>
          <w:szCs w:val="24"/>
          <w:lang w:eastAsia="en-GB"/>
        </w:rPr>
        <w:t>Ark. R. Civ. P. 59(a)(6); </w:t>
      </w:r>
      <w:r w:rsidR="00D0091D" w:rsidRPr="00D0091D">
        <w:rPr>
          <w:rFonts w:ascii="Georgia" w:eastAsia="Times New Roman" w:hAnsi="Georgia" w:cs="Times New Roman"/>
          <w:i/>
          <w:iCs/>
          <w:sz w:val="24"/>
          <w:szCs w:val="24"/>
          <w:lang w:eastAsia="en-GB"/>
        </w:rPr>
        <w:t>Young v. Honeycutt, </w:t>
      </w:r>
      <w:r w:rsidR="00D0091D" w:rsidRPr="00D0091D">
        <w:rPr>
          <w:rFonts w:ascii="Georgia" w:eastAsia="Times New Roman" w:hAnsi="Georgia" w:cs="Times New Roman"/>
          <w:color w:val="007BFF"/>
          <w:sz w:val="24"/>
          <w:szCs w:val="24"/>
          <w:lang w:eastAsia="en-GB"/>
        </w:rPr>
        <w:t>324 Ark. 120</w:t>
      </w:r>
      <w:r w:rsidR="00D0091D" w:rsidRPr="00D0091D">
        <w:rPr>
          <w:rFonts w:ascii="Georgia" w:eastAsia="Times New Roman" w:hAnsi="Georgia" w:cs="Times New Roman"/>
          <w:sz w:val="24"/>
          <w:szCs w:val="24"/>
          <w:lang w:eastAsia="en-GB"/>
        </w:rPr>
        <w:t>, </w:t>
      </w:r>
      <w:hyperlink r:id="rId30" w:history="1">
        <w:r w:rsidR="00D0091D" w:rsidRPr="00D0091D">
          <w:rPr>
            <w:rFonts w:ascii="Georgia" w:eastAsia="Times New Roman" w:hAnsi="Georgia" w:cs="Times New Roman"/>
            <w:color w:val="007BFF"/>
            <w:sz w:val="24"/>
            <w:szCs w:val="24"/>
            <w:lang w:eastAsia="en-GB"/>
          </w:rPr>
          <w:t>919 S.W.2d 216</w:t>
        </w:r>
      </w:hyperlink>
      <w:r w:rsidR="00D0091D" w:rsidRPr="00D0091D">
        <w:rPr>
          <w:rFonts w:ascii="Georgia" w:eastAsia="Times New Roman" w:hAnsi="Georgia" w:cs="Times New Roman"/>
          <w:sz w:val="24"/>
          <w:szCs w:val="24"/>
          <w:lang w:eastAsia="en-GB"/>
        </w:rPr>
        <w:t> (1996).</w:t>
      </w:r>
    </w:p>
    <w:p w14:paraId="2FFEDE6C" w14:textId="40394EE6" w:rsidR="00D0091D" w:rsidRPr="00D0091D" w:rsidRDefault="00D0091D" w:rsidP="00D0091D">
      <w:pPr>
        <w:spacing w:before="100" w:beforeAutospacing="1" w:after="225" w:line="240" w:lineRule="auto"/>
        <w:rPr>
          <w:rFonts w:ascii="Georgia" w:eastAsia="Times New Roman" w:hAnsi="Georgia" w:cs="Times New Roman"/>
          <w:sz w:val="24"/>
          <w:szCs w:val="24"/>
          <w:lang w:eastAsia="en-GB"/>
        </w:rPr>
      </w:pPr>
      <w:r w:rsidRPr="00D0091D">
        <w:rPr>
          <w:rFonts w:ascii="Georgia" w:eastAsia="Times New Roman" w:hAnsi="Georgia" w:cs="Times New Roman"/>
          <w:sz w:val="24"/>
          <w:szCs w:val="24"/>
          <w:lang w:eastAsia="en-GB"/>
        </w:rPr>
        <w:t>In this case, although the stairs did not comply with Rules 21 and 24 of the Arkansas Department of Labor Basic Safety Manual due to the absence of handrails, these violations are only evidence of negligence and not negligence </w:t>
      </w:r>
      <w:r w:rsidRPr="00D0091D">
        <w:rPr>
          <w:rFonts w:ascii="Georgia" w:eastAsia="Times New Roman" w:hAnsi="Georgia" w:cs="Times New Roman"/>
          <w:i/>
          <w:iCs/>
          <w:sz w:val="24"/>
          <w:szCs w:val="24"/>
          <w:lang w:eastAsia="en-GB"/>
        </w:rPr>
        <w:t>per se, see Berkeley Pump Co. v. Reed-Joseph Land Co., </w:t>
      </w:r>
      <w:r w:rsidRPr="00D0091D">
        <w:rPr>
          <w:rFonts w:ascii="Georgia" w:eastAsia="Times New Roman" w:hAnsi="Georgia" w:cs="Times New Roman"/>
          <w:i/>
          <w:iCs/>
          <w:color w:val="007BFF"/>
          <w:sz w:val="24"/>
          <w:szCs w:val="24"/>
          <w:lang w:eastAsia="en-GB"/>
        </w:rPr>
        <w:t>279 </w:t>
      </w:r>
      <w:hyperlink r:id="rId31" w:history="1">
        <w:r w:rsidRPr="00D0091D">
          <w:rPr>
            <w:rFonts w:ascii="Georgia" w:eastAsia="Times New Roman" w:hAnsi="Georgia" w:cs="Times New Roman"/>
            <w:color w:val="007BFF"/>
            <w:sz w:val="24"/>
            <w:szCs w:val="24"/>
            <w:lang w:eastAsia="en-GB"/>
          </w:rPr>
          <w:t>Ark. 384</w:t>
        </w:r>
      </w:hyperlink>
      <w:r w:rsidRPr="00D0091D">
        <w:rPr>
          <w:rFonts w:ascii="Georgia" w:eastAsia="Times New Roman" w:hAnsi="Georgia" w:cs="Times New Roman"/>
          <w:sz w:val="24"/>
          <w:szCs w:val="24"/>
          <w:lang w:eastAsia="en-GB"/>
        </w:rPr>
        <w:t>, </w:t>
      </w:r>
      <w:r w:rsidRPr="00D0091D">
        <w:rPr>
          <w:rFonts w:ascii="Georgia" w:eastAsia="Times New Roman" w:hAnsi="Georgia" w:cs="Times New Roman"/>
          <w:color w:val="007BFF"/>
          <w:sz w:val="24"/>
          <w:szCs w:val="24"/>
          <w:lang w:eastAsia="en-GB"/>
        </w:rPr>
        <w:t>653 S.W.2d 128</w:t>
      </w:r>
      <w:r w:rsidRPr="00D0091D">
        <w:rPr>
          <w:rFonts w:ascii="Georgia" w:eastAsia="Times New Roman" w:hAnsi="Georgia" w:cs="Times New Roman"/>
          <w:sz w:val="24"/>
          <w:szCs w:val="24"/>
          <w:lang w:eastAsia="en-GB"/>
        </w:rPr>
        <w:t> (1983), </w:t>
      </w:r>
      <w:r w:rsidRPr="00D0091D">
        <w:rPr>
          <w:rFonts w:ascii="Georgia" w:eastAsia="Times New Roman" w:hAnsi="Georgia" w:cs="Times New Roman"/>
          <w:i/>
          <w:iCs/>
          <w:sz w:val="24"/>
          <w:szCs w:val="24"/>
          <w:lang w:eastAsia="en-GB"/>
        </w:rPr>
        <w:t>reh’g denied, </w:t>
      </w:r>
      <w:hyperlink r:id="rId32" w:history="1">
        <w:r w:rsidRPr="00D0091D">
          <w:rPr>
            <w:rFonts w:ascii="Georgia" w:eastAsia="Times New Roman" w:hAnsi="Georgia" w:cs="Times New Roman"/>
            <w:i/>
            <w:iCs/>
            <w:color w:val="007BFF"/>
            <w:sz w:val="24"/>
            <w:szCs w:val="24"/>
            <w:lang w:eastAsia="en-GB"/>
          </w:rPr>
          <w:t>279 </w:t>
        </w:r>
      </w:hyperlink>
      <w:r w:rsidRPr="00D0091D">
        <w:rPr>
          <w:rFonts w:ascii="Georgia" w:eastAsia="Times New Roman" w:hAnsi="Georgia" w:cs="Times New Roman"/>
          <w:color w:val="007BFF"/>
          <w:sz w:val="24"/>
          <w:szCs w:val="24"/>
          <w:lang w:eastAsia="en-GB"/>
        </w:rPr>
        <w:t>Ark. 401</w:t>
      </w:r>
      <w:r w:rsidRPr="00D0091D">
        <w:rPr>
          <w:rFonts w:ascii="Georgia" w:eastAsia="Times New Roman" w:hAnsi="Georgia" w:cs="Times New Roman"/>
          <w:sz w:val="24"/>
          <w:szCs w:val="24"/>
          <w:lang w:eastAsia="en-GB"/>
        </w:rPr>
        <w:t>-A, </w:t>
      </w:r>
      <w:hyperlink r:id="rId33" w:history="1">
        <w:r w:rsidRPr="00D0091D">
          <w:rPr>
            <w:rFonts w:ascii="Georgia" w:eastAsia="Times New Roman" w:hAnsi="Georgia" w:cs="Times New Roman"/>
            <w:color w:val="007BFF"/>
            <w:sz w:val="24"/>
            <w:szCs w:val="24"/>
            <w:lang w:eastAsia="en-GB"/>
          </w:rPr>
          <w:t>653 S.W.2d 128</w:t>
        </w:r>
      </w:hyperlink>
      <w:r w:rsidRPr="00D0091D">
        <w:rPr>
          <w:rFonts w:ascii="Georgia" w:eastAsia="Times New Roman" w:hAnsi="Georgia" w:cs="Times New Roman"/>
          <w:sz w:val="24"/>
          <w:szCs w:val="24"/>
          <w:lang w:eastAsia="en-GB"/>
        </w:rPr>
        <w:t> (1983). In contrast, it was plain and obvious to PSI that the stairs had no handrail when PSI assumed control of the premises, and there was no request by PSI for the Stewards to provide a handrail for the benefit of PSI’s employees. The jury could have determined that both PSI and the Stewards believed the stairs to be in a safe condition.</w:t>
      </w:r>
    </w:p>
    <w:p w14:paraId="2FFEDE6D" w14:textId="77777777" w:rsidR="00D0091D" w:rsidRPr="00D0091D" w:rsidRDefault="00D0091D" w:rsidP="00D0091D">
      <w:pPr>
        <w:spacing w:before="100" w:beforeAutospacing="1" w:after="225" w:line="240" w:lineRule="auto"/>
        <w:rPr>
          <w:rFonts w:ascii="Georgia" w:eastAsia="Times New Roman" w:hAnsi="Georgia" w:cs="Times New Roman"/>
          <w:sz w:val="24"/>
          <w:szCs w:val="24"/>
          <w:lang w:eastAsia="en-GB"/>
        </w:rPr>
      </w:pPr>
      <w:r w:rsidRPr="00D0091D">
        <w:rPr>
          <w:rFonts w:ascii="Georgia" w:eastAsia="Times New Roman" w:hAnsi="Georgia" w:cs="Times New Roman"/>
          <w:sz w:val="24"/>
          <w:szCs w:val="24"/>
          <w:lang w:eastAsia="en-GB"/>
        </w:rPr>
        <w:t>I conclude that while a duty exists on the part of the Stewards to turn the premises over to PSI in a safe condition, the question of whether the premises were safe was decided in favor of the Stewards, and the verdict was not clearly contrary to the preponderance of the evidence. Accordingly, I would affirm the jury’s decision.</w:t>
      </w:r>
    </w:p>
    <w:p w14:paraId="2FFEDE6E" w14:textId="77777777" w:rsidR="003C7770" w:rsidRDefault="003C7770"/>
    <w:p w14:paraId="2FFEDE6F" w14:textId="77777777" w:rsidR="0069009F" w:rsidRPr="009456D4" w:rsidRDefault="0069009F" w:rsidP="0069009F">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2FFEDE70" w14:textId="77777777" w:rsidR="0069009F" w:rsidRPr="00D0091D" w:rsidRDefault="0069009F" w:rsidP="00004411">
      <w:pPr>
        <w:spacing w:before="100" w:beforeAutospacing="1" w:after="225" w:line="240" w:lineRule="auto"/>
        <w:rPr>
          <w:rFonts w:ascii="Georgia" w:eastAsia="Times New Roman" w:hAnsi="Georgia" w:cs="Times New Roman"/>
          <w:sz w:val="24"/>
          <w:szCs w:val="24"/>
          <w:lang w:eastAsia="en-GB"/>
        </w:rPr>
      </w:pPr>
      <w:r>
        <w:rPr>
          <w:rFonts w:ascii="Georgia" w:eastAsia="Times New Roman" w:hAnsi="Georgia" w:cs="Times New Roman"/>
          <w:sz w:val="28"/>
          <w:szCs w:val="24"/>
          <w:lang w:eastAsia="en-GB"/>
        </w:rPr>
        <w:t xml:space="preserve">Employee </w:t>
      </w:r>
      <w:r w:rsidR="00314385">
        <w:rPr>
          <w:rFonts w:ascii="Georgia" w:eastAsia="Times New Roman" w:hAnsi="Georgia" w:cs="Times New Roman"/>
          <w:sz w:val="28"/>
          <w:szCs w:val="24"/>
          <w:lang w:eastAsia="en-GB"/>
        </w:rPr>
        <w:t xml:space="preserve">(plaintiff) </w:t>
      </w:r>
      <w:r>
        <w:rPr>
          <w:rFonts w:ascii="Georgia" w:eastAsia="Times New Roman" w:hAnsi="Georgia" w:cs="Times New Roman"/>
          <w:sz w:val="28"/>
          <w:szCs w:val="24"/>
          <w:lang w:eastAsia="en-GB"/>
        </w:rPr>
        <w:t xml:space="preserve">was injured </w:t>
      </w:r>
      <w:r w:rsidR="00004411">
        <w:rPr>
          <w:rFonts w:ascii="Georgia" w:eastAsia="Times New Roman" w:hAnsi="Georgia" w:cs="Times New Roman"/>
          <w:sz w:val="28"/>
          <w:szCs w:val="24"/>
          <w:lang w:eastAsia="en-GB"/>
        </w:rPr>
        <w:t xml:space="preserve">on a stairway in the course of his employment. He sued the landlord of the building. </w:t>
      </w:r>
      <w:r w:rsidR="00314385">
        <w:rPr>
          <w:rFonts w:ascii="Georgia" w:eastAsia="Times New Roman" w:hAnsi="Georgia" w:cs="Times New Roman"/>
          <w:sz w:val="28"/>
          <w:szCs w:val="24"/>
          <w:lang w:eastAsia="en-GB"/>
        </w:rPr>
        <w:t xml:space="preserve">The jury found for the landlord, and plaintiff motioned for a new trial. The trial court granted a new trial. </w:t>
      </w:r>
      <w:r w:rsidR="00004411">
        <w:rPr>
          <w:rFonts w:ascii="Georgia" w:eastAsia="Times New Roman" w:hAnsi="Georgia" w:cs="Times New Roman"/>
          <w:sz w:val="28"/>
          <w:szCs w:val="24"/>
          <w:lang w:eastAsia="en-GB"/>
        </w:rPr>
        <w:t xml:space="preserve">The </w:t>
      </w:r>
      <w:r w:rsidR="00314385">
        <w:rPr>
          <w:rFonts w:ascii="Georgia" w:eastAsia="Times New Roman" w:hAnsi="Georgia" w:cs="Times New Roman"/>
          <w:sz w:val="28"/>
          <w:szCs w:val="24"/>
          <w:lang w:eastAsia="en-GB"/>
        </w:rPr>
        <w:t xml:space="preserve">appellate </w:t>
      </w:r>
      <w:r w:rsidR="00004411">
        <w:rPr>
          <w:rFonts w:ascii="Georgia" w:eastAsia="Times New Roman" w:hAnsi="Georgia" w:cs="Times New Roman"/>
          <w:sz w:val="28"/>
          <w:szCs w:val="24"/>
          <w:lang w:eastAsia="en-GB"/>
        </w:rPr>
        <w:t xml:space="preserve">court considered whether a landlord </w:t>
      </w:r>
      <w:r>
        <w:rPr>
          <w:rFonts w:ascii="Georgia" w:eastAsia="Times New Roman" w:hAnsi="Georgia" w:cs="Times New Roman"/>
          <w:sz w:val="28"/>
          <w:szCs w:val="24"/>
          <w:lang w:eastAsia="en-GB"/>
        </w:rPr>
        <w:t xml:space="preserve">owes a </w:t>
      </w:r>
      <w:r w:rsidR="00314385">
        <w:rPr>
          <w:rFonts w:ascii="Georgia" w:eastAsia="Times New Roman" w:hAnsi="Georgia" w:cs="Times New Roman"/>
          <w:sz w:val="28"/>
          <w:szCs w:val="24"/>
          <w:lang w:eastAsia="en-GB"/>
        </w:rPr>
        <w:t xml:space="preserve">common law </w:t>
      </w:r>
      <w:r>
        <w:rPr>
          <w:rFonts w:ascii="Georgia" w:eastAsia="Times New Roman" w:hAnsi="Georgia" w:cs="Times New Roman"/>
          <w:sz w:val="28"/>
          <w:szCs w:val="24"/>
          <w:lang w:eastAsia="en-GB"/>
        </w:rPr>
        <w:t>duty of care to its lessors’ employe</w:t>
      </w:r>
      <w:r w:rsidR="00314385">
        <w:rPr>
          <w:rFonts w:ascii="Georgia" w:eastAsia="Times New Roman" w:hAnsi="Georgia" w:cs="Times New Roman"/>
          <w:sz w:val="28"/>
          <w:szCs w:val="24"/>
          <w:lang w:eastAsia="en-GB"/>
        </w:rPr>
        <w:t xml:space="preserve">es and </w:t>
      </w:r>
      <w:r>
        <w:rPr>
          <w:rFonts w:ascii="Georgia" w:eastAsia="Times New Roman" w:hAnsi="Georgia" w:cs="Times New Roman"/>
          <w:sz w:val="28"/>
          <w:szCs w:val="24"/>
          <w:lang w:eastAsia="en-GB"/>
        </w:rPr>
        <w:t xml:space="preserve">held that </w:t>
      </w:r>
      <w:r w:rsidR="00004411">
        <w:rPr>
          <w:rFonts w:ascii="Georgia" w:eastAsia="Times New Roman" w:hAnsi="Georgia" w:cs="Times New Roman"/>
          <w:sz w:val="28"/>
          <w:szCs w:val="24"/>
          <w:lang w:eastAsia="en-GB"/>
        </w:rPr>
        <w:t>it does not.</w:t>
      </w:r>
      <w:r w:rsidR="00314385">
        <w:rPr>
          <w:rFonts w:ascii="Georgia" w:eastAsia="Times New Roman" w:hAnsi="Georgia" w:cs="Times New Roman"/>
          <w:sz w:val="28"/>
          <w:szCs w:val="24"/>
          <w:lang w:eastAsia="en-GB"/>
        </w:rPr>
        <w:t xml:space="preserve"> The trial court’s order granting a new trial was reversed.  </w:t>
      </w:r>
    </w:p>
    <w:p w14:paraId="2FFEDE71" w14:textId="77777777" w:rsidR="0069009F" w:rsidRDefault="0069009F"/>
    <w:sectPr w:rsidR="006900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091D"/>
    <w:rsid w:val="00004411"/>
    <w:rsid w:val="00314385"/>
    <w:rsid w:val="0036748D"/>
    <w:rsid w:val="003C7770"/>
    <w:rsid w:val="0069009F"/>
    <w:rsid w:val="00A7779F"/>
    <w:rsid w:val="00D0091D"/>
    <w:rsid w:val="00D71B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EDE41"/>
  <w15:docId w15:val="{92F3ABAF-1771-4E01-B83A-C10573103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09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91D"/>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D0091D"/>
  </w:style>
  <w:style w:type="character" w:customStyle="1" w:styleId="court-name">
    <w:name w:val="court-name"/>
    <w:basedOn w:val="DefaultParagraphFont"/>
    <w:rsid w:val="00D0091D"/>
  </w:style>
  <w:style w:type="character" w:customStyle="1" w:styleId="docket-number">
    <w:name w:val="docket-number"/>
    <w:basedOn w:val="DefaultParagraphFont"/>
    <w:rsid w:val="00D0091D"/>
  </w:style>
  <w:style w:type="character" w:customStyle="1" w:styleId="case-name-v">
    <w:name w:val="case-name-v"/>
    <w:basedOn w:val="DefaultParagraphFont"/>
    <w:rsid w:val="00D0091D"/>
  </w:style>
  <w:style w:type="paragraph" w:customStyle="1" w:styleId="citation">
    <w:name w:val="citation"/>
    <w:basedOn w:val="Normal"/>
    <w:rsid w:val="00D0091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D0091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D009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0091D"/>
    <w:rPr>
      <w:color w:val="0000FF"/>
      <w:u w:val="single"/>
    </w:rPr>
  </w:style>
  <w:style w:type="character" w:styleId="Emphasis">
    <w:name w:val="Emphasis"/>
    <w:basedOn w:val="DefaultParagraphFont"/>
    <w:uiPriority w:val="20"/>
    <w:qFormat/>
    <w:rsid w:val="00D0091D"/>
    <w:rPr>
      <w:i/>
      <w:iCs/>
    </w:rPr>
  </w:style>
  <w:style w:type="paragraph" w:customStyle="1" w:styleId="author">
    <w:name w:val="author"/>
    <w:basedOn w:val="Normal"/>
    <w:rsid w:val="00D0091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D0091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D0091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3506425">
      <w:bodyDiv w:val="1"/>
      <w:marLeft w:val="0"/>
      <w:marRight w:val="0"/>
      <w:marTop w:val="0"/>
      <w:marBottom w:val="0"/>
      <w:divBdr>
        <w:top w:val="none" w:sz="0" w:space="0" w:color="auto"/>
        <w:left w:val="none" w:sz="0" w:space="0" w:color="auto"/>
        <w:bottom w:val="none" w:sz="0" w:space="0" w:color="auto"/>
        <w:right w:val="none" w:sz="0" w:space="0" w:color="auto"/>
      </w:divBdr>
      <w:divsChild>
        <w:div w:id="596600278">
          <w:marLeft w:val="0"/>
          <w:marRight w:val="0"/>
          <w:marTop w:val="0"/>
          <w:marBottom w:val="0"/>
          <w:divBdr>
            <w:top w:val="none" w:sz="0" w:space="0" w:color="auto"/>
            <w:left w:val="none" w:sz="0" w:space="0" w:color="auto"/>
            <w:bottom w:val="none" w:sz="0" w:space="0" w:color="auto"/>
            <w:right w:val="none" w:sz="0" w:space="0" w:color="auto"/>
          </w:divBdr>
        </w:div>
        <w:div w:id="1530876920">
          <w:marLeft w:val="0"/>
          <w:marRight w:val="0"/>
          <w:marTop w:val="0"/>
          <w:marBottom w:val="0"/>
          <w:divBdr>
            <w:top w:val="none" w:sz="0" w:space="0" w:color="auto"/>
            <w:left w:val="none" w:sz="0" w:space="0" w:color="auto"/>
            <w:bottom w:val="none" w:sz="0" w:space="0" w:color="auto"/>
            <w:right w:val="none" w:sz="0" w:space="0" w:color="auto"/>
          </w:divBdr>
        </w:div>
        <w:div w:id="1121992369">
          <w:marLeft w:val="0"/>
          <w:marRight w:val="0"/>
          <w:marTop w:val="0"/>
          <w:marBottom w:val="0"/>
          <w:divBdr>
            <w:top w:val="none" w:sz="0" w:space="0" w:color="auto"/>
            <w:left w:val="none" w:sz="0" w:space="0" w:color="auto"/>
            <w:bottom w:val="none" w:sz="0" w:space="0" w:color="auto"/>
            <w:right w:val="none" w:sz="0" w:space="0" w:color="auto"/>
          </w:divBdr>
          <w:divsChild>
            <w:div w:id="1666931346">
              <w:marLeft w:val="1417"/>
              <w:marRight w:val="0"/>
              <w:marTop w:val="0"/>
              <w:marBottom w:val="0"/>
              <w:divBdr>
                <w:top w:val="none" w:sz="0" w:space="0" w:color="auto"/>
                <w:left w:val="none" w:sz="0" w:space="0" w:color="auto"/>
                <w:bottom w:val="none" w:sz="0" w:space="0" w:color="auto"/>
                <w:right w:val="none" w:sz="0" w:space="0" w:color="auto"/>
              </w:divBdr>
            </w:div>
          </w:divsChild>
        </w:div>
        <w:div w:id="901525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623012">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300832">
          <w:blockQuote w:val="1"/>
          <w:marLeft w:val="720"/>
          <w:marRight w:val="720"/>
          <w:marTop w:val="100"/>
          <w:marBottom w:val="100"/>
          <w:divBdr>
            <w:top w:val="none" w:sz="0" w:space="0" w:color="auto"/>
            <w:left w:val="none" w:sz="0" w:space="0" w:color="auto"/>
            <w:bottom w:val="none" w:sz="0" w:space="0" w:color="auto"/>
            <w:right w:val="none" w:sz="0" w:space="0" w:color="auto"/>
          </w:divBdr>
        </w:div>
        <w:div w:id="918636009">
          <w:blockQuote w:val="1"/>
          <w:marLeft w:val="720"/>
          <w:marRight w:val="720"/>
          <w:marTop w:val="100"/>
          <w:marBottom w:val="100"/>
          <w:divBdr>
            <w:top w:val="none" w:sz="0" w:space="0" w:color="auto"/>
            <w:left w:val="none" w:sz="0" w:space="0" w:color="auto"/>
            <w:bottom w:val="none" w:sz="0" w:space="0" w:color="auto"/>
            <w:right w:val="none" w:sz="0" w:space="0" w:color="auto"/>
          </w:divBdr>
        </w:div>
        <w:div w:id="49718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sw2d/717/784/" TargetMode="External"/><Relationship Id="rId18" Type="http://schemas.openxmlformats.org/officeDocument/2006/relationships/hyperlink" Target="https://cite.case.law/citations/?q=1937%20Ark.%20Acts%20161" TargetMode="External"/><Relationship Id="rId26" Type="http://schemas.openxmlformats.org/officeDocument/2006/relationships/hyperlink" Target="https://cite.case.law/ark/319/702/" TargetMode="External"/><Relationship Id="rId3" Type="http://schemas.openxmlformats.org/officeDocument/2006/relationships/webSettings" Target="webSettings.xml"/><Relationship Id="rId21" Type="http://schemas.openxmlformats.org/officeDocument/2006/relationships/hyperlink" Target="https://cite.case.law/ark/320/15/" TargetMode="External"/><Relationship Id="rId34" Type="http://schemas.openxmlformats.org/officeDocument/2006/relationships/fontTable" Target="fontTable.xml"/><Relationship Id="rId7" Type="http://schemas.openxmlformats.org/officeDocument/2006/relationships/hyperlink" Target="https://cite.case.law/ark/293/360/" TargetMode="External"/><Relationship Id="rId12" Type="http://schemas.openxmlformats.org/officeDocument/2006/relationships/hyperlink" Target="https://cite.case.law/ark/319/117/" TargetMode="External"/><Relationship Id="rId17" Type="http://schemas.openxmlformats.org/officeDocument/2006/relationships/hyperlink" Target="https://cite.case.law/citations/?q=1937%20Ark.%20Acts%20161" TargetMode="External"/><Relationship Id="rId25" Type="http://schemas.openxmlformats.org/officeDocument/2006/relationships/hyperlink" Target="https://cite.case.law/ark/321/391/" TargetMode="External"/><Relationship Id="rId33" Type="http://schemas.openxmlformats.org/officeDocument/2006/relationships/hyperlink" Target="https://cite.case.law/ark/279/384/" TargetMode="External"/><Relationship Id="rId2" Type="http://schemas.openxmlformats.org/officeDocument/2006/relationships/settings" Target="settings.xml"/><Relationship Id="rId16" Type="http://schemas.openxmlformats.org/officeDocument/2006/relationships/hyperlink" Target="https://cite.case.law/ark/246/1134/" TargetMode="External"/><Relationship Id="rId20" Type="http://schemas.openxmlformats.org/officeDocument/2006/relationships/hyperlink" Target="https://cite.case.law/ark/310/571/" TargetMode="External"/><Relationship Id="rId29" Type="http://schemas.openxmlformats.org/officeDocument/2006/relationships/hyperlink" Target="https://cite.case.law/ark/330/837/" TargetMode="External"/><Relationship Id="rId1" Type="http://schemas.openxmlformats.org/officeDocument/2006/relationships/styles" Target="styles.xml"/><Relationship Id="rId6" Type="http://schemas.openxmlformats.org/officeDocument/2006/relationships/hyperlink" Target="https://cite.case.law/citations/?q=Ark.%20Code%20Ann.%20%C2%A7%2011-2-117" TargetMode="External"/><Relationship Id="rId11" Type="http://schemas.openxmlformats.org/officeDocument/2006/relationships/hyperlink" Target="https://cite.case.law/ark/279/294/" TargetMode="External"/><Relationship Id="rId24" Type="http://schemas.openxmlformats.org/officeDocument/2006/relationships/hyperlink" Target="https://cite.case.law/w-va/177/485/" TargetMode="External"/><Relationship Id="rId32" Type="http://schemas.openxmlformats.org/officeDocument/2006/relationships/hyperlink" Target="https://cite.case.law/citations/?q=279%20Ark.%20401" TargetMode="External"/><Relationship Id="rId5" Type="http://schemas.openxmlformats.org/officeDocument/2006/relationships/hyperlink" Target="https://cite.case.law/citations/?q=Ark.%20Code%20Ann.%20%C2%A7%2011-2-117" TargetMode="External"/><Relationship Id="rId15" Type="http://schemas.openxmlformats.org/officeDocument/2006/relationships/hyperlink" Target="https://cite.case.law/citations/?q=1937%20Ark.%20Acts%20161" TargetMode="External"/><Relationship Id="rId23" Type="http://schemas.openxmlformats.org/officeDocument/2006/relationships/hyperlink" Target="https://cite.case.law/w-va/177/485/" TargetMode="External"/><Relationship Id="rId28" Type="http://schemas.openxmlformats.org/officeDocument/2006/relationships/hyperlink" Target="https://cite.case.law/ark/317/195/" TargetMode="External"/><Relationship Id="rId10" Type="http://schemas.openxmlformats.org/officeDocument/2006/relationships/hyperlink" Target="https://cite.case.law/ark/319/117/" TargetMode="External"/><Relationship Id="rId19" Type="http://schemas.openxmlformats.org/officeDocument/2006/relationships/hyperlink" Target="https://cite.case.law/ark/330/837/" TargetMode="External"/><Relationship Id="rId31" Type="http://schemas.openxmlformats.org/officeDocument/2006/relationships/hyperlink" Target="https://cite.case.law/ark/279/384/" TargetMode="External"/><Relationship Id="rId4" Type="http://schemas.openxmlformats.org/officeDocument/2006/relationships/hyperlink" Target="https://cite.case.law/citations/?q=Ark.%20Code%20Ann.%20%C2%A7%2011-2-117" TargetMode="External"/><Relationship Id="rId9" Type="http://schemas.openxmlformats.org/officeDocument/2006/relationships/hyperlink" Target="https://cite.case.law/ark/293/360/" TargetMode="External"/><Relationship Id="rId14" Type="http://schemas.openxmlformats.org/officeDocument/2006/relationships/hyperlink" Target="https://cite.case.law/ark/251/680/" TargetMode="External"/><Relationship Id="rId22" Type="http://schemas.openxmlformats.org/officeDocument/2006/relationships/hyperlink" Target="https://cite.case.law/w-va/177/485/" TargetMode="External"/><Relationship Id="rId27" Type="http://schemas.openxmlformats.org/officeDocument/2006/relationships/hyperlink" Target="https://cite.case.law/ark/317/304/" TargetMode="External"/><Relationship Id="rId30" Type="http://schemas.openxmlformats.org/officeDocument/2006/relationships/hyperlink" Target="https://cite.case.law/ark/324/120/" TargetMode="External"/><Relationship Id="rId35" Type="http://schemas.openxmlformats.org/officeDocument/2006/relationships/theme" Target="theme/theme1.xml"/><Relationship Id="rId8" Type="http://schemas.openxmlformats.org/officeDocument/2006/relationships/hyperlink" Target="https://cite.case.law/ark/293/3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2778</Words>
  <Characters>15840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2024-09-17T13:40:00Z</dcterms:created>
  <dcterms:modified xsi:type="dcterms:W3CDTF">2024-09-17T13:40:00Z</dcterms:modified>
</cp:coreProperties>
</file>