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D157E" w14:textId="77777777" w:rsidR="00D30766" w:rsidRPr="00D30766" w:rsidRDefault="00D30766" w:rsidP="00D30766">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D30766">
        <w:rPr>
          <w:rFonts w:ascii="Times New Roman" w:eastAsia="Times New Roman" w:hAnsi="Times New Roman" w:cs="Times New Roman"/>
          <w:b/>
          <w:bCs/>
          <w:color w:val="2F2F2F"/>
          <w:spacing w:val="3"/>
          <w:kern w:val="36"/>
          <w:sz w:val="35"/>
          <w:szCs w:val="35"/>
          <w:lang w:eastAsia="en-GB"/>
        </w:rPr>
        <w:t>Bartley v. Sweetser, 319 Ark. 117, 890 S.W.2d 250 (1994)</w:t>
      </w:r>
    </w:p>
    <w:p w14:paraId="406D157F" w14:textId="77777777" w:rsidR="00D30766" w:rsidRPr="00D30766" w:rsidRDefault="00D30766" w:rsidP="00D30766">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D30766">
        <w:rPr>
          <w:rFonts w:ascii="Times New Roman" w:eastAsia="Times New Roman" w:hAnsi="Times New Roman" w:cs="Times New Roman"/>
          <w:color w:val="2F2F2F"/>
          <w:spacing w:val="3"/>
          <w:sz w:val="27"/>
          <w:szCs w:val="27"/>
          <w:lang w:eastAsia="en-GB"/>
        </w:rPr>
        <w:t>Dec. 19, 1994 · Arkansas Supreme Court · 94-592</w:t>
      </w:r>
    </w:p>
    <w:p w14:paraId="406D1580" w14:textId="77777777" w:rsidR="00D30766" w:rsidRPr="00D30766" w:rsidRDefault="00D30766" w:rsidP="00D30766">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D30766">
        <w:rPr>
          <w:rFonts w:ascii="Times New Roman" w:eastAsia="Times New Roman" w:hAnsi="Times New Roman" w:cs="Times New Roman"/>
          <w:color w:val="2F2F2F"/>
          <w:spacing w:val="3"/>
          <w:sz w:val="27"/>
          <w:szCs w:val="27"/>
          <w:lang w:eastAsia="en-GB"/>
        </w:rPr>
        <w:t>319 Ark. 117, 890 S.W.2d 250</w:t>
      </w:r>
    </w:p>
    <w:p w14:paraId="406D1581" w14:textId="77777777" w:rsidR="00D30766" w:rsidRPr="00D30766" w:rsidRDefault="00D30766" w:rsidP="00D30766">
      <w:pPr>
        <w:shd w:val="clear" w:color="auto" w:fill="FFFFFF"/>
        <w:spacing w:after="0" w:line="240" w:lineRule="auto"/>
        <w:rPr>
          <w:rFonts w:ascii="Georgia" w:eastAsia="Times New Roman" w:hAnsi="Georgia" w:cs="Arial"/>
          <w:color w:val="2F2F2F"/>
          <w:spacing w:val="3"/>
          <w:sz w:val="30"/>
          <w:szCs w:val="30"/>
          <w:lang w:eastAsia="en-GB"/>
        </w:rPr>
      </w:pPr>
      <w:r w:rsidRPr="00D30766">
        <w:rPr>
          <w:rFonts w:ascii="Georgia" w:eastAsia="Times New Roman" w:hAnsi="Georgia" w:cs="Arial"/>
          <w:color w:val="2F2F2F"/>
          <w:spacing w:val="3"/>
          <w:sz w:val="30"/>
          <w:szCs w:val="30"/>
          <w:lang w:eastAsia="en-GB"/>
        </w:rPr>
        <w:t>Jenny BARTLEY</w:t>
      </w:r>
      <w:r w:rsidRPr="00D30766">
        <w:rPr>
          <w:rFonts w:ascii="Georgia" w:eastAsia="Times New Roman" w:hAnsi="Georgia" w:cs="Arial"/>
          <w:i/>
          <w:iCs/>
          <w:color w:val="2F2F2F"/>
          <w:spacing w:val="3"/>
          <w:sz w:val="30"/>
          <w:szCs w:val="30"/>
          <w:lang w:eastAsia="en-GB"/>
        </w:rPr>
        <w:t>v.</w:t>
      </w:r>
      <w:r w:rsidRPr="00D30766">
        <w:rPr>
          <w:rFonts w:ascii="Georgia" w:eastAsia="Times New Roman" w:hAnsi="Georgia" w:cs="Arial"/>
          <w:color w:val="2F2F2F"/>
          <w:spacing w:val="3"/>
          <w:sz w:val="30"/>
          <w:szCs w:val="30"/>
          <w:lang w:eastAsia="en-GB"/>
        </w:rPr>
        <w:t>Jerry SWEETSER &amp; Sharon Sweetser, d/b/a Sweetser Properties</w:t>
      </w:r>
    </w:p>
    <w:p w14:paraId="406D1582" w14:textId="77777777" w:rsidR="00D30766" w:rsidRPr="00D30766" w:rsidRDefault="00D30766" w:rsidP="00D30766">
      <w:pPr>
        <w:spacing w:before="100" w:beforeAutospacing="1" w:after="100" w:afterAutospacing="1" w:line="240" w:lineRule="auto"/>
        <w:rPr>
          <w:rFonts w:ascii="Georgia" w:eastAsia="Times New Roman" w:hAnsi="Georgia" w:cs="Times New Roman"/>
          <w:sz w:val="24"/>
          <w:szCs w:val="24"/>
          <w:lang w:eastAsia="en-GB"/>
        </w:rPr>
      </w:pPr>
      <w:r w:rsidRPr="00D30766">
        <w:rPr>
          <w:rFonts w:ascii="Georgia" w:eastAsia="Times New Roman" w:hAnsi="Georgia" w:cs="Times New Roman"/>
          <w:sz w:val="24"/>
          <w:szCs w:val="24"/>
          <w:lang w:eastAsia="en-GB"/>
        </w:rPr>
        <w:t>890 S.W.2d 250</w:t>
      </w:r>
    </w:p>
    <w:p w14:paraId="406D1583" w14:textId="77777777" w:rsidR="00D30766" w:rsidRPr="00D30766" w:rsidRDefault="00D30766" w:rsidP="00D30766">
      <w:pPr>
        <w:spacing w:before="100" w:beforeAutospacing="1" w:after="100" w:afterAutospacing="1" w:line="240" w:lineRule="auto"/>
        <w:rPr>
          <w:rFonts w:ascii="Georgia" w:eastAsia="Times New Roman" w:hAnsi="Georgia" w:cs="Times New Roman"/>
          <w:sz w:val="24"/>
          <w:szCs w:val="24"/>
          <w:lang w:eastAsia="en-GB"/>
        </w:rPr>
      </w:pPr>
      <w:r w:rsidRPr="00D30766">
        <w:rPr>
          <w:rFonts w:ascii="Georgia" w:eastAsia="Times New Roman" w:hAnsi="Georgia" w:cs="Times New Roman"/>
          <w:sz w:val="24"/>
          <w:szCs w:val="24"/>
          <w:lang w:eastAsia="en-GB"/>
        </w:rPr>
        <w:t>Supreme Court of Arkansas</w:t>
      </w:r>
    </w:p>
    <w:p w14:paraId="406D1584" w14:textId="285A127C" w:rsidR="00D30766" w:rsidRPr="00D30766" w:rsidRDefault="00D30766" w:rsidP="00D30766">
      <w:pPr>
        <w:shd w:val="clear" w:color="auto" w:fill="F7F7F9"/>
        <w:spacing w:before="100" w:beforeAutospacing="1" w:after="0" w:line="240" w:lineRule="auto"/>
        <w:rPr>
          <w:rFonts w:ascii="Georgia" w:eastAsia="Times New Roman" w:hAnsi="Georgia" w:cs="Times New Roman"/>
          <w:sz w:val="24"/>
          <w:szCs w:val="24"/>
          <w:lang w:eastAsia="en-GB"/>
        </w:rPr>
      </w:pPr>
      <w:r w:rsidRPr="00D30766">
        <w:rPr>
          <w:rFonts w:ascii="Georgia" w:eastAsia="Times New Roman" w:hAnsi="Georgia" w:cs="Times New Roman"/>
          <w:i/>
          <w:iCs/>
          <w:color w:val="979797"/>
          <w:sz w:val="19"/>
          <w:szCs w:val="19"/>
          <w:lang w:eastAsia="en-GB"/>
        </w:rPr>
        <w:t>*118</w:t>
      </w:r>
      <w:r w:rsidRPr="00D30766">
        <w:rPr>
          <w:rFonts w:ascii="Georgia" w:eastAsia="Times New Roman" w:hAnsi="Georgia" w:cs="Times New Roman"/>
          <w:sz w:val="24"/>
          <w:szCs w:val="24"/>
          <w:lang w:eastAsia="en-GB"/>
        </w:rPr>
        <w:t> </w:t>
      </w:r>
      <w:r w:rsidRPr="00D30766">
        <w:rPr>
          <w:rFonts w:ascii="Georgia" w:eastAsia="Times New Roman" w:hAnsi="Georgia" w:cs="Times New Roman"/>
          <w:i/>
          <w:iCs/>
          <w:sz w:val="24"/>
          <w:szCs w:val="24"/>
          <w:lang w:eastAsia="en-GB"/>
        </w:rPr>
        <w:t>Bruce Schlegel </w:t>
      </w:r>
      <w:r w:rsidRPr="00D30766">
        <w:rPr>
          <w:rFonts w:ascii="Georgia" w:eastAsia="Times New Roman" w:hAnsi="Georgia" w:cs="Times New Roman"/>
          <w:sz w:val="24"/>
          <w:szCs w:val="24"/>
          <w:lang w:eastAsia="en-GB"/>
        </w:rPr>
        <w:t>and </w:t>
      </w:r>
      <w:r w:rsidRPr="00D30766">
        <w:rPr>
          <w:rFonts w:ascii="Georgia" w:eastAsia="Times New Roman" w:hAnsi="Georgia" w:cs="Times New Roman"/>
          <w:i/>
          <w:iCs/>
          <w:sz w:val="24"/>
          <w:szCs w:val="24"/>
          <w:lang w:eastAsia="en-GB"/>
        </w:rPr>
        <w:t>Everett, Mars &amp; Stills, </w:t>
      </w:r>
      <w:r w:rsidRPr="00D30766">
        <w:rPr>
          <w:rFonts w:ascii="Georgia" w:eastAsia="Times New Roman" w:hAnsi="Georgia" w:cs="Times New Roman"/>
          <w:sz w:val="24"/>
          <w:szCs w:val="24"/>
          <w:lang w:eastAsia="en-GB"/>
        </w:rPr>
        <w:t>by: </w:t>
      </w:r>
      <w:r w:rsidRPr="00D30766">
        <w:rPr>
          <w:rFonts w:ascii="Georgia" w:eastAsia="Times New Roman" w:hAnsi="Georgia" w:cs="Times New Roman"/>
          <w:i/>
          <w:iCs/>
          <w:sz w:val="24"/>
          <w:szCs w:val="24"/>
          <w:lang w:eastAsia="en-GB"/>
        </w:rPr>
        <w:t>David D. Stills </w:t>
      </w:r>
      <w:r w:rsidRPr="00D30766">
        <w:rPr>
          <w:rFonts w:ascii="Georgia" w:eastAsia="Times New Roman" w:hAnsi="Georgia" w:cs="Times New Roman"/>
          <w:sz w:val="24"/>
          <w:szCs w:val="24"/>
          <w:lang w:eastAsia="en-GB"/>
        </w:rPr>
        <w:t>and </w:t>
      </w:r>
      <w:r w:rsidRPr="00D30766">
        <w:rPr>
          <w:rFonts w:ascii="Georgia" w:eastAsia="Times New Roman" w:hAnsi="Georgia" w:cs="Times New Roman"/>
          <w:i/>
          <w:iCs/>
          <w:sz w:val="24"/>
          <w:szCs w:val="24"/>
          <w:lang w:eastAsia="en-GB"/>
        </w:rPr>
        <w:t>John C. Everett, </w:t>
      </w:r>
      <w:r w:rsidRPr="00D30766">
        <w:rPr>
          <w:rFonts w:ascii="Georgia" w:eastAsia="Times New Roman" w:hAnsi="Georgia" w:cs="Times New Roman"/>
          <w:sz w:val="24"/>
          <w:szCs w:val="24"/>
          <w:lang w:eastAsia="en-GB"/>
        </w:rPr>
        <w:t>for appellant.</w:t>
      </w:r>
    </w:p>
    <w:p w14:paraId="406D1585" w14:textId="77777777" w:rsidR="00D30766" w:rsidRPr="00D30766" w:rsidRDefault="00D30766" w:rsidP="00D30766">
      <w:pPr>
        <w:shd w:val="clear" w:color="auto" w:fill="F7F7F9"/>
        <w:spacing w:after="0" w:line="240" w:lineRule="auto"/>
        <w:rPr>
          <w:rFonts w:ascii="Georgia" w:eastAsia="Times New Roman" w:hAnsi="Georgia" w:cs="Times New Roman"/>
          <w:sz w:val="24"/>
          <w:szCs w:val="24"/>
          <w:lang w:eastAsia="en-GB"/>
        </w:rPr>
      </w:pPr>
      <w:r w:rsidRPr="00D30766">
        <w:rPr>
          <w:rFonts w:ascii="Georgia" w:eastAsia="Times New Roman" w:hAnsi="Georgia" w:cs="Times New Roman"/>
          <w:i/>
          <w:iCs/>
          <w:sz w:val="24"/>
          <w:szCs w:val="24"/>
          <w:lang w:eastAsia="en-GB"/>
        </w:rPr>
        <w:t>Roy &amp; Lambert, </w:t>
      </w:r>
      <w:r w:rsidRPr="00D30766">
        <w:rPr>
          <w:rFonts w:ascii="Georgia" w:eastAsia="Times New Roman" w:hAnsi="Georgia" w:cs="Times New Roman"/>
          <w:sz w:val="24"/>
          <w:szCs w:val="24"/>
          <w:lang w:eastAsia="en-GB"/>
        </w:rPr>
        <w:t>by: </w:t>
      </w:r>
      <w:r w:rsidRPr="00D30766">
        <w:rPr>
          <w:rFonts w:ascii="Georgia" w:eastAsia="Times New Roman" w:hAnsi="Georgia" w:cs="Times New Roman"/>
          <w:i/>
          <w:iCs/>
          <w:sz w:val="24"/>
          <w:szCs w:val="24"/>
          <w:lang w:eastAsia="en-GB"/>
        </w:rPr>
        <w:t>James M. Roy, Jr. </w:t>
      </w:r>
      <w:r w:rsidRPr="00D30766">
        <w:rPr>
          <w:rFonts w:ascii="Georgia" w:eastAsia="Times New Roman" w:hAnsi="Georgia" w:cs="Times New Roman"/>
          <w:sz w:val="24"/>
          <w:szCs w:val="24"/>
          <w:lang w:eastAsia="en-GB"/>
        </w:rPr>
        <w:t>and </w:t>
      </w:r>
      <w:r w:rsidRPr="00D30766">
        <w:rPr>
          <w:rFonts w:ascii="Georgia" w:eastAsia="Times New Roman" w:hAnsi="Georgia" w:cs="Times New Roman"/>
          <w:i/>
          <w:iCs/>
          <w:sz w:val="24"/>
          <w:szCs w:val="24"/>
          <w:lang w:eastAsia="en-GB"/>
        </w:rPr>
        <w:t>James H. Bingaman, </w:t>
      </w:r>
      <w:r w:rsidRPr="00D30766">
        <w:rPr>
          <w:rFonts w:ascii="Georgia" w:eastAsia="Times New Roman" w:hAnsi="Georgia" w:cs="Times New Roman"/>
          <w:sz w:val="24"/>
          <w:szCs w:val="24"/>
          <w:lang w:eastAsia="en-GB"/>
        </w:rPr>
        <w:t>for appellee.</w:t>
      </w:r>
    </w:p>
    <w:p w14:paraId="406D1586" w14:textId="77777777" w:rsidR="00D30766" w:rsidRPr="00D30766" w:rsidRDefault="00D30766" w:rsidP="00D30766">
      <w:pPr>
        <w:spacing w:before="100" w:beforeAutospacing="1" w:after="225" w:line="240" w:lineRule="auto"/>
        <w:rPr>
          <w:rFonts w:ascii="Georgia" w:eastAsia="Times New Roman" w:hAnsi="Georgia" w:cs="Times New Roman"/>
          <w:color w:val="E878FF"/>
          <w:sz w:val="24"/>
          <w:szCs w:val="24"/>
          <w:lang w:eastAsia="en-GB"/>
        </w:rPr>
      </w:pPr>
      <w:r w:rsidRPr="00D30766">
        <w:rPr>
          <w:rFonts w:ascii="Georgia" w:eastAsia="Times New Roman" w:hAnsi="Georgia" w:cs="Times New Roman"/>
          <w:color w:val="E878FF"/>
          <w:sz w:val="24"/>
          <w:szCs w:val="24"/>
          <w:lang w:eastAsia="en-GB"/>
        </w:rPr>
        <w:t>Tom Glaze, Justice.</w:t>
      </w:r>
    </w:p>
    <w:p w14:paraId="406D1587" w14:textId="77777777" w:rsidR="00D30766" w:rsidRPr="00D30766" w:rsidRDefault="00D30766" w:rsidP="00D30766">
      <w:pPr>
        <w:spacing w:before="100" w:beforeAutospacing="1" w:after="225" w:line="240" w:lineRule="auto"/>
        <w:rPr>
          <w:rFonts w:ascii="Georgia" w:eastAsia="Times New Roman" w:hAnsi="Georgia" w:cs="Times New Roman"/>
          <w:sz w:val="24"/>
          <w:szCs w:val="24"/>
          <w:lang w:eastAsia="en-GB"/>
        </w:rPr>
      </w:pPr>
      <w:r w:rsidRPr="00B26B51">
        <w:rPr>
          <w:rFonts w:ascii="Georgia" w:eastAsia="Times New Roman" w:hAnsi="Georgia" w:cs="Times New Roman"/>
          <w:sz w:val="24"/>
          <w:szCs w:val="24"/>
          <w:highlight w:val="yellow"/>
          <w:lang w:eastAsia="en-GB"/>
        </w:rPr>
        <w:t>During the early morning hours of June 21, 1991, two men entered the apartment of appellant Jenny Bartley and raped her. Bartley was a twenty-one-year-old college stu</w:t>
      </w:r>
      <w:hyperlink r:id="rId4" w:anchor="p119" w:history="1">
        <w:r w:rsidRPr="00B26B51">
          <w:rPr>
            <w:rFonts w:ascii="Georgia" w:eastAsia="Times New Roman" w:hAnsi="Georgia" w:cs="Times New Roman"/>
            <w:i/>
            <w:iCs/>
            <w:color w:val="979797"/>
            <w:sz w:val="19"/>
            <w:szCs w:val="19"/>
            <w:highlight w:val="yellow"/>
            <w:lang w:eastAsia="en-GB"/>
          </w:rPr>
          <w:t>*119</w:t>
        </w:r>
      </w:hyperlink>
      <w:r w:rsidRPr="00B26B51">
        <w:rPr>
          <w:rFonts w:ascii="Georgia" w:eastAsia="Times New Roman" w:hAnsi="Georgia" w:cs="Times New Roman"/>
          <w:sz w:val="24"/>
          <w:szCs w:val="24"/>
          <w:highlight w:val="yellow"/>
          <w:lang w:eastAsia="en-GB"/>
        </w:rPr>
        <w:t>dent at the time and one of the men who raped her was a tenant in the same apartment complex which was owned by appellees Jerry and Sharon Sweetser.</w:t>
      </w:r>
      <w:r w:rsidRPr="00D30766">
        <w:rPr>
          <w:rFonts w:ascii="Georgia" w:eastAsia="Times New Roman" w:hAnsi="Georgia" w:cs="Times New Roman"/>
          <w:sz w:val="24"/>
          <w:szCs w:val="24"/>
          <w:lang w:eastAsia="en-GB"/>
        </w:rPr>
        <w:t xml:space="preserve"> The undisputed facts showed that </w:t>
      </w:r>
      <w:r w:rsidRPr="00B26B51">
        <w:rPr>
          <w:rFonts w:ascii="Georgia" w:eastAsia="Times New Roman" w:hAnsi="Georgia" w:cs="Times New Roman"/>
          <w:sz w:val="24"/>
          <w:szCs w:val="24"/>
          <w:highlight w:val="yellow"/>
          <w:lang w:eastAsia="en-GB"/>
        </w:rPr>
        <w:t>the two men knocked on Bartley’s door, and she opened the door to ascertain who was there. The men forced their way into Bartley’s apartment and raped her.</w:t>
      </w:r>
    </w:p>
    <w:p w14:paraId="406D1588" w14:textId="77777777" w:rsidR="00D30766" w:rsidRPr="00D30766" w:rsidRDefault="00D30766" w:rsidP="00D30766">
      <w:pPr>
        <w:spacing w:before="100" w:beforeAutospacing="1" w:after="225" w:line="240" w:lineRule="auto"/>
        <w:rPr>
          <w:rFonts w:ascii="Georgia" w:eastAsia="Times New Roman" w:hAnsi="Georgia" w:cs="Times New Roman"/>
          <w:sz w:val="24"/>
          <w:szCs w:val="24"/>
          <w:lang w:eastAsia="en-GB"/>
        </w:rPr>
      </w:pPr>
      <w:r w:rsidRPr="00B26B51">
        <w:rPr>
          <w:rFonts w:ascii="Georgia" w:eastAsia="Times New Roman" w:hAnsi="Georgia" w:cs="Times New Roman"/>
          <w:sz w:val="24"/>
          <w:szCs w:val="24"/>
          <w:highlight w:val="magenta"/>
          <w:lang w:eastAsia="en-GB"/>
        </w:rPr>
        <w:t>On November 16, 1992, Bartley filed her complaint against the Sweetsers</w:t>
      </w:r>
      <w:r w:rsidRPr="00D30766">
        <w:rPr>
          <w:rFonts w:ascii="Georgia" w:eastAsia="Times New Roman" w:hAnsi="Georgia" w:cs="Times New Roman"/>
          <w:sz w:val="24"/>
          <w:szCs w:val="24"/>
          <w:lang w:eastAsia="en-GB"/>
        </w:rPr>
        <w:t xml:space="preserve">, alleging the Sweetsers owed Bartley and other residents of University Studio apartments a duty to provide reasonable security from foreseeable criminal acts against the tenants, and the Sweetsers breached that duty. </w:t>
      </w:r>
      <w:r w:rsidRPr="00B26B51">
        <w:rPr>
          <w:rFonts w:ascii="Georgia" w:eastAsia="Times New Roman" w:hAnsi="Georgia" w:cs="Times New Roman"/>
          <w:sz w:val="24"/>
          <w:szCs w:val="24"/>
          <w:highlight w:val="magenta"/>
          <w:lang w:eastAsia="en-GB"/>
        </w:rPr>
        <w:t>The Sweetsers filed a motion to dismiss for failure to state facts upon which relief could be granted. Treating the motion to dismiss as one for summary judgment, the trial court granted the motion and dismissed Bartley’s complaint with prejudice. Bartley appeals from that order.</w:t>
      </w:r>
    </w:p>
    <w:p w14:paraId="406D1589" w14:textId="77777777" w:rsidR="00D30766" w:rsidRPr="00D30766" w:rsidRDefault="00D30766" w:rsidP="00D30766">
      <w:pPr>
        <w:spacing w:before="100" w:beforeAutospacing="1" w:after="225" w:line="240" w:lineRule="auto"/>
        <w:rPr>
          <w:rFonts w:ascii="Georgia" w:eastAsia="Times New Roman" w:hAnsi="Georgia" w:cs="Times New Roman"/>
          <w:sz w:val="24"/>
          <w:szCs w:val="24"/>
          <w:lang w:eastAsia="en-GB"/>
        </w:rPr>
      </w:pPr>
      <w:r w:rsidRPr="00D30766">
        <w:rPr>
          <w:rFonts w:ascii="Georgia" w:eastAsia="Times New Roman" w:hAnsi="Georgia" w:cs="Times New Roman"/>
          <w:sz w:val="24"/>
          <w:szCs w:val="24"/>
          <w:lang w:eastAsia="en-GB"/>
        </w:rPr>
        <w:t xml:space="preserve">Bartley argues that the </w:t>
      </w:r>
      <w:r w:rsidRPr="00B26B51">
        <w:rPr>
          <w:rFonts w:ascii="Georgia" w:eastAsia="Times New Roman" w:hAnsi="Georgia" w:cs="Times New Roman"/>
          <w:sz w:val="24"/>
          <w:szCs w:val="24"/>
          <w:highlight w:val="yellow"/>
          <w:lang w:eastAsia="en-GB"/>
        </w:rPr>
        <w:t>Sweetsers provided her with a windowless door which was latched with a simple push-button doorknob lock</w:t>
      </w:r>
      <w:r w:rsidRPr="00D30766">
        <w:rPr>
          <w:rFonts w:ascii="Georgia" w:eastAsia="Times New Roman" w:hAnsi="Georgia" w:cs="Times New Roman"/>
          <w:sz w:val="24"/>
          <w:szCs w:val="24"/>
          <w:lang w:eastAsia="en-GB"/>
        </w:rPr>
        <w:t xml:space="preserve">, failed to provide adequate security and adequate lighting of the common areas, and failed to warn Bartley that the apartment complex was prone to criminal activity. Further, Bartley argues </w:t>
      </w:r>
      <w:r w:rsidRPr="00B26B51">
        <w:rPr>
          <w:rFonts w:ascii="Georgia" w:eastAsia="Times New Roman" w:hAnsi="Georgia" w:cs="Times New Roman"/>
          <w:sz w:val="24"/>
          <w:szCs w:val="24"/>
          <w:highlight w:val="yellow"/>
          <w:lang w:eastAsia="en-GB"/>
        </w:rPr>
        <w:t>the lease prohibited her from installing additional locks to the apartment door</w:t>
      </w:r>
      <w:r w:rsidRPr="00D30766">
        <w:rPr>
          <w:rFonts w:ascii="Georgia" w:eastAsia="Times New Roman" w:hAnsi="Georgia" w:cs="Times New Roman"/>
          <w:sz w:val="24"/>
          <w:szCs w:val="24"/>
          <w:lang w:eastAsia="en-GB"/>
        </w:rPr>
        <w:t>, and the Sweetsers retained sole dominion and control over her door and the common areas of the complex. Bartley urges this court overturn its prior holdings and hold that a landlord owes a duty to tenants to provide them with a reasonably safe environment.</w:t>
      </w:r>
    </w:p>
    <w:p w14:paraId="406D158A" w14:textId="77777777" w:rsidR="00D30766" w:rsidRPr="00D30766" w:rsidRDefault="00D30766" w:rsidP="00D30766">
      <w:pPr>
        <w:spacing w:before="100" w:beforeAutospacing="1" w:after="225" w:line="240" w:lineRule="auto"/>
        <w:rPr>
          <w:rFonts w:ascii="Georgia" w:eastAsia="Times New Roman" w:hAnsi="Georgia" w:cs="Times New Roman"/>
          <w:sz w:val="24"/>
          <w:szCs w:val="24"/>
          <w:lang w:eastAsia="en-GB"/>
        </w:rPr>
      </w:pPr>
      <w:r w:rsidRPr="00B26B51">
        <w:rPr>
          <w:rFonts w:ascii="Georgia" w:eastAsia="Times New Roman" w:hAnsi="Georgia" w:cs="Times New Roman"/>
          <w:sz w:val="24"/>
          <w:szCs w:val="24"/>
          <w:highlight w:val="yellow"/>
          <w:lang w:eastAsia="en-GB"/>
        </w:rPr>
        <w:t>Bartley points to her lease and its terms that prevented her, as a tenant, from making any modification to the premises without the landlords’ written consent.</w:t>
      </w:r>
      <w:r w:rsidRPr="00D30766">
        <w:rPr>
          <w:rFonts w:ascii="Georgia" w:eastAsia="Times New Roman" w:hAnsi="Georgia" w:cs="Times New Roman"/>
          <w:sz w:val="24"/>
          <w:szCs w:val="24"/>
          <w:lang w:eastAsia="en-GB"/>
        </w:rPr>
        <w:t xml:space="preserve"> Bartley argues </w:t>
      </w:r>
      <w:r w:rsidRPr="00B26B51">
        <w:rPr>
          <w:rFonts w:ascii="Georgia" w:eastAsia="Times New Roman" w:hAnsi="Georgia" w:cs="Times New Roman"/>
          <w:sz w:val="24"/>
          <w:szCs w:val="24"/>
          <w:highlight w:val="yellow"/>
          <w:lang w:eastAsia="en-GB"/>
        </w:rPr>
        <w:t xml:space="preserve">she was specifically precluded from installing additional locking devices on her door. </w:t>
      </w:r>
      <w:r w:rsidRPr="00B26B51">
        <w:rPr>
          <w:rFonts w:ascii="Georgia" w:eastAsia="Times New Roman" w:hAnsi="Georgia" w:cs="Times New Roman"/>
          <w:sz w:val="24"/>
          <w:szCs w:val="24"/>
          <w:lang w:eastAsia="en-GB"/>
        </w:rPr>
        <w:t>Bartley</w:t>
      </w:r>
      <w:r w:rsidRPr="00D30766">
        <w:rPr>
          <w:rFonts w:ascii="Georgia" w:eastAsia="Times New Roman" w:hAnsi="Georgia" w:cs="Times New Roman"/>
          <w:sz w:val="24"/>
          <w:szCs w:val="24"/>
          <w:lang w:eastAsia="en-GB"/>
        </w:rPr>
        <w:t xml:space="preserve"> argues many jurisdictions have discarded the general rule of landlord immunity based on the common law rule of </w:t>
      </w:r>
      <w:r w:rsidRPr="00D30766">
        <w:rPr>
          <w:rFonts w:ascii="Georgia" w:eastAsia="Times New Roman" w:hAnsi="Georgia" w:cs="Times New Roman"/>
          <w:i/>
          <w:iCs/>
          <w:sz w:val="24"/>
          <w:szCs w:val="24"/>
          <w:lang w:eastAsia="en-GB"/>
        </w:rPr>
        <w:t>caveat emptor </w:t>
      </w:r>
      <w:r w:rsidRPr="00D30766">
        <w:rPr>
          <w:rFonts w:ascii="Georgia" w:eastAsia="Times New Roman" w:hAnsi="Georgia" w:cs="Times New Roman"/>
          <w:sz w:val="24"/>
          <w:szCs w:val="24"/>
          <w:lang w:eastAsia="en-GB"/>
        </w:rPr>
        <w:t>as being inconsistent with modern circumstances or warranties of habitability. Bartley argues that, if her door had had a peephole or chain lock, she would have had greater protection from the two men who attacked her.</w:t>
      </w:r>
    </w:p>
    <w:p w14:paraId="406D158B" w14:textId="72CAF128" w:rsidR="00D30766" w:rsidRPr="00D30766" w:rsidRDefault="00D30766" w:rsidP="00D30766">
      <w:pPr>
        <w:spacing w:before="100" w:beforeAutospacing="1" w:after="225" w:line="240" w:lineRule="auto"/>
        <w:rPr>
          <w:rFonts w:ascii="Georgia" w:eastAsia="Times New Roman" w:hAnsi="Georgia" w:cs="Times New Roman"/>
          <w:sz w:val="24"/>
          <w:szCs w:val="24"/>
          <w:lang w:eastAsia="en-GB"/>
        </w:rPr>
      </w:pPr>
      <w:r w:rsidRPr="00D30766">
        <w:rPr>
          <w:rFonts w:ascii="Georgia" w:eastAsia="Times New Roman" w:hAnsi="Georgia" w:cs="Times New Roman"/>
          <w:sz w:val="24"/>
          <w:szCs w:val="24"/>
          <w:lang w:eastAsia="en-GB"/>
        </w:rPr>
        <w:lastRenderedPageBreak/>
        <w:t>Bartley cites a long line of cases where this court has considered issues of landlord liability for injuries to tenants, all of </w:t>
      </w:r>
      <w:r w:rsidRPr="00D30766">
        <w:rPr>
          <w:rFonts w:ascii="Georgia" w:eastAsia="Times New Roman" w:hAnsi="Georgia" w:cs="Times New Roman"/>
          <w:i/>
          <w:iCs/>
          <w:color w:val="979797"/>
          <w:sz w:val="19"/>
          <w:szCs w:val="19"/>
          <w:lang w:eastAsia="en-GB"/>
        </w:rPr>
        <w:t>*120</w:t>
      </w:r>
      <w:r w:rsidRPr="00D30766">
        <w:rPr>
          <w:rFonts w:ascii="Georgia" w:eastAsia="Times New Roman" w:hAnsi="Georgia" w:cs="Times New Roman"/>
          <w:sz w:val="24"/>
          <w:szCs w:val="24"/>
          <w:lang w:eastAsia="en-GB"/>
        </w:rPr>
        <w:t>which held that the landlord owes no special duty to tenants and that tenants are not invitees. She also cites </w:t>
      </w:r>
      <w:r w:rsidRPr="00D30766">
        <w:rPr>
          <w:rFonts w:ascii="Georgia" w:eastAsia="Times New Roman" w:hAnsi="Georgia" w:cs="Times New Roman"/>
          <w:i/>
          <w:iCs/>
          <w:sz w:val="24"/>
          <w:szCs w:val="24"/>
          <w:lang w:eastAsia="en-GB"/>
        </w:rPr>
        <w:t>Jackson </w:t>
      </w:r>
      <w:r w:rsidRPr="00D30766">
        <w:rPr>
          <w:rFonts w:ascii="Georgia" w:eastAsia="Times New Roman" w:hAnsi="Georgia" w:cs="Times New Roman"/>
          <w:sz w:val="24"/>
          <w:szCs w:val="24"/>
          <w:lang w:eastAsia="en-GB"/>
        </w:rPr>
        <w:t>v. </w:t>
      </w:r>
      <w:r w:rsidRPr="00D30766">
        <w:rPr>
          <w:rFonts w:ascii="Georgia" w:eastAsia="Times New Roman" w:hAnsi="Georgia" w:cs="Times New Roman"/>
          <w:i/>
          <w:iCs/>
          <w:sz w:val="24"/>
          <w:szCs w:val="24"/>
          <w:lang w:eastAsia="en-GB"/>
        </w:rPr>
        <w:t>Warner Holdings, Ltd., </w:t>
      </w:r>
      <w:hyperlink r:id="rId5" w:history="1">
        <w:r w:rsidRPr="00D30766">
          <w:rPr>
            <w:rFonts w:ascii="Georgia" w:eastAsia="Times New Roman" w:hAnsi="Georgia" w:cs="Times New Roman"/>
            <w:color w:val="007BFF"/>
            <w:sz w:val="24"/>
            <w:szCs w:val="24"/>
            <w:lang w:eastAsia="en-GB"/>
          </w:rPr>
          <w:t>617 F.Supp. 646</w:t>
        </w:r>
      </w:hyperlink>
      <w:r w:rsidRPr="00D30766">
        <w:rPr>
          <w:rFonts w:ascii="Georgia" w:eastAsia="Times New Roman" w:hAnsi="Georgia" w:cs="Times New Roman"/>
          <w:sz w:val="24"/>
          <w:szCs w:val="24"/>
          <w:lang w:eastAsia="en-GB"/>
        </w:rPr>
        <w:t> (W.D. Ark. 1985), where the federal court held that Arkansas would recognize a duty owed by the landlord to tenants in providing adequate security to protect against criminal attacks by third persons. There, a tenant was raped after the assailant entered her apartment. In finding that a duty was owed by the apartment owner, the federal court relied heavily on </w:t>
      </w:r>
      <w:r w:rsidRPr="00B26B51">
        <w:rPr>
          <w:rFonts w:ascii="Georgia" w:eastAsia="Times New Roman" w:hAnsi="Georgia" w:cs="Times New Roman"/>
          <w:i/>
          <w:iCs/>
          <w:sz w:val="24"/>
          <w:szCs w:val="24"/>
          <w:lang w:eastAsia="en-GB"/>
        </w:rPr>
        <w:t>Keck </w:t>
      </w:r>
      <w:r w:rsidRPr="00B26B51">
        <w:rPr>
          <w:rFonts w:ascii="Georgia" w:eastAsia="Times New Roman" w:hAnsi="Georgia" w:cs="Times New Roman"/>
          <w:sz w:val="24"/>
          <w:szCs w:val="24"/>
          <w:lang w:eastAsia="en-GB"/>
        </w:rPr>
        <w:t>v. </w:t>
      </w:r>
      <w:r w:rsidRPr="00B26B51">
        <w:rPr>
          <w:rFonts w:ascii="Georgia" w:eastAsia="Times New Roman" w:hAnsi="Georgia" w:cs="Times New Roman"/>
          <w:i/>
          <w:iCs/>
          <w:sz w:val="24"/>
          <w:szCs w:val="24"/>
          <w:lang w:eastAsia="en-GB"/>
        </w:rPr>
        <w:t>American Employment Agency, Inc., </w:t>
      </w:r>
      <w:r w:rsidRPr="00B26B51">
        <w:rPr>
          <w:rFonts w:ascii="Georgia" w:eastAsia="Times New Roman" w:hAnsi="Georgia" w:cs="Times New Roman"/>
          <w:color w:val="007BFF"/>
          <w:sz w:val="24"/>
          <w:szCs w:val="24"/>
          <w:lang w:eastAsia="en-GB"/>
        </w:rPr>
        <w:t>279 Ark. 294</w:t>
      </w:r>
      <w:r w:rsidRPr="00B26B51">
        <w:rPr>
          <w:rFonts w:ascii="Georgia" w:eastAsia="Times New Roman" w:hAnsi="Georgia" w:cs="Times New Roman"/>
          <w:sz w:val="24"/>
          <w:szCs w:val="24"/>
          <w:lang w:eastAsia="en-GB"/>
        </w:rPr>
        <w:t>, </w:t>
      </w:r>
      <w:hyperlink r:id="rId6" w:history="1">
        <w:r w:rsidRPr="00B26B51">
          <w:rPr>
            <w:rFonts w:ascii="Georgia" w:eastAsia="Times New Roman" w:hAnsi="Georgia" w:cs="Times New Roman"/>
            <w:color w:val="007BFF"/>
            <w:sz w:val="24"/>
            <w:szCs w:val="24"/>
            <w:lang w:eastAsia="en-GB"/>
          </w:rPr>
          <w:t>652 S.W.2d 2</w:t>
        </w:r>
      </w:hyperlink>
      <w:r w:rsidRPr="00B26B51">
        <w:rPr>
          <w:rFonts w:ascii="Georgia" w:eastAsia="Times New Roman" w:hAnsi="Georgia" w:cs="Times New Roman"/>
          <w:sz w:val="24"/>
          <w:szCs w:val="24"/>
          <w:lang w:eastAsia="en-GB"/>
        </w:rPr>
        <w:t> (1983).</w:t>
      </w:r>
    </w:p>
    <w:p w14:paraId="406D158C" w14:textId="77777777" w:rsidR="00D30766" w:rsidRPr="00D30766" w:rsidRDefault="00D30766" w:rsidP="00D30766">
      <w:pPr>
        <w:spacing w:before="100" w:beforeAutospacing="1" w:after="225" w:line="240" w:lineRule="auto"/>
        <w:rPr>
          <w:rFonts w:ascii="Georgia" w:eastAsia="Times New Roman" w:hAnsi="Georgia" w:cs="Times New Roman"/>
          <w:sz w:val="24"/>
          <w:szCs w:val="24"/>
          <w:lang w:eastAsia="en-GB"/>
        </w:rPr>
      </w:pPr>
      <w:r w:rsidRPr="00B26B51">
        <w:rPr>
          <w:rFonts w:ascii="Georgia" w:eastAsia="Times New Roman" w:hAnsi="Georgia" w:cs="Times New Roman"/>
          <w:i/>
          <w:iCs/>
          <w:sz w:val="24"/>
          <w:szCs w:val="24"/>
          <w:lang w:eastAsia="en-GB"/>
        </w:rPr>
        <w:t>Keck</w:t>
      </w:r>
      <w:r w:rsidRPr="00D30766">
        <w:rPr>
          <w:rFonts w:ascii="Georgia" w:eastAsia="Times New Roman" w:hAnsi="Georgia" w:cs="Times New Roman"/>
          <w:i/>
          <w:iCs/>
          <w:sz w:val="24"/>
          <w:szCs w:val="24"/>
          <w:lang w:eastAsia="en-GB"/>
        </w:rPr>
        <w:t>, </w:t>
      </w:r>
      <w:r w:rsidRPr="00D30766">
        <w:rPr>
          <w:rFonts w:ascii="Georgia" w:eastAsia="Times New Roman" w:hAnsi="Georgia" w:cs="Times New Roman"/>
          <w:sz w:val="24"/>
          <w:szCs w:val="24"/>
          <w:lang w:eastAsia="en-GB"/>
        </w:rPr>
        <w:t>however, did not involve landlord liability for a tenant’s injury due to a third party’s criminal acts. Instead, </w:t>
      </w:r>
      <w:r w:rsidRPr="00B26B51">
        <w:rPr>
          <w:rFonts w:ascii="Georgia" w:eastAsia="Times New Roman" w:hAnsi="Georgia" w:cs="Times New Roman"/>
          <w:i/>
          <w:iCs/>
          <w:sz w:val="24"/>
          <w:szCs w:val="24"/>
          <w:lang w:eastAsia="en-GB"/>
        </w:rPr>
        <w:t>Keck</w:t>
      </w:r>
      <w:r w:rsidRPr="00D30766">
        <w:rPr>
          <w:rFonts w:ascii="Georgia" w:eastAsia="Times New Roman" w:hAnsi="Georgia" w:cs="Times New Roman"/>
          <w:i/>
          <w:iCs/>
          <w:sz w:val="24"/>
          <w:szCs w:val="24"/>
          <w:lang w:eastAsia="en-GB"/>
        </w:rPr>
        <w:t> </w:t>
      </w:r>
      <w:r w:rsidRPr="00D30766">
        <w:rPr>
          <w:rFonts w:ascii="Georgia" w:eastAsia="Times New Roman" w:hAnsi="Georgia" w:cs="Times New Roman"/>
          <w:sz w:val="24"/>
          <w:szCs w:val="24"/>
          <w:lang w:eastAsia="en-GB"/>
        </w:rPr>
        <w:t>was a </w:t>
      </w:r>
      <w:r w:rsidRPr="00D30766">
        <w:rPr>
          <w:rFonts w:ascii="Georgia" w:eastAsia="Times New Roman" w:hAnsi="Georgia" w:cs="Times New Roman"/>
          <w:i/>
          <w:iCs/>
          <w:sz w:val="24"/>
          <w:szCs w:val="24"/>
          <w:lang w:eastAsia="en-GB"/>
        </w:rPr>
        <w:t>negligence </w:t>
      </w:r>
      <w:r w:rsidRPr="00D30766">
        <w:rPr>
          <w:rFonts w:ascii="Georgia" w:eastAsia="Times New Roman" w:hAnsi="Georgia" w:cs="Times New Roman"/>
          <w:sz w:val="24"/>
          <w:szCs w:val="24"/>
          <w:lang w:eastAsia="en-GB"/>
        </w:rPr>
        <w:t>case where an employment agency sent one of its customers to interview a prospective employer. The prospective employer raped the customer. The evidence further showed that the agency had not investigated the prospective employer. While the </w:t>
      </w:r>
      <w:r w:rsidRPr="00D30766">
        <w:rPr>
          <w:rFonts w:ascii="Georgia" w:eastAsia="Times New Roman" w:hAnsi="Georgia" w:cs="Times New Roman"/>
          <w:i/>
          <w:iCs/>
          <w:sz w:val="24"/>
          <w:szCs w:val="24"/>
          <w:lang w:eastAsia="en-GB"/>
        </w:rPr>
        <w:t>Keck </w:t>
      </w:r>
      <w:r w:rsidRPr="00D30766">
        <w:rPr>
          <w:rFonts w:ascii="Georgia" w:eastAsia="Times New Roman" w:hAnsi="Georgia" w:cs="Times New Roman"/>
          <w:sz w:val="24"/>
          <w:szCs w:val="24"/>
          <w:lang w:eastAsia="en-GB"/>
        </w:rPr>
        <w:t>court mentioned the rule that one is ordinarily not liable for the acts of another unless a special relationship exists, the court held such a relationship had occurred. It concluded such duty arose out of (1) the contractual relationship between the employment agency and its customer, (2) the agency’s ability to foresee some danger in sending the customer to prospective employers, and (3) the degree of control the agency had over the employers it made available to its customers.</w:t>
      </w:r>
    </w:p>
    <w:p w14:paraId="406D158D" w14:textId="5A81B4EB" w:rsidR="00D30766" w:rsidRPr="00D30766" w:rsidRDefault="00D30766" w:rsidP="00D30766">
      <w:pPr>
        <w:spacing w:before="100" w:beforeAutospacing="1" w:after="225" w:line="240" w:lineRule="auto"/>
        <w:rPr>
          <w:rFonts w:ascii="Georgia" w:eastAsia="Times New Roman" w:hAnsi="Georgia" w:cs="Times New Roman"/>
          <w:sz w:val="24"/>
          <w:szCs w:val="24"/>
          <w:lang w:eastAsia="en-GB"/>
        </w:rPr>
      </w:pPr>
      <w:r w:rsidRPr="00D30766">
        <w:rPr>
          <w:rFonts w:ascii="Georgia" w:eastAsia="Times New Roman" w:hAnsi="Georgia" w:cs="Times New Roman"/>
          <w:sz w:val="24"/>
          <w:szCs w:val="24"/>
          <w:lang w:eastAsia="en-GB"/>
        </w:rPr>
        <w:t>Arkansas landlord/tenant law has its own history that bears on the issue before us in this case. Since 1932, Arkansas has adhered to the general rule that, as between a landlord and tenant, the landlord is under no legal obligation to a tenant for injuries sustained in common areas, absent a statute or agreement. </w:t>
      </w:r>
      <w:r w:rsidRPr="00D30766">
        <w:rPr>
          <w:rFonts w:ascii="Georgia" w:eastAsia="Times New Roman" w:hAnsi="Georgia" w:cs="Times New Roman"/>
          <w:i/>
          <w:iCs/>
          <w:sz w:val="24"/>
          <w:szCs w:val="24"/>
          <w:lang w:eastAsia="en-GB"/>
        </w:rPr>
        <w:t xml:space="preserve">See </w:t>
      </w:r>
      <w:r w:rsidRPr="00B26B51">
        <w:rPr>
          <w:rFonts w:ascii="Georgia" w:eastAsia="Times New Roman" w:hAnsi="Georgia" w:cs="Times New Roman"/>
          <w:i/>
          <w:iCs/>
          <w:sz w:val="24"/>
          <w:szCs w:val="24"/>
          <w:highlight w:val="cyan"/>
          <w:lang w:eastAsia="en-GB"/>
        </w:rPr>
        <w:t>Glasgow </w:t>
      </w:r>
      <w:r w:rsidRPr="00B26B51">
        <w:rPr>
          <w:rFonts w:ascii="Georgia" w:eastAsia="Times New Roman" w:hAnsi="Georgia" w:cs="Times New Roman"/>
          <w:sz w:val="24"/>
          <w:szCs w:val="24"/>
          <w:highlight w:val="cyan"/>
          <w:lang w:eastAsia="en-GB"/>
        </w:rPr>
        <w:t>v. </w:t>
      </w:r>
      <w:r w:rsidRPr="00B26B51">
        <w:rPr>
          <w:rFonts w:ascii="Georgia" w:eastAsia="Times New Roman" w:hAnsi="Georgia" w:cs="Times New Roman"/>
          <w:i/>
          <w:iCs/>
          <w:sz w:val="24"/>
          <w:szCs w:val="24"/>
          <w:highlight w:val="cyan"/>
          <w:lang w:eastAsia="en-GB"/>
        </w:rPr>
        <w:t>Century Property Fund XIX, </w:t>
      </w:r>
      <w:r w:rsidRPr="00B26B51">
        <w:rPr>
          <w:rFonts w:ascii="Georgia" w:eastAsia="Times New Roman" w:hAnsi="Georgia" w:cs="Times New Roman"/>
          <w:color w:val="007BFF"/>
          <w:sz w:val="24"/>
          <w:szCs w:val="24"/>
          <w:highlight w:val="cyan"/>
          <w:lang w:eastAsia="en-GB"/>
        </w:rPr>
        <w:t>299 Ark. 221</w:t>
      </w:r>
      <w:r w:rsidRPr="00B26B51">
        <w:rPr>
          <w:rFonts w:ascii="Georgia" w:eastAsia="Times New Roman" w:hAnsi="Georgia" w:cs="Times New Roman"/>
          <w:sz w:val="24"/>
          <w:szCs w:val="24"/>
          <w:highlight w:val="cyan"/>
          <w:lang w:eastAsia="en-GB"/>
        </w:rPr>
        <w:t>, </w:t>
      </w:r>
      <w:hyperlink r:id="rId7" w:history="1">
        <w:r w:rsidRPr="00B26B51">
          <w:rPr>
            <w:rFonts w:ascii="Georgia" w:eastAsia="Times New Roman" w:hAnsi="Georgia" w:cs="Times New Roman"/>
            <w:color w:val="007BFF"/>
            <w:sz w:val="24"/>
            <w:szCs w:val="24"/>
            <w:highlight w:val="cyan"/>
            <w:lang w:eastAsia="en-GB"/>
          </w:rPr>
          <w:t>772 S.W.2d 312</w:t>
        </w:r>
      </w:hyperlink>
      <w:r w:rsidRPr="00B26B51">
        <w:rPr>
          <w:rFonts w:ascii="Georgia" w:eastAsia="Times New Roman" w:hAnsi="Georgia" w:cs="Times New Roman"/>
          <w:sz w:val="24"/>
          <w:szCs w:val="24"/>
          <w:highlight w:val="cyan"/>
          <w:lang w:eastAsia="en-GB"/>
        </w:rPr>
        <w:t> (1989); </w:t>
      </w:r>
      <w:r w:rsidRPr="00B26B51">
        <w:rPr>
          <w:rFonts w:ascii="Georgia" w:eastAsia="Times New Roman" w:hAnsi="Georgia" w:cs="Times New Roman"/>
          <w:i/>
          <w:iCs/>
          <w:sz w:val="24"/>
          <w:szCs w:val="24"/>
          <w:highlight w:val="cyan"/>
          <w:lang w:eastAsia="en-GB"/>
        </w:rPr>
        <w:t>Knox </w:t>
      </w:r>
      <w:r w:rsidRPr="00B26B51">
        <w:rPr>
          <w:rFonts w:ascii="Georgia" w:eastAsia="Times New Roman" w:hAnsi="Georgia" w:cs="Times New Roman"/>
          <w:sz w:val="24"/>
          <w:szCs w:val="24"/>
          <w:highlight w:val="cyan"/>
          <w:lang w:eastAsia="en-GB"/>
        </w:rPr>
        <w:t>v. </w:t>
      </w:r>
      <w:r w:rsidRPr="00B26B51">
        <w:rPr>
          <w:rFonts w:ascii="Georgia" w:eastAsia="Times New Roman" w:hAnsi="Georgia" w:cs="Times New Roman"/>
          <w:i/>
          <w:iCs/>
          <w:sz w:val="24"/>
          <w:szCs w:val="24"/>
          <w:highlight w:val="cyan"/>
          <w:lang w:eastAsia="en-GB"/>
        </w:rPr>
        <w:t>Gray, </w:t>
      </w:r>
      <w:r w:rsidRPr="00B26B51">
        <w:rPr>
          <w:rFonts w:ascii="Georgia" w:eastAsia="Times New Roman" w:hAnsi="Georgia" w:cs="Times New Roman"/>
          <w:color w:val="007BFF"/>
          <w:sz w:val="24"/>
          <w:szCs w:val="24"/>
          <w:highlight w:val="cyan"/>
          <w:lang w:eastAsia="en-GB"/>
        </w:rPr>
        <w:t>289 Ark. 507</w:t>
      </w:r>
      <w:r w:rsidRPr="00B26B51">
        <w:rPr>
          <w:rFonts w:ascii="Georgia" w:eastAsia="Times New Roman" w:hAnsi="Georgia" w:cs="Times New Roman"/>
          <w:sz w:val="24"/>
          <w:szCs w:val="24"/>
          <w:highlight w:val="cyan"/>
          <w:lang w:eastAsia="en-GB"/>
        </w:rPr>
        <w:t>, </w:t>
      </w:r>
      <w:hyperlink r:id="rId8" w:history="1">
        <w:r w:rsidRPr="00B26B51">
          <w:rPr>
            <w:rFonts w:ascii="Georgia" w:eastAsia="Times New Roman" w:hAnsi="Georgia" w:cs="Times New Roman"/>
            <w:color w:val="007BFF"/>
            <w:sz w:val="24"/>
            <w:szCs w:val="24"/>
            <w:highlight w:val="cyan"/>
            <w:lang w:eastAsia="en-GB"/>
          </w:rPr>
          <w:t>712 S.W.2d 914</w:t>
        </w:r>
      </w:hyperlink>
      <w:r w:rsidRPr="00B26B51">
        <w:rPr>
          <w:rFonts w:ascii="Georgia" w:eastAsia="Times New Roman" w:hAnsi="Georgia" w:cs="Times New Roman"/>
          <w:sz w:val="24"/>
          <w:szCs w:val="24"/>
          <w:highlight w:val="cyan"/>
          <w:lang w:eastAsia="en-GB"/>
        </w:rPr>
        <w:t> (1986); </w:t>
      </w:r>
      <w:r w:rsidRPr="00B26B51">
        <w:rPr>
          <w:rFonts w:ascii="Georgia" w:eastAsia="Times New Roman" w:hAnsi="Georgia" w:cs="Times New Roman"/>
          <w:i/>
          <w:iCs/>
          <w:sz w:val="24"/>
          <w:szCs w:val="24"/>
          <w:highlight w:val="cyan"/>
          <w:lang w:eastAsia="en-GB"/>
        </w:rPr>
        <w:t>Kilbury </w:t>
      </w:r>
      <w:r w:rsidRPr="00B26B51">
        <w:rPr>
          <w:rFonts w:ascii="Georgia" w:eastAsia="Times New Roman" w:hAnsi="Georgia" w:cs="Times New Roman"/>
          <w:sz w:val="24"/>
          <w:szCs w:val="24"/>
          <w:highlight w:val="cyan"/>
          <w:lang w:eastAsia="en-GB"/>
        </w:rPr>
        <w:t>v. </w:t>
      </w:r>
      <w:r w:rsidRPr="00B26B51">
        <w:rPr>
          <w:rFonts w:ascii="Georgia" w:eastAsia="Times New Roman" w:hAnsi="Georgia" w:cs="Times New Roman"/>
          <w:i/>
          <w:iCs/>
          <w:sz w:val="24"/>
          <w:szCs w:val="24"/>
          <w:highlight w:val="cyan"/>
          <w:lang w:eastAsia="en-GB"/>
        </w:rPr>
        <w:t>McConnell, </w:t>
      </w:r>
      <w:r w:rsidRPr="00B26B51">
        <w:rPr>
          <w:rFonts w:ascii="Georgia" w:eastAsia="Times New Roman" w:hAnsi="Georgia" w:cs="Times New Roman"/>
          <w:color w:val="007BFF"/>
          <w:sz w:val="24"/>
          <w:szCs w:val="24"/>
          <w:highlight w:val="cyan"/>
          <w:lang w:eastAsia="en-GB"/>
        </w:rPr>
        <w:t>246 Ark. 528</w:t>
      </w:r>
      <w:r w:rsidRPr="00B26B51">
        <w:rPr>
          <w:rFonts w:ascii="Georgia" w:eastAsia="Times New Roman" w:hAnsi="Georgia" w:cs="Times New Roman"/>
          <w:sz w:val="24"/>
          <w:szCs w:val="24"/>
          <w:highlight w:val="cyan"/>
          <w:lang w:eastAsia="en-GB"/>
        </w:rPr>
        <w:t>, </w:t>
      </w:r>
      <w:hyperlink r:id="rId9" w:history="1">
        <w:r w:rsidRPr="00B26B51">
          <w:rPr>
            <w:rFonts w:ascii="Georgia" w:eastAsia="Times New Roman" w:hAnsi="Georgia" w:cs="Times New Roman"/>
            <w:color w:val="007BFF"/>
            <w:sz w:val="24"/>
            <w:szCs w:val="24"/>
            <w:highlight w:val="cyan"/>
            <w:lang w:eastAsia="en-GB"/>
          </w:rPr>
          <w:t>438 S.W.2d 692</w:t>
        </w:r>
      </w:hyperlink>
      <w:r w:rsidRPr="00B26B51">
        <w:rPr>
          <w:rFonts w:ascii="Georgia" w:eastAsia="Times New Roman" w:hAnsi="Georgia" w:cs="Times New Roman"/>
          <w:sz w:val="24"/>
          <w:szCs w:val="24"/>
          <w:highlight w:val="cyan"/>
          <w:lang w:eastAsia="en-GB"/>
        </w:rPr>
        <w:t> (1969); </w:t>
      </w:r>
      <w:r w:rsidRPr="00B26B51">
        <w:rPr>
          <w:rFonts w:ascii="Georgia" w:eastAsia="Times New Roman" w:hAnsi="Georgia" w:cs="Times New Roman"/>
          <w:i/>
          <w:iCs/>
          <w:sz w:val="24"/>
          <w:szCs w:val="24"/>
          <w:highlight w:val="cyan"/>
          <w:lang w:eastAsia="en-GB"/>
        </w:rPr>
        <w:t>Joseph </w:t>
      </w:r>
      <w:r w:rsidRPr="00B26B51">
        <w:rPr>
          <w:rFonts w:ascii="Georgia" w:eastAsia="Times New Roman" w:hAnsi="Georgia" w:cs="Times New Roman"/>
          <w:sz w:val="24"/>
          <w:szCs w:val="24"/>
          <w:highlight w:val="cyan"/>
          <w:lang w:eastAsia="en-GB"/>
        </w:rPr>
        <w:t>v. </w:t>
      </w:r>
      <w:r w:rsidRPr="00B26B51">
        <w:rPr>
          <w:rFonts w:ascii="Georgia" w:eastAsia="Times New Roman" w:hAnsi="Georgia" w:cs="Times New Roman"/>
          <w:i/>
          <w:iCs/>
          <w:sz w:val="24"/>
          <w:szCs w:val="24"/>
          <w:highlight w:val="cyan"/>
          <w:lang w:eastAsia="en-GB"/>
        </w:rPr>
        <w:t>Riffee, </w:t>
      </w:r>
      <w:r w:rsidRPr="00B26B51">
        <w:rPr>
          <w:rFonts w:ascii="Georgia" w:eastAsia="Times New Roman" w:hAnsi="Georgia" w:cs="Times New Roman"/>
          <w:color w:val="007BFF"/>
          <w:sz w:val="24"/>
          <w:szCs w:val="24"/>
          <w:highlight w:val="cyan"/>
          <w:lang w:eastAsia="en-GB"/>
        </w:rPr>
        <w:t>186 Ark. 418</w:t>
      </w:r>
      <w:r w:rsidRPr="00B26B51">
        <w:rPr>
          <w:rFonts w:ascii="Georgia" w:eastAsia="Times New Roman" w:hAnsi="Georgia" w:cs="Times New Roman"/>
          <w:sz w:val="24"/>
          <w:szCs w:val="24"/>
          <w:highlight w:val="cyan"/>
          <w:lang w:eastAsia="en-GB"/>
        </w:rPr>
        <w:t>, </w:t>
      </w:r>
      <w:hyperlink r:id="rId10" w:history="1">
        <w:r w:rsidRPr="00B26B51">
          <w:rPr>
            <w:rFonts w:ascii="Georgia" w:eastAsia="Times New Roman" w:hAnsi="Georgia" w:cs="Times New Roman"/>
            <w:color w:val="007BFF"/>
            <w:sz w:val="24"/>
            <w:szCs w:val="24"/>
            <w:highlight w:val="cyan"/>
            <w:lang w:eastAsia="en-GB"/>
          </w:rPr>
          <w:t>53 S.W.2d 987</w:t>
        </w:r>
      </w:hyperlink>
      <w:r w:rsidRPr="00B26B51">
        <w:rPr>
          <w:rFonts w:ascii="Georgia" w:eastAsia="Times New Roman" w:hAnsi="Georgia" w:cs="Times New Roman"/>
          <w:sz w:val="24"/>
          <w:szCs w:val="24"/>
          <w:highlight w:val="cyan"/>
          <w:lang w:eastAsia="en-GB"/>
        </w:rPr>
        <w:t> (1932).</w:t>
      </w:r>
      <w:r w:rsidRPr="00D30766">
        <w:rPr>
          <w:rFonts w:ascii="Georgia" w:eastAsia="Times New Roman" w:hAnsi="Georgia" w:cs="Times New Roman"/>
          <w:sz w:val="24"/>
          <w:szCs w:val="24"/>
          <w:lang w:eastAsia="en-GB"/>
        </w:rPr>
        <w:t xml:space="preserve"> Consistent with the foregoing principle is the general and common law rule that a landlord does not owe a tenant or social guest a duty to protect the tenant or guest from criminal acts. </w:t>
      </w:r>
      <w:r w:rsidRPr="00B26B51">
        <w:rPr>
          <w:rFonts w:ascii="Georgia" w:eastAsia="Times New Roman" w:hAnsi="Georgia" w:cs="Times New Roman"/>
          <w:i/>
          <w:iCs/>
          <w:sz w:val="24"/>
          <w:szCs w:val="24"/>
          <w:highlight w:val="cyan"/>
          <w:lang w:eastAsia="en-GB"/>
        </w:rPr>
        <w:t>Pippin </w:t>
      </w:r>
      <w:r w:rsidRPr="00B26B51">
        <w:rPr>
          <w:rFonts w:ascii="Georgia" w:eastAsia="Times New Roman" w:hAnsi="Georgia" w:cs="Times New Roman"/>
          <w:sz w:val="24"/>
          <w:szCs w:val="24"/>
          <w:highlight w:val="cyan"/>
          <w:lang w:eastAsia="en-GB"/>
        </w:rPr>
        <w:t>v. </w:t>
      </w:r>
      <w:r w:rsidRPr="00B26B51">
        <w:rPr>
          <w:rFonts w:ascii="Georgia" w:eastAsia="Times New Roman" w:hAnsi="Georgia" w:cs="Times New Roman"/>
          <w:i/>
          <w:iCs/>
          <w:sz w:val="24"/>
          <w:szCs w:val="24"/>
          <w:highlight w:val="cyan"/>
          <w:lang w:eastAsia="en-GB"/>
        </w:rPr>
        <w:t>Chicago Housing Authority, </w:t>
      </w:r>
      <w:r w:rsidRPr="00B26B51">
        <w:rPr>
          <w:rFonts w:ascii="Georgia" w:eastAsia="Times New Roman" w:hAnsi="Georgia" w:cs="Times New Roman"/>
          <w:color w:val="007BFF"/>
          <w:sz w:val="24"/>
          <w:szCs w:val="24"/>
          <w:highlight w:val="cyan"/>
          <w:lang w:eastAsia="en-GB"/>
        </w:rPr>
        <w:t>78 Ill.2d 204</w:t>
      </w:r>
      <w:r w:rsidRPr="00B26B51">
        <w:rPr>
          <w:rFonts w:ascii="Georgia" w:eastAsia="Times New Roman" w:hAnsi="Georgia" w:cs="Times New Roman"/>
          <w:sz w:val="24"/>
          <w:szCs w:val="24"/>
          <w:highlight w:val="cyan"/>
          <w:lang w:eastAsia="en-GB"/>
        </w:rPr>
        <w:t>, </w:t>
      </w:r>
      <w:hyperlink r:id="rId11" w:history="1">
        <w:r w:rsidRPr="00B26B51">
          <w:rPr>
            <w:rFonts w:ascii="Georgia" w:eastAsia="Times New Roman" w:hAnsi="Georgia" w:cs="Times New Roman"/>
            <w:color w:val="007BFF"/>
            <w:sz w:val="24"/>
            <w:szCs w:val="24"/>
            <w:highlight w:val="cyan"/>
            <w:lang w:eastAsia="en-GB"/>
          </w:rPr>
          <w:t>399 N.E.2d 596</w:t>
        </w:r>
      </w:hyperlink>
      <w:r w:rsidRPr="00B26B51">
        <w:rPr>
          <w:rFonts w:ascii="Georgia" w:eastAsia="Times New Roman" w:hAnsi="Georgia" w:cs="Times New Roman"/>
          <w:sz w:val="24"/>
          <w:szCs w:val="24"/>
          <w:highlight w:val="cyan"/>
          <w:lang w:eastAsia="en-GB"/>
        </w:rPr>
        <w:t> (1979); </w:t>
      </w:r>
      <w:r w:rsidRPr="00B26B51">
        <w:rPr>
          <w:rFonts w:ascii="Georgia" w:eastAsia="Times New Roman" w:hAnsi="Georgia" w:cs="Times New Roman"/>
          <w:i/>
          <w:iCs/>
          <w:sz w:val="24"/>
          <w:szCs w:val="24"/>
          <w:highlight w:val="cyan"/>
          <w:lang w:eastAsia="en-GB"/>
        </w:rPr>
        <w:t>Morgan </w:t>
      </w:r>
      <w:r w:rsidRPr="00B26B51">
        <w:rPr>
          <w:rFonts w:ascii="Georgia" w:eastAsia="Times New Roman" w:hAnsi="Georgia" w:cs="Times New Roman"/>
          <w:sz w:val="24"/>
          <w:szCs w:val="24"/>
          <w:highlight w:val="cyan"/>
          <w:lang w:eastAsia="en-GB"/>
        </w:rPr>
        <w:t>v. </w:t>
      </w:r>
      <w:r w:rsidRPr="00B26B51">
        <w:rPr>
          <w:rFonts w:ascii="Georgia" w:eastAsia="Times New Roman" w:hAnsi="Georgia" w:cs="Times New Roman"/>
          <w:i/>
          <w:iCs/>
          <w:sz w:val="24"/>
          <w:szCs w:val="24"/>
          <w:highlight w:val="cyan"/>
          <w:lang w:eastAsia="en-GB"/>
        </w:rPr>
        <w:t>253 E. Delaware Condo Ass’n, </w:t>
      </w:r>
      <w:r w:rsidRPr="00B26B51">
        <w:rPr>
          <w:rFonts w:ascii="Georgia" w:eastAsia="Times New Roman" w:hAnsi="Georgia" w:cs="Times New Roman"/>
          <w:sz w:val="24"/>
          <w:szCs w:val="24"/>
          <w:highlight w:val="cyan"/>
          <w:lang w:eastAsia="en-GB"/>
        </w:rPr>
        <w:t>231 Ill. App. 3rd 208, </w:t>
      </w:r>
      <w:r w:rsidRPr="00B26B51">
        <w:rPr>
          <w:rFonts w:ascii="Georgia" w:eastAsia="Times New Roman" w:hAnsi="Georgia" w:cs="Times New Roman"/>
          <w:color w:val="007BFF"/>
          <w:sz w:val="24"/>
          <w:szCs w:val="24"/>
          <w:highlight w:val="cyan"/>
          <w:lang w:eastAsia="en-GB"/>
        </w:rPr>
        <w:t>595 N.E.2d 36</w:t>
      </w:r>
      <w:r w:rsidRPr="00B26B51">
        <w:rPr>
          <w:rFonts w:ascii="Georgia" w:eastAsia="Times New Roman" w:hAnsi="Georgia" w:cs="Times New Roman"/>
          <w:sz w:val="24"/>
          <w:szCs w:val="24"/>
          <w:highlight w:val="cyan"/>
          <w:lang w:eastAsia="en-GB"/>
        </w:rPr>
        <w:t> (1992); 52 C.J.S. Landlord and Tenant § 545 (1968); American Law of Landlord and Tenant § 4.14 </w:t>
      </w:r>
      <w:hyperlink r:id="rId12" w:anchor="p121" w:history="1">
        <w:r w:rsidRPr="00B26B51">
          <w:rPr>
            <w:rFonts w:ascii="Georgia" w:eastAsia="Times New Roman" w:hAnsi="Georgia" w:cs="Times New Roman"/>
            <w:i/>
            <w:iCs/>
            <w:color w:val="979797"/>
            <w:sz w:val="19"/>
            <w:szCs w:val="19"/>
            <w:highlight w:val="cyan"/>
            <w:lang w:eastAsia="en-GB"/>
          </w:rPr>
          <w:t>*121</w:t>
        </w:r>
      </w:hyperlink>
      <w:r w:rsidRPr="00B26B51">
        <w:rPr>
          <w:rFonts w:ascii="Georgia" w:eastAsia="Times New Roman" w:hAnsi="Georgia" w:cs="Times New Roman"/>
          <w:sz w:val="24"/>
          <w:szCs w:val="24"/>
          <w:highlight w:val="cyan"/>
          <w:lang w:eastAsia="en-GB"/>
        </w:rPr>
        <w:t>(1980 and Supp. 1994); 43 ALR3rd 331 (1972 and Supp. 1994)</w:t>
      </w:r>
      <w:r w:rsidRPr="00D30766">
        <w:rPr>
          <w:rFonts w:ascii="Georgia" w:eastAsia="Times New Roman" w:hAnsi="Georgia" w:cs="Times New Roman"/>
          <w:sz w:val="24"/>
          <w:szCs w:val="24"/>
          <w:lang w:eastAsia="en-GB"/>
        </w:rPr>
        <w:t xml:space="preserve"> (Landlord’s obligation to protect tenant against criminal activities of third persons); </w:t>
      </w:r>
      <w:r w:rsidRPr="00D30766">
        <w:rPr>
          <w:rFonts w:ascii="Georgia" w:eastAsia="Times New Roman" w:hAnsi="Georgia" w:cs="Times New Roman"/>
          <w:i/>
          <w:iCs/>
          <w:sz w:val="24"/>
          <w:szCs w:val="24"/>
          <w:lang w:eastAsia="en-GB"/>
        </w:rPr>
        <w:t xml:space="preserve">see also </w:t>
      </w:r>
      <w:r w:rsidRPr="00B26B51">
        <w:rPr>
          <w:rFonts w:ascii="Georgia" w:eastAsia="Times New Roman" w:hAnsi="Georgia" w:cs="Times New Roman"/>
          <w:i/>
          <w:iCs/>
          <w:sz w:val="24"/>
          <w:szCs w:val="24"/>
          <w:highlight w:val="cyan"/>
          <w:lang w:eastAsia="en-GB"/>
        </w:rPr>
        <w:t>65th Center, Inc. </w:t>
      </w:r>
      <w:r w:rsidRPr="00B26B51">
        <w:rPr>
          <w:rFonts w:ascii="Georgia" w:eastAsia="Times New Roman" w:hAnsi="Georgia" w:cs="Times New Roman"/>
          <w:sz w:val="24"/>
          <w:szCs w:val="24"/>
          <w:highlight w:val="cyan"/>
          <w:lang w:eastAsia="en-GB"/>
        </w:rPr>
        <w:t>v. </w:t>
      </w:r>
      <w:r w:rsidRPr="00B26B51">
        <w:rPr>
          <w:rFonts w:ascii="Georgia" w:eastAsia="Times New Roman" w:hAnsi="Georgia" w:cs="Times New Roman"/>
          <w:i/>
          <w:iCs/>
          <w:sz w:val="24"/>
          <w:szCs w:val="24"/>
          <w:highlight w:val="cyan"/>
          <w:lang w:eastAsia="en-GB"/>
        </w:rPr>
        <w:t>Copeland, </w:t>
      </w:r>
      <w:r w:rsidRPr="00B26B51">
        <w:rPr>
          <w:rFonts w:ascii="Georgia" w:eastAsia="Times New Roman" w:hAnsi="Georgia" w:cs="Times New Roman"/>
          <w:color w:val="007BFF"/>
          <w:sz w:val="24"/>
          <w:szCs w:val="24"/>
          <w:highlight w:val="cyan"/>
          <w:lang w:eastAsia="en-GB"/>
        </w:rPr>
        <w:t>308 Ark. 456</w:t>
      </w:r>
      <w:r w:rsidRPr="00B26B51">
        <w:rPr>
          <w:rFonts w:ascii="Georgia" w:eastAsia="Times New Roman" w:hAnsi="Georgia" w:cs="Times New Roman"/>
          <w:sz w:val="24"/>
          <w:szCs w:val="24"/>
          <w:highlight w:val="cyan"/>
          <w:lang w:eastAsia="en-GB"/>
        </w:rPr>
        <w:t>, </w:t>
      </w:r>
      <w:hyperlink r:id="rId13" w:history="1">
        <w:r w:rsidRPr="00B26B51">
          <w:rPr>
            <w:rFonts w:ascii="Georgia" w:eastAsia="Times New Roman" w:hAnsi="Georgia" w:cs="Times New Roman"/>
            <w:color w:val="007BFF"/>
            <w:sz w:val="24"/>
            <w:szCs w:val="24"/>
            <w:highlight w:val="cyan"/>
            <w:lang w:eastAsia="en-GB"/>
          </w:rPr>
          <w:t>825 S.W.2d 574</w:t>
        </w:r>
      </w:hyperlink>
      <w:r w:rsidRPr="00B26B51">
        <w:rPr>
          <w:rFonts w:ascii="Georgia" w:eastAsia="Times New Roman" w:hAnsi="Georgia" w:cs="Times New Roman"/>
          <w:sz w:val="24"/>
          <w:szCs w:val="24"/>
          <w:highlight w:val="cyan"/>
          <w:lang w:eastAsia="en-GB"/>
        </w:rPr>
        <w:t> (1992)</w:t>
      </w:r>
      <w:r w:rsidRPr="00D30766">
        <w:rPr>
          <w:rFonts w:ascii="Georgia" w:eastAsia="Times New Roman" w:hAnsi="Georgia" w:cs="Times New Roman"/>
          <w:sz w:val="24"/>
          <w:szCs w:val="24"/>
          <w:lang w:eastAsia="en-GB"/>
        </w:rPr>
        <w:t xml:space="preserve"> (court said that a landowner is not liable for the </w:t>
      </w:r>
      <w:r w:rsidRPr="00D30766">
        <w:rPr>
          <w:rFonts w:ascii="Georgia" w:eastAsia="Times New Roman" w:hAnsi="Georgia" w:cs="Times New Roman"/>
          <w:i/>
          <w:iCs/>
          <w:sz w:val="24"/>
          <w:szCs w:val="24"/>
          <w:lang w:eastAsia="en-GB"/>
        </w:rPr>
        <w:t>negligent </w:t>
      </w:r>
      <w:r w:rsidRPr="00D30766">
        <w:rPr>
          <w:rFonts w:ascii="Georgia" w:eastAsia="Times New Roman" w:hAnsi="Georgia" w:cs="Times New Roman"/>
          <w:sz w:val="24"/>
          <w:szCs w:val="24"/>
          <w:lang w:eastAsia="en-GB"/>
        </w:rPr>
        <w:t>act of a third party, when the landowner had no control over the person who committed the act and the act was not committed on his account); </w:t>
      </w:r>
      <w:r w:rsidRPr="00D30766">
        <w:rPr>
          <w:rFonts w:ascii="Georgia" w:eastAsia="Times New Roman" w:hAnsi="Georgia" w:cs="Times New Roman"/>
          <w:i/>
          <w:iCs/>
          <w:sz w:val="24"/>
          <w:szCs w:val="24"/>
          <w:lang w:eastAsia="en-GB"/>
        </w:rPr>
        <w:t>contra Kline </w:t>
      </w:r>
      <w:r w:rsidRPr="00D30766">
        <w:rPr>
          <w:rFonts w:ascii="Georgia" w:eastAsia="Times New Roman" w:hAnsi="Georgia" w:cs="Times New Roman"/>
          <w:sz w:val="24"/>
          <w:szCs w:val="24"/>
          <w:lang w:eastAsia="en-GB"/>
        </w:rPr>
        <w:t>v. </w:t>
      </w:r>
      <w:r w:rsidRPr="00D30766">
        <w:rPr>
          <w:rFonts w:ascii="Georgia" w:eastAsia="Times New Roman" w:hAnsi="Georgia" w:cs="Times New Roman"/>
          <w:i/>
          <w:iCs/>
          <w:sz w:val="24"/>
          <w:szCs w:val="24"/>
          <w:lang w:eastAsia="en-GB"/>
        </w:rPr>
        <w:t>1500 Mass. Ave. Apt. Corp., </w:t>
      </w:r>
      <w:r w:rsidRPr="00D30766">
        <w:rPr>
          <w:rFonts w:ascii="Georgia" w:eastAsia="Times New Roman" w:hAnsi="Georgia" w:cs="Times New Roman"/>
          <w:color w:val="007BFF"/>
          <w:sz w:val="24"/>
          <w:szCs w:val="24"/>
          <w:lang w:eastAsia="en-GB"/>
        </w:rPr>
        <w:t>141 App. D.C. 370</w:t>
      </w:r>
      <w:r w:rsidRPr="00D30766">
        <w:rPr>
          <w:rFonts w:ascii="Georgia" w:eastAsia="Times New Roman" w:hAnsi="Georgia" w:cs="Times New Roman"/>
          <w:sz w:val="24"/>
          <w:szCs w:val="24"/>
          <w:lang w:eastAsia="en-GB"/>
        </w:rPr>
        <w:t>, </w:t>
      </w:r>
      <w:hyperlink r:id="rId14" w:history="1">
        <w:r w:rsidRPr="00D30766">
          <w:rPr>
            <w:rFonts w:ascii="Georgia" w:eastAsia="Times New Roman" w:hAnsi="Georgia" w:cs="Times New Roman"/>
            <w:color w:val="007BFF"/>
            <w:sz w:val="24"/>
            <w:szCs w:val="24"/>
            <w:lang w:eastAsia="en-GB"/>
          </w:rPr>
          <w:t>439 F.2d 477</w:t>
        </w:r>
      </w:hyperlink>
      <w:r w:rsidRPr="00D30766">
        <w:rPr>
          <w:rFonts w:ascii="Georgia" w:eastAsia="Times New Roman" w:hAnsi="Georgia" w:cs="Times New Roman"/>
          <w:sz w:val="24"/>
          <w:szCs w:val="24"/>
          <w:lang w:eastAsia="en-GB"/>
        </w:rPr>
        <w:t>, </w:t>
      </w:r>
      <w:r w:rsidRPr="00D30766">
        <w:rPr>
          <w:rFonts w:ascii="Georgia" w:eastAsia="Times New Roman" w:hAnsi="Georgia" w:cs="Times New Roman"/>
          <w:color w:val="007BFF"/>
          <w:sz w:val="24"/>
          <w:szCs w:val="24"/>
          <w:lang w:eastAsia="en-GB"/>
        </w:rPr>
        <w:t>43 ALR3d 311</w:t>
      </w:r>
      <w:r w:rsidRPr="00D30766">
        <w:rPr>
          <w:rFonts w:ascii="Georgia" w:eastAsia="Times New Roman" w:hAnsi="Georgia" w:cs="Times New Roman"/>
          <w:sz w:val="24"/>
          <w:szCs w:val="24"/>
          <w:lang w:eastAsia="en-GB"/>
        </w:rPr>
        <w:t> (1970); American Law of Landlord and Tenant § 4.15 (1980 and Supp. 1994).</w:t>
      </w:r>
    </w:p>
    <w:p w14:paraId="406D158E" w14:textId="4077347D" w:rsidR="00D30766" w:rsidRPr="00D30766" w:rsidRDefault="00D30766" w:rsidP="00D30766">
      <w:pPr>
        <w:spacing w:before="100" w:beforeAutospacing="1" w:after="225" w:line="240" w:lineRule="auto"/>
        <w:rPr>
          <w:rFonts w:ascii="Georgia" w:eastAsia="Times New Roman" w:hAnsi="Georgia" w:cs="Times New Roman"/>
          <w:sz w:val="24"/>
          <w:szCs w:val="24"/>
          <w:lang w:eastAsia="en-GB"/>
        </w:rPr>
      </w:pPr>
      <w:r w:rsidRPr="00D30766">
        <w:rPr>
          <w:rFonts w:ascii="Georgia" w:eastAsia="Times New Roman" w:hAnsi="Georgia" w:cs="Times New Roman"/>
          <w:sz w:val="24"/>
          <w:szCs w:val="24"/>
          <w:lang w:eastAsia="en-GB"/>
        </w:rPr>
        <w:t>Although some jurisdictions have held a landlord, under certain circumstances, owes a duty to take reasonable steps to protect a tenant from foreseeable criminal acts committed by intruders on the premises, </w:t>
      </w:r>
      <w:r w:rsidRPr="00D30766">
        <w:rPr>
          <w:rFonts w:ascii="Georgia" w:eastAsia="Times New Roman" w:hAnsi="Georgia" w:cs="Times New Roman"/>
          <w:i/>
          <w:iCs/>
          <w:sz w:val="24"/>
          <w:szCs w:val="24"/>
          <w:lang w:eastAsia="en-GB"/>
        </w:rPr>
        <w:t>Kline, </w:t>
      </w:r>
      <w:hyperlink r:id="rId15" w:history="1">
        <w:r w:rsidRPr="00D30766">
          <w:rPr>
            <w:rFonts w:ascii="Georgia" w:eastAsia="Times New Roman" w:hAnsi="Georgia" w:cs="Times New Roman"/>
            <w:color w:val="007BFF"/>
            <w:sz w:val="24"/>
            <w:szCs w:val="24"/>
            <w:lang w:eastAsia="en-GB"/>
          </w:rPr>
          <w:t>141 App. D.C. 379</w:t>
        </w:r>
      </w:hyperlink>
      <w:r w:rsidRPr="00D30766">
        <w:rPr>
          <w:rFonts w:ascii="Georgia" w:eastAsia="Times New Roman" w:hAnsi="Georgia" w:cs="Times New Roman"/>
          <w:sz w:val="24"/>
          <w:szCs w:val="24"/>
          <w:lang w:eastAsia="en-GB"/>
        </w:rPr>
        <w:t>, </w:t>
      </w:r>
      <w:r w:rsidRPr="00D30766">
        <w:rPr>
          <w:rFonts w:ascii="Georgia" w:eastAsia="Times New Roman" w:hAnsi="Georgia" w:cs="Times New Roman"/>
          <w:color w:val="007BFF"/>
          <w:sz w:val="24"/>
          <w:szCs w:val="24"/>
          <w:lang w:eastAsia="en-GB"/>
        </w:rPr>
        <w:t>439 F.2d 477</w:t>
      </w:r>
      <w:r w:rsidRPr="00D30766">
        <w:rPr>
          <w:rFonts w:ascii="Georgia" w:eastAsia="Times New Roman" w:hAnsi="Georgia" w:cs="Times New Roman"/>
          <w:sz w:val="24"/>
          <w:szCs w:val="24"/>
          <w:lang w:eastAsia="en-GB"/>
        </w:rPr>
        <w:t>, the courts have generally found that, as a matter of public policy, it was not fair to impose this duty of protection on the landlord. </w:t>
      </w:r>
      <w:r w:rsidRPr="00D30766">
        <w:rPr>
          <w:rFonts w:ascii="Georgia" w:eastAsia="Times New Roman" w:hAnsi="Georgia" w:cs="Times New Roman"/>
          <w:i/>
          <w:iCs/>
          <w:sz w:val="24"/>
          <w:szCs w:val="24"/>
          <w:lang w:eastAsia="en-GB"/>
        </w:rPr>
        <w:t xml:space="preserve">See </w:t>
      </w:r>
      <w:r w:rsidRPr="00B26B51">
        <w:rPr>
          <w:rFonts w:ascii="Georgia" w:eastAsia="Times New Roman" w:hAnsi="Georgia" w:cs="Times New Roman"/>
          <w:i/>
          <w:iCs/>
          <w:sz w:val="24"/>
          <w:szCs w:val="24"/>
          <w:highlight w:val="cyan"/>
          <w:lang w:eastAsia="en-GB"/>
        </w:rPr>
        <w:t>American Law of Landlord Tenant </w:t>
      </w:r>
      <w:r w:rsidRPr="00B26B51">
        <w:rPr>
          <w:rFonts w:ascii="Georgia" w:eastAsia="Times New Roman" w:hAnsi="Georgia" w:cs="Times New Roman"/>
          <w:sz w:val="24"/>
          <w:szCs w:val="24"/>
          <w:highlight w:val="cyan"/>
          <w:lang w:eastAsia="en-GB"/>
        </w:rPr>
        <w:t>§ 4.14 (1980)</w:t>
      </w:r>
      <w:r w:rsidRPr="00D30766">
        <w:rPr>
          <w:rFonts w:ascii="Georgia" w:eastAsia="Times New Roman" w:hAnsi="Georgia" w:cs="Times New Roman"/>
          <w:sz w:val="24"/>
          <w:szCs w:val="24"/>
          <w:lang w:eastAsia="en-GB"/>
        </w:rPr>
        <w:t>. Professor Robert S. Schoshinski in his text, </w:t>
      </w:r>
      <w:r w:rsidRPr="00D30766">
        <w:rPr>
          <w:rFonts w:ascii="Georgia" w:eastAsia="Times New Roman" w:hAnsi="Georgia" w:cs="Times New Roman"/>
          <w:i/>
          <w:iCs/>
          <w:sz w:val="24"/>
          <w:szCs w:val="24"/>
          <w:lang w:eastAsia="en-GB"/>
        </w:rPr>
        <w:t>American Law of Landlord Tenant, </w:t>
      </w:r>
      <w:r w:rsidRPr="00D30766">
        <w:rPr>
          <w:rFonts w:ascii="Georgia" w:eastAsia="Times New Roman" w:hAnsi="Georgia" w:cs="Times New Roman"/>
          <w:sz w:val="24"/>
          <w:szCs w:val="24"/>
          <w:lang w:eastAsia="en-GB"/>
        </w:rPr>
        <w:t xml:space="preserve">states that the common law rule, which imposes no duty (absent an agreement or statute) on the landlord to protect a tenant from a third party’s </w:t>
      </w:r>
      <w:r w:rsidRPr="00D30766">
        <w:rPr>
          <w:rFonts w:ascii="Georgia" w:eastAsia="Times New Roman" w:hAnsi="Georgia" w:cs="Times New Roman"/>
          <w:sz w:val="24"/>
          <w:szCs w:val="24"/>
          <w:lang w:eastAsia="en-GB"/>
        </w:rPr>
        <w:lastRenderedPageBreak/>
        <w:t>criminal acts, has persisted for a variety of reasons. Citing cases from other jurisdictions, Professor Schoshinski stated those reasons as follows:</w:t>
      </w:r>
    </w:p>
    <w:p w14:paraId="406D158F" w14:textId="77777777" w:rsidR="00D30766" w:rsidRPr="00D30766" w:rsidRDefault="00D30766" w:rsidP="00D30766">
      <w:pPr>
        <w:spacing w:after="100" w:line="240" w:lineRule="auto"/>
        <w:rPr>
          <w:rFonts w:ascii="Georgia" w:eastAsia="Times New Roman" w:hAnsi="Georgia" w:cs="Times New Roman"/>
          <w:color w:val="004FB3"/>
          <w:sz w:val="24"/>
          <w:szCs w:val="24"/>
          <w:lang w:eastAsia="en-GB"/>
        </w:rPr>
      </w:pPr>
      <w:r w:rsidRPr="00D30766">
        <w:rPr>
          <w:rFonts w:ascii="Georgia" w:eastAsia="Times New Roman" w:hAnsi="Georgia" w:cs="Times New Roman"/>
          <w:color w:val="004FB3"/>
          <w:sz w:val="24"/>
          <w:szCs w:val="24"/>
          <w:lang w:eastAsia="en-GB"/>
        </w:rPr>
        <w:t>Judicial reluctance to tamper with the common law concept of the landlord-tenant relationship, the notion that the act of a third person in committing an intentional tort or crime is a superseding cause of harm to another . . . ; the often times difficult problem of determining foreseeability of criminal acts; the vagueness of the standard which the landlord must meet; the economic consequences of the imposition of the duty; and the conflict with public policy allocating the duty of protecting citizens from criminal acts to the government rather than the private sector.</w:t>
      </w:r>
    </w:p>
    <w:p w14:paraId="406D1590" w14:textId="77777777" w:rsidR="00D30766" w:rsidRPr="00D30766" w:rsidRDefault="005C34B3" w:rsidP="00D30766">
      <w:pPr>
        <w:spacing w:before="100" w:beforeAutospacing="1" w:after="225" w:line="240" w:lineRule="auto"/>
        <w:rPr>
          <w:rFonts w:ascii="Georgia" w:eastAsia="Times New Roman" w:hAnsi="Georgia" w:cs="Times New Roman"/>
          <w:sz w:val="24"/>
          <w:szCs w:val="24"/>
          <w:lang w:eastAsia="en-GB"/>
        </w:rPr>
      </w:pPr>
      <w:hyperlink r:id="rId16" w:history="1">
        <w:r w:rsidR="00D30766" w:rsidRPr="00D30766">
          <w:rPr>
            <w:rFonts w:ascii="Georgia" w:eastAsia="Times New Roman" w:hAnsi="Georgia" w:cs="Times New Roman"/>
            <w:i/>
            <w:iCs/>
            <w:color w:val="007BFF"/>
            <w:sz w:val="24"/>
            <w:szCs w:val="24"/>
            <w:lang w:eastAsia="en-GB"/>
          </w:rPr>
          <w:t>Id.</w:t>
        </w:r>
      </w:hyperlink>
    </w:p>
    <w:p w14:paraId="406D1591" w14:textId="12640A02" w:rsidR="00D30766" w:rsidRPr="00D30766" w:rsidRDefault="00D30766" w:rsidP="00D30766">
      <w:pPr>
        <w:spacing w:before="100" w:beforeAutospacing="1" w:after="225" w:line="240" w:lineRule="auto"/>
        <w:rPr>
          <w:rFonts w:ascii="Georgia" w:eastAsia="Times New Roman" w:hAnsi="Georgia" w:cs="Times New Roman"/>
          <w:sz w:val="24"/>
          <w:szCs w:val="24"/>
          <w:lang w:eastAsia="en-GB"/>
        </w:rPr>
      </w:pPr>
      <w:r w:rsidRPr="00B26B51">
        <w:rPr>
          <w:rFonts w:ascii="Georgia" w:eastAsia="Times New Roman" w:hAnsi="Georgia" w:cs="Times New Roman"/>
          <w:sz w:val="24"/>
          <w:szCs w:val="24"/>
          <w:highlight w:val="green"/>
          <w:lang w:eastAsia="en-GB"/>
        </w:rPr>
        <w:t>For more than sixty years, this court, when reviewing landlord/tenant cases, has seemed content to adhere to the general rule and common law, and has consistently imposed no legal obligation upon a landlord for a tenant’s injury on the premises unless a duty is imposed by statute or agreement. No </w:t>
      </w:r>
      <w:r w:rsidRPr="00B26B51">
        <w:rPr>
          <w:rFonts w:ascii="Georgia" w:eastAsia="Times New Roman" w:hAnsi="Georgia" w:cs="Times New Roman"/>
          <w:i/>
          <w:iCs/>
          <w:color w:val="979797"/>
          <w:sz w:val="19"/>
          <w:szCs w:val="19"/>
          <w:highlight w:val="green"/>
          <w:lang w:eastAsia="en-GB"/>
        </w:rPr>
        <w:t>*122</w:t>
      </w:r>
      <w:r w:rsidRPr="00B26B51">
        <w:rPr>
          <w:rFonts w:ascii="Georgia" w:eastAsia="Times New Roman" w:hAnsi="Georgia" w:cs="Times New Roman"/>
          <w:sz w:val="24"/>
          <w:szCs w:val="24"/>
          <w:highlight w:val="green"/>
          <w:lang w:eastAsia="en-GB"/>
        </w:rPr>
        <w:t>sound reason is given here to depart from it. Certainly, no Arkansas statute has been enacted imposing a duty upon a landlord to protect a tenant from a third party’s criminal acts. Nor has the parties’ lease agreement here imposed a duty upon the landlords, the Sweetsers, to protect tenant Bartley in these circumstances. The Sweetsers provided a lock for Bartley’s door. Concerning the purpose of the lease terms prohibiting additional locks, this provision merely assured the Sweetsers access to tenant premises during reasonable hours in order to make an inspection or necessary repairs. While Bartley would like to make more out of these lease terms involving locks, the Sweetsers simply undertook no responsibility to provide any security or protection against possible criminal acts of third parties. In sum, a landlord, under Arkansas law, is not the insurer of the safety of tenants or others upon the premises. And, while circumstances could arise under the terms of a lease between a landlord and tenant so as to impose a duty, those circumstances do not exist in this case.</w:t>
      </w:r>
    </w:p>
    <w:p w14:paraId="406D1592" w14:textId="214AD914" w:rsidR="00D30766" w:rsidRPr="00D30766" w:rsidRDefault="00D30766" w:rsidP="00D30766">
      <w:pPr>
        <w:spacing w:before="100" w:beforeAutospacing="1" w:after="225" w:line="240" w:lineRule="auto"/>
        <w:rPr>
          <w:rFonts w:ascii="Georgia" w:eastAsia="Times New Roman" w:hAnsi="Georgia" w:cs="Times New Roman"/>
          <w:sz w:val="24"/>
          <w:szCs w:val="24"/>
          <w:lang w:eastAsia="en-GB"/>
        </w:rPr>
      </w:pPr>
      <w:r w:rsidRPr="00B26B51">
        <w:rPr>
          <w:rFonts w:ascii="Georgia" w:eastAsia="Times New Roman" w:hAnsi="Georgia" w:cs="Times New Roman"/>
          <w:sz w:val="24"/>
          <w:szCs w:val="24"/>
          <w:lang w:eastAsia="en-GB"/>
        </w:rPr>
        <w:t xml:space="preserve">Because the question of whether a duty is owed is always a question of law and never one for the jury, </w:t>
      </w:r>
      <w:r w:rsidRPr="00B26B51">
        <w:rPr>
          <w:rFonts w:ascii="Georgia" w:eastAsia="Times New Roman" w:hAnsi="Georgia" w:cs="Times New Roman"/>
          <w:sz w:val="24"/>
          <w:szCs w:val="24"/>
          <w:highlight w:val="red"/>
          <w:lang w:eastAsia="en-GB"/>
        </w:rPr>
        <w:t>we uphold the trial court’s ruling granting summary judgment in the Sweetsers’ favor.</w:t>
      </w:r>
      <w:r w:rsidRPr="00D30766">
        <w:rPr>
          <w:rFonts w:ascii="Georgia" w:eastAsia="Times New Roman" w:hAnsi="Georgia" w:cs="Times New Roman"/>
          <w:sz w:val="24"/>
          <w:szCs w:val="24"/>
          <w:lang w:eastAsia="en-GB"/>
        </w:rPr>
        <w:t> </w:t>
      </w:r>
      <w:r w:rsidRPr="00B26B51">
        <w:rPr>
          <w:rFonts w:ascii="Georgia" w:eastAsia="Times New Roman" w:hAnsi="Georgia" w:cs="Times New Roman"/>
          <w:i/>
          <w:iCs/>
          <w:sz w:val="24"/>
          <w:szCs w:val="24"/>
          <w:highlight w:val="cyan"/>
          <w:lang w:eastAsia="en-GB"/>
        </w:rPr>
        <w:t>65th Center, Inc. </w:t>
      </w:r>
      <w:r w:rsidRPr="00B26B51">
        <w:rPr>
          <w:rFonts w:ascii="Georgia" w:eastAsia="Times New Roman" w:hAnsi="Georgia" w:cs="Times New Roman"/>
          <w:sz w:val="24"/>
          <w:szCs w:val="24"/>
          <w:highlight w:val="cyan"/>
          <w:lang w:eastAsia="en-GB"/>
        </w:rPr>
        <w:t>v. </w:t>
      </w:r>
      <w:r w:rsidRPr="00B26B51">
        <w:rPr>
          <w:rFonts w:ascii="Georgia" w:eastAsia="Times New Roman" w:hAnsi="Georgia" w:cs="Times New Roman"/>
          <w:i/>
          <w:iCs/>
          <w:sz w:val="24"/>
          <w:szCs w:val="24"/>
          <w:highlight w:val="cyan"/>
          <w:lang w:eastAsia="en-GB"/>
        </w:rPr>
        <w:t>Copeland, </w:t>
      </w:r>
      <w:hyperlink r:id="rId17" w:history="1">
        <w:r w:rsidRPr="00B26B51">
          <w:rPr>
            <w:rFonts w:ascii="Georgia" w:eastAsia="Times New Roman" w:hAnsi="Georgia" w:cs="Times New Roman"/>
            <w:color w:val="007BFF"/>
            <w:sz w:val="24"/>
            <w:szCs w:val="24"/>
            <w:highlight w:val="cyan"/>
            <w:lang w:eastAsia="en-GB"/>
          </w:rPr>
          <w:t>308 Ark. 456</w:t>
        </w:r>
      </w:hyperlink>
      <w:r w:rsidRPr="00B26B51">
        <w:rPr>
          <w:rFonts w:ascii="Georgia" w:eastAsia="Times New Roman" w:hAnsi="Georgia" w:cs="Times New Roman"/>
          <w:sz w:val="24"/>
          <w:szCs w:val="24"/>
          <w:highlight w:val="cyan"/>
          <w:lang w:eastAsia="en-GB"/>
        </w:rPr>
        <w:t>, </w:t>
      </w:r>
      <w:r w:rsidRPr="00B26B51">
        <w:rPr>
          <w:rFonts w:ascii="Georgia" w:eastAsia="Times New Roman" w:hAnsi="Georgia" w:cs="Times New Roman"/>
          <w:color w:val="007BFF"/>
          <w:sz w:val="24"/>
          <w:szCs w:val="24"/>
          <w:highlight w:val="cyan"/>
          <w:lang w:eastAsia="en-GB"/>
        </w:rPr>
        <w:t>825 S.W.2d 574</w:t>
      </w:r>
      <w:r w:rsidRPr="00B26B51">
        <w:rPr>
          <w:rFonts w:ascii="Georgia" w:eastAsia="Times New Roman" w:hAnsi="Georgia" w:cs="Times New Roman"/>
          <w:sz w:val="24"/>
          <w:szCs w:val="24"/>
          <w:highlight w:val="cyan"/>
          <w:lang w:eastAsia="en-GB"/>
        </w:rPr>
        <w:t>.</w:t>
      </w:r>
      <w:r w:rsidRPr="00D30766">
        <w:rPr>
          <w:rFonts w:ascii="Georgia" w:eastAsia="Times New Roman" w:hAnsi="Georgia" w:cs="Times New Roman"/>
          <w:sz w:val="24"/>
          <w:szCs w:val="24"/>
          <w:lang w:eastAsia="en-GB"/>
        </w:rPr>
        <w:t xml:space="preserve"> </w:t>
      </w:r>
      <w:r w:rsidRPr="00B26B51">
        <w:rPr>
          <w:rFonts w:ascii="Georgia" w:eastAsia="Times New Roman" w:hAnsi="Georgia" w:cs="Times New Roman"/>
          <w:sz w:val="24"/>
          <w:szCs w:val="24"/>
          <w:highlight w:val="red"/>
          <w:lang w:eastAsia="en-GB"/>
        </w:rPr>
        <w:t>Therefore, we affirm.</w:t>
      </w:r>
    </w:p>
    <w:p w14:paraId="406D1593" w14:textId="77777777" w:rsidR="00D30766" w:rsidRPr="00D30766" w:rsidRDefault="00D30766" w:rsidP="00D30766">
      <w:pPr>
        <w:spacing w:before="100" w:beforeAutospacing="1" w:after="225" w:line="240" w:lineRule="auto"/>
        <w:rPr>
          <w:rFonts w:ascii="Georgia" w:eastAsia="Times New Roman" w:hAnsi="Georgia" w:cs="Times New Roman"/>
          <w:sz w:val="24"/>
          <w:szCs w:val="24"/>
          <w:lang w:eastAsia="en-GB"/>
        </w:rPr>
      </w:pPr>
      <w:r w:rsidRPr="00D30766">
        <w:rPr>
          <w:rFonts w:ascii="Georgia" w:eastAsia="Times New Roman" w:hAnsi="Georgia" w:cs="Times New Roman"/>
          <w:sz w:val="24"/>
          <w:szCs w:val="24"/>
          <w:lang w:eastAsia="en-GB"/>
        </w:rPr>
        <w:t>Newbern, J., concurs.</w:t>
      </w:r>
    </w:p>
    <w:p w14:paraId="406D1594" w14:textId="77777777" w:rsidR="00D30766" w:rsidRPr="00D30766" w:rsidRDefault="00D30766" w:rsidP="00D30766">
      <w:pPr>
        <w:spacing w:before="100" w:beforeAutospacing="1" w:after="225" w:line="240" w:lineRule="auto"/>
        <w:rPr>
          <w:rFonts w:ascii="Georgia" w:eastAsia="Times New Roman" w:hAnsi="Georgia" w:cs="Times New Roman"/>
          <w:color w:val="E878FF"/>
          <w:sz w:val="24"/>
          <w:szCs w:val="24"/>
          <w:lang w:eastAsia="en-GB"/>
        </w:rPr>
      </w:pPr>
      <w:r w:rsidRPr="00D30766">
        <w:rPr>
          <w:rFonts w:ascii="Georgia" w:eastAsia="Times New Roman" w:hAnsi="Georgia" w:cs="Times New Roman"/>
          <w:color w:val="E878FF"/>
          <w:sz w:val="24"/>
          <w:szCs w:val="24"/>
          <w:lang w:eastAsia="en-GB"/>
        </w:rPr>
        <w:t>David Newbern, Justice,</w:t>
      </w:r>
    </w:p>
    <w:p w14:paraId="406D1595" w14:textId="141C74D9" w:rsidR="00D30766" w:rsidRPr="00D30766" w:rsidRDefault="00D30766" w:rsidP="00D30766">
      <w:pPr>
        <w:spacing w:before="100" w:beforeAutospacing="1" w:after="225" w:line="240" w:lineRule="auto"/>
        <w:rPr>
          <w:rFonts w:ascii="Georgia" w:eastAsia="Times New Roman" w:hAnsi="Georgia" w:cs="Times New Roman"/>
          <w:sz w:val="24"/>
          <w:szCs w:val="24"/>
          <w:lang w:eastAsia="en-GB"/>
        </w:rPr>
      </w:pPr>
      <w:r w:rsidRPr="00D30766">
        <w:rPr>
          <w:rFonts w:ascii="Georgia" w:eastAsia="Times New Roman" w:hAnsi="Georgia" w:cs="Times New Roman"/>
          <w:sz w:val="24"/>
          <w:szCs w:val="24"/>
          <w:lang w:eastAsia="en-GB"/>
        </w:rPr>
        <w:t>concurring. Our landlord-tenant law does indeed place no duty on a landlord to protect a tenant from a criminal act by a third party. When, however, there is a relationship between parties in which one of them acts so as to imply the assumption of a duty to act without negligence toward the other, then negligence becomes an issue. </w:t>
      </w:r>
      <w:r w:rsidRPr="00D30766">
        <w:rPr>
          <w:rFonts w:ascii="Georgia" w:eastAsia="Times New Roman" w:hAnsi="Georgia" w:cs="Times New Roman"/>
          <w:i/>
          <w:iCs/>
          <w:sz w:val="24"/>
          <w:szCs w:val="24"/>
          <w:lang w:eastAsia="en-GB"/>
        </w:rPr>
        <w:t>Keck </w:t>
      </w:r>
      <w:r w:rsidRPr="00D30766">
        <w:rPr>
          <w:rFonts w:ascii="Georgia" w:eastAsia="Times New Roman" w:hAnsi="Georgia" w:cs="Times New Roman"/>
          <w:sz w:val="24"/>
          <w:szCs w:val="24"/>
          <w:lang w:eastAsia="en-GB"/>
        </w:rPr>
        <w:t>v. </w:t>
      </w:r>
      <w:r w:rsidRPr="00D30766">
        <w:rPr>
          <w:rFonts w:ascii="Georgia" w:eastAsia="Times New Roman" w:hAnsi="Georgia" w:cs="Times New Roman"/>
          <w:i/>
          <w:iCs/>
          <w:sz w:val="24"/>
          <w:szCs w:val="24"/>
          <w:lang w:eastAsia="en-GB"/>
        </w:rPr>
        <w:t>American Employment Agency, Inc., </w:t>
      </w:r>
      <w:hyperlink r:id="rId18" w:history="1">
        <w:r w:rsidRPr="00D30766">
          <w:rPr>
            <w:rFonts w:ascii="Georgia" w:eastAsia="Times New Roman" w:hAnsi="Georgia" w:cs="Times New Roman"/>
            <w:color w:val="007BFF"/>
            <w:sz w:val="24"/>
            <w:szCs w:val="24"/>
            <w:lang w:eastAsia="en-GB"/>
          </w:rPr>
          <w:t>279 Ark. 294</w:t>
        </w:r>
      </w:hyperlink>
      <w:r w:rsidRPr="00D30766">
        <w:rPr>
          <w:rFonts w:ascii="Georgia" w:eastAsia="Times New Roman" w:hAnsi="Georgia" w:cs="Times New Roman"/>
          <w:sz w:val="24"/>
          <w:szCs w:val="24"/>
          <w:lang w:eastAsia="en-GB"/>
        </w:rPr>
        <w:t>, </w:t>
      </w:r>
      <w:r w:rsidRPr="00D30766">
        <w:rPr>
          <w:rFonts w:ascii="Georgia" w:eastAsia="Times New Roman" w:hAnsi="Georgia" w:cs="Times New Roman"/>
          <w:color w:val="007BFF"/>
          <w:sz w:val="24"/>
          <w:szCs w:val="24"/>
          <w:lang w:eastAsia="en-GB"/>
        </w:rPr>
        <w:t>652 S.W.2d 2</w:t>
      </w:r>
      <w:r w:rsidRPr="00D30766">
        <w:rPr>
          <w:rFonts w:ascii="Georgia" w:eastAsia="Times New Roman" w:hAnsi="Georgia" w:cs="Times New Roman"/>
          <w:sz w:val="24"/>
          <w:szCs w:val="24"/>
          <w:lang w:eastAsia="en-GB"/>
        </w:rPr>
        <w:t> (1983). I see no reason why a landlord should be immune from such a rule. A landlord’s relationship with a tenant is just as “special” as that of an employment agency’s relationship with its client. Both are based on contract.</w:t>
      </w:r>
    </w:p>
    <w:p w14:paraId="406D1596" w14:textId="77777777" w:rsidR="00D30766" w:rsidRPr="00D30766" w:rsidRDefault="00D30766" w:rsidP="00D30766">
      <w:pPr>
        <w:spacing w:before="100" w:beforeAutospacing="1" w:after="225" w:line="240" w:lineRule="auto"/>
        <w:rPr>
          <w:rFonts w:ascii="Georgia" w:eastAsia="Times New Roman" w:hAnsi="Georgia" w:cs="Times New Roman"/>
          <w:sz w:val="24"/>
          <w:szCs w:val="24"/>
          <w:lang w:eastAsia="en-GB"/>
        </w:rPr>
      </w:pPr>
      <w:r w:rsidRPr="00D30766">
        <w:rPr>
          <w:rFonts w:ascii="Georgia" w:eastAsia="Times New Roman" w:hAnsi="Georgia" w:cs="Times New Roman"/>
          <w:sz w:val="24"/>
          <w:szCs w:val="24"/>
          <w:lang w:eastAsia="en-GB"/>
        </w:rPr>
        <w:t>In this case, however, even assuming the landlords were negligent in not providing greater security, we could not reverse. It would not have mattered what sort of lock or locks were on the door because Ms. Bartley opened it. We could not say any supposed negligence on the part of the landlord constituted of the </w:t>
      </w:r>
      <w:hyperlink r:id="rId19" w:anchor="p123" w:history="1">
        <w:r w:rsidRPr="00D30766">
          <w:rPr>
            <w:rFonts w:ascii="Georgia" w:eastAsia="Times New Roman" w:hAnsi="Georgia" w:cs="Times New Roman"/>
            <w:i/>
            <w:iCs/>
            <w:color w:val="979797"/>
            <w:sz w:val="19"/>
            <w:szCs w:val="19"/>
            <w:lang w:eastAsia="en-GB"/>
          </w:rPr>
          <w:t>*123</w:t>
        </w:r>
      </w:hyperlink>
      <w:r w:rsidRPr="00D30766">
        <w:rPr>
          <w:rFonts w:ascii="Georgia" w:eastAsia="Times New Roman" w:hAnsi="Georgia" w:cs="Times New Roman"/>
          <w:sz w:val="24"/>
          <w:szCs w:val="24"/>
          <w:lang w:eastAsia="en-GB"/>
        </w:rPr>
        <w:t>failure to provide a dead bolt or other lock more secure than the push-button type was the proximate cause of the injury.</w:t>
      </w:r>
    </w:p>
    <w:p w14:paraId="406D1597" w14:textId="77777777" w:rsidR="00D30766" w:rsidRPr="00D30766" w:rsidRDefault="00D30766" w:rsidP="00D30766">
      <w:pPr>
        <w:spacing w:before="100" w:beforeAutospacing="1" w:after="225" w:line="240" w:lineRule="auto"/>
        <w:rPr>
          <w:rFonts w:ascii="Georgia" w:eastAsia="Times New Roman" w:hAnsi="Georgia" w:cs="Times New Roman"/>
          <w:sz w:val="24"/>
          <w:szCs w:val="24"/>
          <w:lang w:eastAsia="en-GB"/>
        </w:rPr>
      </w:pPr>
      <w:r w:rsidRPr="00D30766">
        <w:rPr>
          <w:rFonts w:ascii="Georgia" w:eastAsia="Times New Roman" w:hAnsi="Georgia" w:cs="Times New Roman"/>
          <w:sz w:val="24"/>
          <w:szCs w:val="24"/>
          <w:lang w:eastAsia="en-GB"/>
        </w:rPr>
        <w:t>Negligence is not a static concept. That which was not characterized as negligence 60 years ago might be so characterized today in view of changed conditions. In a proper case, we should be willing to examine whether there is anything about the landlord-tenant relationship which would preclude us from holding that a landlord might be liable for demonstrable negligence causing injury to a tenant.</w:t>
      </w:r>
    </w:p>
    <w:p w14:paraId="406D1598" w14:textId="77777777" w:rsidR="00D30766" w:rsidRDefault="00D30766" w:rsidP="00D30766">
      <w:pPr>
        <w:spacing w:before="100" w:beforeAutospacing="1" w:after="225" w:line="240" w:lineRule="auto"/>
        <w:rPr>
          <w:rFonts w:ascii="Georgia" w:eastAsia="Times New Roman" w:hAnsi="Georgia" w:cs="Times New Roman"/>
          <w:b/>
          <w:sz w:val="32"/>
          <w:szCs w:val="24"/>
          <w:lang w:eastAsia="en-GB"/>
        </w:rPr>
      </w:pPr>
    </w:p>
    <w:p w14:paraId="406D1599" w14:textId="77777777" w:rsidR="00D30766" w:rsidRPr="009456D4" w:rsidRDefault="00D30766" w:rsidP="00D30766">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06D159A" w14:textId="77777777" w:rsidR="00B26B51" w:rsidRPr="00B26B51" w:rsidRDefault="00B26B51" w:rsidP="00B26B51">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T</w:t>
      </w:r>
      <w:r w:rsidRPr="00B26B51">
        <w:rPr>
          <w:rFonts w:ascii="Georgia" w:eastAsia="Times New Roman" w:hAnsi="Georgia" w:cs="Times New Roman"/>
          <w:sz w:val="28"/>
          <w:szCs w:val="24"/>
          <w:lang w:eastAsia="en-GB"/>
        </w:rPr>
        <w:t xml:space="preserve">wo men entered the apartment of </w:t>
      </w:r>
      <w:r>
        <w:rPr>
          <w:rFonts w:ascii="Georgia" w:eastAsia="Times New Roman" w:hAnsi="Georgia" w:cs="Times New Roman"/>
          <w:sz w:val="28"/>
          <w:szCs w:val="24"/>
          <w:lang w:eastAsia="en-GB"/>
        </w:rPr>
        <w:t>plaintiff, a college student,</w:t>
      </w:r>
      <w:r w:rsidRPr="00B26B51">
        <w:rPr>
          <w:rFonts w:ascii="Georgia" w:eastAsia="Times New Roman" w:hAnsi="Georgia" w:cs="Times New Roman"/>
          <w:sz w:val="28"/>
          <w:szCs w:val="24"/>
          <w:lang w:eastAsia="en-GB"/>
        </w:rPr>
        <w:t xml:space="preserve"> and raped her. </w:t>
      </w:r>
      <w:r>
        <w:rPr>
          <w:rFonts w:ascii="Georgia" w:eastAsia="Times New Roman" w:hAnsi="Georgia" w:cs="Times New Roman"/>
          <w:sz w:val="28"/>
          <w:szCs w:val="24"/>
          <w:lang w:eastAsia="en-GB"/>
        </w:rPr>
        <w:t>O</w:t>
      </w:r>
      <w:r w:rsidRPr="00B26B51">
        <w:rPr>
          <w:rFonts w:ascii="Georgia" w:eastAsia="Times New Roman" w:hAnsi="Georgia" w:cs="Times New Roman"/>
          <w:sz w:val="28"/>
          <w:szCs w:val="24"/>
          <w:lang w:eastAsia="en-GB"/>
        </w:rPr>
        <w:t xml:space="preserve">ne of the men who raped her was a tenant in the same apartment complex which was owned by defendants. The trial court granted a motion for summary judgment in favour of defendants on the basis that the landlord owes no duty to protect a tenant from a third party’s criminal acts. The appellate court affirmed. </w:t>
      </w:r>
    </w:p>
    <w:p w14:paraId="406D159B" w14:textId="77777777" w:rsidR="003C7770" w:rsidRDefault="003C7770"/>
    <w:sectPr w:rsidR="003C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0766"/>
    <w:rsid w:val="0036748D"/>
    <w:rsid w:val="003C7770"/>
    <w:rsid w:val="005C34B3"/>
    <w:rsid w:val="00B26B51"/>
    <w:rsid w:val="00D30766"/>
    <w:rsid w:val="00D57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157E"/>
  <w15:docId w15:val="{2B9F7C48-C21D-492A-9843-0E6EA7EF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07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76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D30766"/>
  </w:style>
  <w:style w:type="character" w:customStyle="1" w:styleId="court-name">
    <w:name w:val="court-name"/>
    <w:basedOn w:val="DefaultParagraphFont"/>
    <w:rsid w:val="00D30766"/>
  </w:style>
  <w:style w:type="character" w:customStyle="1" w:styleId="docket-number">
    <w:name w:val="docket-number"/>
    <w:basedOn w:val="DefaultParagraphFont"/>
    <w:rsid w:val="00D30766"/>
  </w:style>
  <w:style w:type="character" w:customStyle="1" w:styleId="case-name-v">
    <w:name w:val="case-name-v"/>
    <w:basedOn w:val="DefaultParagraphFont"/>
    <w:rsid w:val="00D30766"/>
  </w:style>
  <w:style w:type="paragraph" w:customStyle="1" w:styleId="citation">
    <w:name w:val="citation"/>
    <w:basedOn w:val="Normal"/>
    <w:rsid w:val="00D307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D307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D307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30766"/>
    <w:rPr>
      <w:color w:val="0000FF"/>
      <w:u w:val="single"/>
    </w:rPr>
  </w:style>
  <w:style w:type="character" w:styleId="Emphasis">
    <w:name w:val="Emphasis"/>
    <w:basedOn w:val="DefaultParagraphFont"/>
    <w:uiPriority w:val="20"/>
    <w:qFormat/>
    <w:rsid w:val="00D30766"/>
    <w:rPr>
      <w:i/>
      <w:iCs/>
    </w:rPr>
  </w:style>
  <w:style w:type="paragraph" w:customStyle="1" w:styleId="author">
    <w:name w:val="author"/>
    <w:basedOn w:val="Normal"/>
    <w:rsid w:val="00D307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307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D3076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367379">
      <w:bodyDiv w:val="1"/>
      <w:marLeft w:val="0"/>
      <w:marRight w:val="0"/>
      <w:marTop w:val="0"/>
      <w:marBottom w:val="0"/>
      <w:divBdr>
        <w:top w:val="none" w:sz="0" w:space="0" w:color="auto"/>
        <w:left w:val="none" w:sz="0" w:space="0" w:color="auto"/>
        <w:bottom w:val="none" w:sz="0" w:space="0" w:color="auto"/>
        <w:right w:val="none" w:sz="0" w:space="0" w:color="auto"/>
      </w:divBdr>
      <w:divsChild>
        <w:div w:id="2003969270">
          <w:marLeft w:val="0"/>
          <w:marRight w:val="0"/>
          <w:marTop w:val="0"/>
          <w:marBottom w:val="0"/>
          <w:divBdr>
            <w:top w:val="none" w:sz="0" w:space="0" w:color="auto"/>
            <w:left w:val="none" w:sz="0" w:space="0" w:color="auto"/>
            <w:bottom w:val="none" w:sz="0" w:space="0" w:color="auto"/>
            <w:right w:val="none" w:sz="0" w:space="0" w:color="auto"/>
          </w:divBdr>
        </w:div>
        <w:div w:id="1903321100">
          <w:marLeft w:val="0"/>
          <w:marRight w:val="0"/>
          <w:marTop w:val="0"/>
          <w:marBottom w:val="0"/>
          <w:divBdr>
            <w:top w:val="none" w:sz="0" w:space="0" w:color="auto"/>
            <w:left w:val="none" w:sz="0" w:space="0" w:color="auto"/>
            <w:bottom w:val="none" w:sz="0" w:space="0" w:color="auto"/>
            <w:right w:val="none" w:sz="0" w:space="0" w:color="auto"/>
          </w:divBdr>
        </w:div>
        <w:div w:id="217741977">
          <w:marLeft w:val="0"/>
          <w:marRight w:val="0"/>
          <w:marTop w:val="0"/>
          <w:marBottom w:val="0"/>
          <w:divBdr>
            <w:top w:val="none" w:sz="0" w:space="0" w:color="auto"/>
            <w:left w:val="none" w:sz="0" w:space="0" w:color="auto"/>
            <w:bottom w:val="none" w:sz="0" w:space="0" w:color="auto"/>
            <w:right w:val="none" w:sz="0" w:space="0" w:color="auto"/>
          </w:divBdr>
          <w:divsChild>
            <w:div w:id="1554929030">
              <w:marLeft w:val="1417"/>
              <w:marRight w:val="0"/>
              <w:marTop w:val="0"/>
              <w:marBottom w:val="0"/>
              <w:divBdr>
                <w:top w:val="none" w:sz="0" w:space="0" w:color="auto"/>
                <w:left w:val="none" w:sz="0" w:space="0" w:color="auto"/>
                <w:bottom w:val="none" w:sz="0" w:space="0" w:color="auto"/>
                <w:right w:val="none" w:sz="0" w:space="0" w:color="auto"/>
              </w:divBdr>
            </w:div>
          </w:divsChild>
        </w:div>
        <w:div w:id="182415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289/507/" TargetMode="External"/><Relationship Id="rId13" Type="http://schemas.openxmlformats.org/officeDocument/2006/relationships/hyperlink" Target="https://cite.case.law/ark/308/456/" TargetMode="External"/><Relationship Id="rId18" Type="http://schemas.openxmlformats.org/officeDocument/2006/relationships/hyperlink" Target="https://cite.case.law/ark/279/294/"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cite.case.law/ark/299/221/" TargetMode="External"/><Relationship Id="rId12" Type="http://schemas.openxmlformats.org/officeDocument/2006/relationships/hyperlink" Target="https://cite.case.law/ark/319/117/" TargetMode="External"/><Relationship Id="rId17" Type="http://schemas.openxmlformats.org/officeDocument/2006/relationships/hyperlink" Target="https://cite.case.law/ark/308/456/" TargetMode="External"/><Relationship Id="rId2" Type="http://schemas.openxmlformats.org/officeDocument/2006/relationships/settings" Target="settings.xml"/><Relationship Id="rId16" Type="http://schemas.openxmlformats.org/officeDocument/2006/relationships/hyperlink" Target="https://cite.case.law/f2d/439/477/"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ark/279/294/" TargetMode="External"/><Relationship Id="rId11" Type="http://schemas.openxmlformats.org/officeDocument/2006/relationships/hyperlink" Target="https://cite.case.law/citations/?q=399%20N.E.2d%20596" TargetMode="External"/><Relationship Id="rId5" Type="http://schemas.openxmlformats.org/officeDocument/2006/relationships/hyperlink" Target="https://cite.case.law/f-supp/617/646/" TargetMode="External"/><Relationship Id="rId15" Type="http://schemas.openxmlformats.org/officeDocument/2006/relationships/hyperlink" Target="https://cite.case.law/citations/?q=141%20App.%20D.C.%20379" TargetMode="External"/><Relationship Id="rId10" Type="http://schemas.openxmlformats.org/officeDocument/2006/relationships/hyperlink" Target="https://cite.case.law/citations/?q=53%20S.W.2d%20987" TargetMode="External"/><Relationship Id="rId19" Type="http://schemas.openxmlformats.org/officeDocument/2006/relationships/hyperlink" Target="https://cite.case.law/ark/319/117/" TargetMode="External"/><Relationship Id="rId4" Type="http://schemas.openxmlformats.org/officeDocument/2006/relationships/hyperlink" Target="https://cite.case.law/ark/319/117/" TargetMode="External"/><Relationship Id="rId9" Type="http://schemas.openxmlformats.org/officeDocument/2006/relationships/hyperlink" Target="https://cite.case.law/ark/246/528/" TargetMode="External"/><Relationship Id="rId14" Type="http://schemas.openxmlformats.org/officeDocument/2006/relationships/hyperlink" Target="https://cite.case.law/f2d/439/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2024-09-17T13:41:00Z</dcterms:created>
  <dcterms:modified xsi:type="dcterms:W3CDTF">2024-09-17T13:41:00Z</dcterms:modified>
</cp:coreProperties>
</file>