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19A2E" w14:textId="77777777" w:rsidR="00214103" w:rsidRPr="00214103" w:rsidRDefault="00214103" w:rsidP="00214103">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14103">
        <w:rPr>
          <w:rFonts w:ascii="Times New Roman" w:eastAsia="Times New Roman" w:hAnsi="Times New Roman" w:cs="Times New Roman"/>
          <w:b/>
          <w:bCs/>
          <w:color w:val="2F2F2F"/>
          <w:spacing w:val="3"/>
          <w:kern w:val="36"/>
          <w:sz w:val="35"/>
          <w:szCs w:val="35"/>
          <w:lang w:eastAsia="en-GB"/>
        </w:rPr>
        <w:t>Lacy v. Flake &amp; Kelley Management, Inc., 366 Ark. 365, 235 S.W.3d 894 (2006)</w:t>
      </w:r>
    </w:p>
    <w:p w14:paraId="48E19A2F" w14:textId="77777777" w:rsidR="00214103" w:rsidRPr="00214103" w:rsidRDefault="00214103" w:rsidP="00214103">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14103">
        <w:rPr>
          <w:rFonts w:ascii="Times New Roman" w:eastAsia="Times New Roman" w:hAnsi="Times New Roman" w:cs="Times New Roman"/>
          <w:color w:val="2F2F2F"/>
          <w:spacing w:val="3"/>
          <w:sz w:val="27"/>
          <w:szCs w:val="27"/>
          <w:lang w:eastAsia="en-GB"/>
        </w:rPr>
        <w:t>May 18, 2006 · Arkansas Supreme Court · 05-827</w:t>
      </w:r>
    </w:p>
    <w:p w14:paraId="48E19A30" w14:textId="77777777" w:rsidR="00214103" w:rsidRPr="00214103" w:rsidRDefault="00214103" w:rsidP="00214103">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14103">
        <w:rPr>
          <w:rFonts w:ascii="Times New Roman" w:eastAsia="Times New Roman" w:hAnsi="Times New Roman" w:cs="Times New Roman"/>
          <w:color w:val="2F2F2F"/>
          <w:spacing w:val="3"/>
          <w:sz w:val="27"/>
          <w:szCs w:val="27"/>
          <w:lang w:eastAsia="en-GB"/>
        </w:rPr>
        <w:t>366 Ark. 365, 235 S.W.3d 894</w:t>
      </w:r>
    </w:p>
    <w:p w14:paraId="48E19A31" w14:textId="77777777" w:rsidR="00214103" w:rsidRPr="00214103" w:rsidRDefault="00214103" w:rsidP="00214103">
      <w:pPr>
        <w:shd w:val="clear" w:color="auto" w:fill="FFFFFF"/>
        <w:spacing w:after="0" w:line="240" w:lineRule="auto"/>
        <w:rPr>
          <w:rFonts w:ascii="Georgia" w:eastAsia="Times New Roman" w:hAnsi="Georgia" w:cs="Arial"/>
          <w:color w:val="2F2F2F"/>
          <w:spacing w:val="3"/>
          <w:sz w:val="30"/>
          <w:szCs w:val="30"/>
          <w:lang w:eastAsia="en-GB"/>
        </w:rPr>
      </w:pPr>
      <w:r w:rsidRPr="00214103">
        <w:rPr>
          <w:rFonts w:ascii="Georgia" w:eastAsia="Times New Roman" w:hAnsi="Georgia" w:cs="Arial"/>
          <w:color w:val="2F2F2F"/>
          <w:spacing w:val="3"/>
          <w:sz w:val="30"/>
          <w:szCs w:val="30"/>
          <w:lang w:eastAsia="en-GB"/>
        </w:rPr>
        <w:t>Monica LACY and Jackie Lacy</w:t>
      </w:r>
      <w:r w:rsidRPr="00214103">
        <w:rPr>
          <w:rFonts w:ascii="Georgia" w:eastAsia="Times New Roman" w:hAnsi="Georgia" w:cs="Arial"/>
          <w:i/>
          <w:iCs/>
          <w:color w:val="2F2F2F"/>
          <w:spacing w:val="3"/>
          <w:sz w:val="30"/>
          <w:szCs w:val="30"/>
          <w:lang w:eastAsia="en-GB"/>
        </w:rPr>
        <w:t>v.</w:t>
      </w:r>
      <w:r w:rsidRPr="00214103">
        <w:rPr>
          <w:rFonts w:ascii="Georgia" w:eastAsia="Times New Roman" w:hAnsi="Georgia" w:cs="Arial"/>
          <w:color w:val="2F2F2F"/>
          <w:spacing w:val="3"/>
          <w:sz w:val="30"/>
          <w:szCs w:val="30"/>
          <w:lang w:eastAsia="en-GB"/>
        </w:rPr>
        <w:t>FLAKE &amp; KELLEY MANAGEMENT, INC., Mercantile Bank, Firstar Bank, U.S. Bank, National Association</w:t>
      </w:r>
    </w:p>
    <w:p w14:paraId="48E19A32" w14:textId="77777777" w:rsidR="00214103" w:rsidRPr="00214103" w:rsidRDefault="00214103" w:rsidP="00214103">
      <w:pPr>
        <w:spacing w:before="100" w:beforeAutospacing="1" w:after="100" w:afterAutospacing="1"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235 S.W.3d 894</w:t>
      </w:r>
    </w:p>
    <w:p w14:paraId="48E19A33" w14:textId="77777777" w:rsidR="00214103" w:rsidRPr="00214103" w:rsidRDefault="00214103" w:rsidP="00214103">
      <w:pPr>
        <w:spacing w:before="100" w:beforeAutospacing="1" w:after="100" w:afterAutospacing="1"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Supreme Court of Arkansas</w:t>
      </w:r>
    </w:p>
    <w:p w14:paraId="48E19A34" w14:textId="6AC42697" w:rsidR="00214103" w:rsidRPr="00214103" w:rsidRDefault="00214103" w:rsidP="00214103">
      <w:pPr>
        <w:spacing w:before="100" w:beforeAutospacing="1" w:after="0" w:afterAutospacing="1"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[Rehearing denied June 22, 2006.</w:t>
      </w:r>
      <w:r w:rsidRPr="00214103">
        <w:rPr>
          <w:rFonts w:ascii="Georgia" w:eastAsia="Times New Roman" w:hAnsi="Georgia" w:cs="Times New Roman"/>
          <w:b/>
          <w:bCs/>
          <w:color w:val="E878FF"/>
          <w:sz w:val="24"/>
          <w:szCs w:val="24"/>
          <w:vertAlign w:val="superscript"/>
          <w:lang w:eastAsia="en-GB"/>
        </w:rPr>
        <w:t>*</w:t>
      </w:r>
      <w:r w:rsidRPr="00214103">
        <w:rPr>
          <w:rFonts w:ascii="Georgia" w:eastAsia="Times New Roman" w:hAnsi="Georgia" w:cs="Times New Roman"/>
          <w:sz w:val="24"/>
          <w:szCs w:val="24"/>
          <w:lang w:eastAsia="en-GB"/>
        </w:rPr>
        <w:t>]</w:t>
      </w:r>
    </w:p>
    <w:p w14:paraId="48E19A35" w14:textId="77777777" w:rsidR="00214103" w:rsidRPr="00214103" w:rsidRDefault="00BF7995" w:rsidP="00214103">
      <w:pPr>
        <w:shd w:val="clear" w:color="auto" w:fill="F7F7F9"/>
        <w:spacing w:before="100" w:beforeAutospacing="1" w:after="0" w:line="240" w:lineRule="auto"/>
        <w:rPr>
          <w:rFonts w:ascii="Georgia" w:eastAsia="Times New Roman" w:hAnsi="Georgia" w:cs="Times New Roman"/>
          <w:sz w:val="24"/>
          <w:szCs w:val="24"/>
          <w:lang w:eastAsia="en-GB"/>
        </w:rPr>
      </w:pPr>
      <w:hyperlink r:id="rId4" w:anchor="p366" w:history="1">
        <w:r w:rsidR="00214103" w:rsidRPr="00214103">
          <w:rPr>
            <w:rFonts w:ascii="Georgia" w:eastAsia="Times New Roman" w:hAnsi="Georgia" w:cs="Times New Roman"/>
            <w:i/>
            <w:iCs/>
            <w:color w:val="979797"/>
            <w:sz w:val="19"/>
            <w:szCs w:val="19"/>
            <w:lang w:eastAsia="en-GB"/>
          </w:rPr>
          <w:t>*366</w:t>
        </w:r>
      </w:hyperlink>
      <w:r w:rsidR="00214103" w:rsidRPr="00214103">
        <w:rPr>
          <w:rFonts w:ascii="Georgia" w:eastAsia="Times New Roman" w:hAnsi="Georgia" w:cs="Times New Roman"/>
          <w:sz w:val="24"/>
          <w:szCs w:val="24"/>
          <w:lang w:eastAsia="en-GB"/>
        </w:rPr>
        <w:t> </w:t>
      </w:r>
      <w:r w:rsidR="00214103" w:rsidRPr="00214103">
        <w:rPr>
          <w:rFonts w:ascii="Georgia" w:eastAsia="Times New Roman" w:hAnsi="Georgia" w:cs="Times New Roman"/>
          <w:i/>
          <w:iCs/>
          <w:sz w:val="24"/>
          <w:szCs w:val="24"/>
          <w:lang w:eastAsia="en-GB"/>
        </w:rPr>
        <w:t>David A. Hodges, Attorney at Law, </w:t>
      </w:r>
      <w:r w:rsidR="00214103" w:rsidRPr="00214103">
        <w:rPr>
          <w:rFonts w:ascii="Georgia" w:eastAsia="Times New Roman" w:hAnsi="Georgia" w:cs="Times New Roman"/>
          <w:sz w:val="24"/>
          <w:szCs w:val="24"/>
          <w:lang w:eastAsia="en-GB"/>
        </w:rPr>
        <w:t>for appellant.</w:t>
      </w:r>
    </w:p>
    <w:p w14:paraId="48E19A36" w14:textId="77777777" w:rsidR="00214103" w:rsidRPr="00214103" w:rsidRDefault="00214103" w:rsidP="00214103">
      <w:pPr>
        <w:shd w:val="clear" w:color="auto" w:fill="F7F7F9"/>
        <w:spacing w:after="0" w:line="240" w:lineRule="auto"/>
        <w:rPr>
          <w:rFonts w:ascii="Georgia" w:eastAsia="Times New Roman" w:hAnsi="Georgia" w:cs="Times New Roman"/>
          <w:sz w:val="24"/>
          <w:szCs w:val="24"/>
          <w:lang w:eastAsia="en-GB"/>
        </w:rPr>
      </w:pPr>
      <w:r w:rsidRPr="00214103">
        <w:rPr>
          <w:rFonts w:ascii="Georgia" w:eastAsia="Times New Roman" w:hAnsi="Georgia" w:cs="Times New Roman"/>
          <w:i/>
          <w:iCs/>
          <w:sz w:val="24"/>
          <w:szCs w:val="24"/>
          <w:lang w:eastAsia="en-GB"/>
        </w:rPr>
        <w:t>Barber, McCaskill, Jones &amp;Hale, P.A., </w:t>
      </w:r>
      <w:r w:rsidRPr="00214103">
        <w:rPr>
          <w:rFonts w:ascii="Georgia" w:eastAsia="Times New Roman" w:hAnsi="Georgia" w:cs="Times New Roman"/>
          <w:sz w:val="24"/>
          <w:szCs w:val="24"/>
          <w:lang w:eastAsia="en-GB"/>
        </w:rPr>
        <w:t>by: </w:t>
      </w:r>
      <w:r w:rsidRPr="00214103">
        <w:rPr>
          <w:rFonts w:ascii="Georgia" w:eastAsia="Times New Roman" w:hAnsi="Georgia" w:cs="Times New Roman"/>
          <w:i/>
          <w:iCs/>
          <w:sz w:val="24"/>
          <w:szCs w:val="24"/>
          <w:lang w:eastAsia="en-GB"/>
        </w:rPr>
        <w:t>John S. Cherry, Jr. </w:t>
      </w:r>
      <w:r w:rsidRPr="00214103">
        <w:rPr>
          <w:rFonts w:ascii="Georgia" w:eastAsia="Times New Roman" w:hAnsi="Georgia" w:cs="Times New Roman"/>
          <w:sz w:val="24"/>
          <w:szCs w:val="24"/>
          <w:lang w:eastAsia="en-GB"/>
        </w:rPr>
        <w:t>and D. </w:t>
      </w:r>
      <w:r w:rsidRPr="00214103">
        <w:rPr>
          <w:rFonts w:ascii="Georgia" w:eastAsia="Times New Roman" w:hAnsi="Georgia" w:cs="Times New Roman"/>
          <w:i/>
          <w:iCs/>
          <w:sz w:val="24"/>
          <w:szCs w:val="24"/>
          <w:lang w:eastAsia="en-GB"/>
        </w:rPr>
        <w:t>Keith Fortner, </w:t>
      </w:r>
      <w:r w:rsidRPr="00214103">
        <w:rPr>
          <w:rFonts w:ascii="Georgia" w:eastAsia="Times New Roman" w:hAnsi="Georgia" w:cs="Times New Roman"/>
          <w:sz w:val="24"/>
          <w:szCs w:val="24"/>
          <w:lang w:eastAsia="en-GB"/>
        </w:rPr>
        <w:t>for appellee Flake &amp; Kelley Management, Inc.</w:t>
      </w:r>
    </w:p>
    <w:p w14:paraId="48E19A37" w14:textId="77777777" w:rsidR="00214103" w:rsidRPr="00214103" w:rsidRDefault="00214103" w:rsidP="00214103">
      <w:pPr>
        <w:shd w:val="clear" w:color="auto" w:fill="F7F7F9"/>
        <w:spacing w:after="0" w:line="240" w:lineRule="auto"/>
        <w:rPr>
          <w:rFonts w:ascii="Georgia" w:eastAsia="Times New Roman" w:hAnsi="Georgia" w:cs="Times New Roman"/>
          <w:sz w:val="24"/>
          <w:szCs w:val="24"/>
          <w:lang w:eastAsia="en-GB"/>
        </w:rPr>
      </w:pPr>
      <w:r w:rsidRPr="00214103">
        <w:rPr>
          <w:rFonts w:ascii="Georgia" w:eastAsia="Times New Roman" w:hAnsi="Georgia" w:cs="Times New Roman"/>
          <w:i/>
          <w:iCs/>
          <w:sz w:val="24"/>
          <w:szCs w:val="24"/>
          <w:lang w:eastAsia="en-GB"/>
        </w:rPr>
        <w:t>Wright, Lindsey &amp; Jennings, LLP, </w:t>
      </w:r>
      <w:r w:rsidRPr="00214103">
        <w:rPr>
          <w:rFonts w:ascii="Georgia" w:eastAsia="Times New Roman" w:hAnsi="Georgia" w:cs="Times New Roman"/>
          <w:sz w:val="24"/>
          <w:szCs w:val="24"/>
          <w:lang w:eastAsia="en-GB"/>
        </w:rPr>
        <w:t>by: </w:t>
      </w:r>
      <w:r w:rsidRPr="00214103">
        <w:rPr>
          <w:rFonts w:ascii="Georgia" w:eastAsia="Times New Roman" w:hAnsi="Georgia" w:cs="Times New Roman"/>
          <w:i/>
          <w:iCs/>
          <w:sz w:val="24"/>
          <w:szCs w:val="24"/>
          <w:lang w:eastAsia="en-GB"/>
        </w:rPr>
        <w:t>Gordon S. Rather, Jr., Patricia Sievers Harris, Kristi M. Moody, </w:t>
      </w:r>
      <w:r w:rsidRPr="00214103">
        <w:rPr>
          <w:rFonts w:ascii="Georgia" w:eastAsia="Times New Roman" w:hAnsi="Georgia" w:cs="Times New Roman"/>
          <w:sz w:val="24"/>
          <w:szCs w:val="24"/>
          <w:lang w:eastAsia="en-GB"/>
        </w:rPr>
        <w:t>and </w:t>
      </w:r>
      <w:r w:rsidRPr="00214103">
        <w:rPr>
          <w:rFonts w:ascii="Georgia" w:eastAsia="Times New Roman" w:hAnsi="Georgia" w:cs="Times New Roman"/>
          <w:i/>
          <w:iCs/>
          <w:sz w:val="24"/>
          <w:szCs w:val="24"/>
          <w:lang w:eastAsia="en-GB"/>
        </w:rPr>
        <w:t>Paul D. Morris, </w:t>
      </w:r>
      <w:r w:rsidRPr="00214103">
        <w:rPr>
          <w:rFonts w:ascii="Georgia" w:eastAsia="Times New Roman" w:hAnsi="Georgia" w:cs="Times New Roman"/>
          <w:sz w:val="24"/>
          <w:szCs w:val="24"/>
          <w:lang w:eastAsia="en-GB"/>
        </w:rPr>
        <w:t>for appellees Mercantile Bank, N.A., Firstar Bank, N.A., and U.S. Bank, National Association.</w:t>
      </w:r>
    </w:p>
    <w:p w14:paraId="48E19A38" w14:textId="3C7B20B4" w:rsidR="00214103" w:rsidRPr="00214103" w:rsidRDefault="00214103" w:rsidP="00214103">
      <w:pPr>
        <w:spacing w:after="0" w:line="240" w:lineRule="auto"/>
        <w:rPr>
          <w:rFonts w:ascii="Times New Roman" w:eastAsia="Times New Roman" w:hAnsi="Times New Roman" w:cs="Times New Roman"/>
          <w:sz w:val="24"/>
          <w:szCs w:val="24"/>
          <w:lang w:eastAsia="en-GB"/>
        </w:rPr>
      </w:pPr>
      <w:r w:rsidRPr="00214103">
        <w:rPr>
          <w:rFonts w:ascii="Georgia" w:eastAsia="Times New Roman" w:hAnsi="Georgia" w:cs="Times New Roman"/>
          <w:b/>
          <w:bCs/>
          <w:color w:val="E878FF"/>
          <w:sz w:val="24"/>
          <w:szCs w:val="24"/>
          <w:lang w:eastAsia="en-GB"/>
        </w:rPr>
        <w:t>*</w:t>
      </w:r>
    </w:p>
    <w:p w14:paraId="48E19A39" w14:textId="77777777" w:rsidR="00214103" w:rsidRPr="00214103" w:rsidRDefault="00214103" w:rsidP="00214103">
      <w:pPr>
        <w:spacing w:after="0"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Dickey, J., not participating.</w:t>
      </w:r>
    </w:p>
    <w:p w14:paraId="48E19A3A" w14:textId="77777777" w:rsidR="00214103" w:rsidRPr="00214103" w:rsidRDefault="00214103" w:rsidP="00214103">
      <w:pPr>
        <w:spacing w:before="100" w:beforeAutospacing="1" w:after="225" w:line="240" w:lineRule="auto"/>
        <w:rPr>
          <w:rFonts w:ascii="Georgia" w:eastAsia="Times New Roman" w:hAnsi="Georgia" w:cs="Times New Roman"/>
          <w:color w:val="E878FF"/>
          <w:sz w:val="24"/>
          <w:szCs w:val="24"/>
          <w:lang w:eastAsia="en-GB"/>
        </w:rPr>
      </w:pPr>
      <w:r w:rsidRPr="00214103">
        <w:rPr>
          <w:rFonts w:ascii="Georgia" w:eastAsia="Times New Roman" w:hAnsi="Georgia" w:cs="Times New Roman"/>
          <w:color w:val="E878FF"/>
          <w:sz w:val="24"/>
          <w:szCs w:val="24"/>
          <w:lang w:eastAsia="en-GB"/>
        </w:rPr>
        <w:t>Tom Glaze, Justice.</w:t>
      </w:r>
    </w:p>
    <w:p w14:paraId="48E19A3B" w14:textId="77777777"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D811BA">
        <w:rPr>
          <w:rFonts w:ascii="Georgia" w:eastAsia="Times New Roman" w:hAnsi="Georgia" w:cs="Times New Roman"/>
          <w:sz w:val="24"/>
          <w:szCs w:val="24"/>
          <w:highlight w:val="yellow"/>
          <w:lang w:eastAsia="en-GB"/>
        </w:rPr>
        <w:t>On June 13, 2000, at approximately 4:17 p.m., Monica Lacy left her office located on the fifth floor of the Mercantile Bank building in North Little Rock. As Lacy approached her car in the parking lot, she was abducted by two men. During the</w:t>
      </w:r>
      <w:r w:rsidRPr="00214103">
        <w:rPr>
          <w:rFonts w:ascii="Georgia" w:eastAsia="Times New Roman" w:hAnsi="Georgia" w:cs="Times New Roman"/>
          <w:sz w:val="24"/>
          <w:szCs w:val="24"/>
          <w:lang w:eastAsia="en-GB"/>
        </w:rPr>
        <w:t xml:space="preserve"> </w:t>
      </w:r>
      <w:r w:rsidRPr="00D811BA">
        <w:rPr>
          <w:rFonts w:ascii="Georgia" w:eastAsia="Times New Roman" w:hAnsi="Georgia" w:cs="Times New Roman"/>
          <w:sz w:val="24"/>
          <w:szCs w:val="24"/>
          <w:highlight w:val="yellow"/>
          <w:lang w:eastAsia="en-GB"/>
        </w:rPr>
        <w:t>course of her kidnapping, Lacy was robbed and raped by a total of four men.</w:t>
      </w:r>
    </w:p>
    <w:p w14:paraId="48E19A3C" w14:textId="77777777" w:rsidR="00214103" w:rsidRPr="00D811BA" w:rsidRDefault="00214103" w:rsidP="00214103">
      <w:pPr>
        <w:spacing w:before="100" w:beforeAutospacing="1" w:after="225" w:line="240" w:lineRule="auto"/>
        <w:rPr>
          <w:rFonts w:ascii="Georgia" w:eastAsia="Times New Roman" w:hAnsi="Georgia" w:cs="Times New Roman"/>
          <w:sz w:val="24"/>
          <w:szCs w:val="24"/>
          <w:highlight w:val="yellow"/>
          <w:lang w:eastAsia="en-GB"/>
        </w:rPr>
      </w:pPr>
      <w:r w:rsidRPr="00D811BA">
        <w:rPr>
          <w:rFonts w:ascii="Georgia" w:eastAsia="Times New Roman" w:hAnsi="Georgia" w:cs="Times New Roman"/>
          <w:sz w:val="24"/>
          <w:szCs w:val="24"/>
          <w:highlight w:val="yellow"/>
          <w:lang w:eastAsia="en-GB"/>
        </w:rPr>
        <w:t>Lacy worked for a part of the bankruptcy system that had offices in the Mercantile Bank Building. The building was originally owned by Mercantile Bank, which was acquired by Firstar Bank, which was subsequently acquired by U.S. Bank. At the time of the incident in question, the building was owned by Firstar, who had a “Management Agreement” with Flake &amp; Kelley Management, Inc., whereby Flake was made the managing and leasing agent for the building. The agreement gave Flake the authority to hire, supervise, and fire employees in the care, management, and operation of the premises. Flake contracted with Guardsmark, Inc., a security firm, to provide a lobby guard from 4:00 p.m. to 8:00 p.m. on weekdays and 8:00 a.m. to 6:00 p.m. on weekends and holidays. The guards were not required to patrol the parking lot or other common areas outside of the building.</w:t>
      </w:r>
    </w:p>
    <w:p w14:paraId="48E19A3D" w14:textId="77777777"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D811BA">
        <w:rPr>
          <w:rFonts w:ascii="Georgia" w:eastAsia="Times New Roman" w:hAnsi="Georgia" w:cs="Times New Roman"/>
          <w:sz w:val="24"/>
          <w:szCs w:val="24"/>
          <w:highlight w:val="magenta"/>
          <w:lang w:eastAsia="en-GB"/>
        </w:rPr>
        <w:t>On April 4, 2003, Lacy filed a complaint against Mercantile, Firstar, U.S. Bank, Flake</w:t>
      </w:r>
      <w:r w:rsidRPr="00D811BA">
        <w:rPr>
          <w:rFonts w:ascii="Georgia" w:eastAsia="Times New Roman" w:hAnsi="Georgia" w:cs="Times New Roman"/>
          <w:sz w:val="24"/>
          <w:szCs w:val="24"/>
          <w:lang w:eastAsia="en-GB"/>
        </w:rPr>
        <w:t xml:space="preserve">, and John Does I-III </w:t>
      </w:r>
      <w:r w:rsidRPr="00D811BA">
        <w:rPr>
          <w:rFonts w:ascii="Georgia" w:eastAsia="Times New Roman" w:hAnsi="Georgia" w:cs="Times New Roman"/>
          <w:sz w:val="24"/>
          <w:szCs w:val="24"/>
          <w:highlight w:val="magenta"/>
          <w:lang w:eastAsia="en-GB"/>
        </w:rPr>
        <w:t xml:space="preserve">alleging that the defendants were negligent in their failure to provide adequate security. In response, Mercantile, Firstar, and U.S. Bank (collectively U.S. Bank), and Flake each filed motions for summary judgment. The trial court then entered an order granting summary judgment in favor of U.S. Bank </w:t>
      </w:r>
      <w:r w:rsidRPr="00D811BA">
        <w:rPr>
          <w:rFonts w:ascii="Georgia" w:eastAsia="Times New Roman" w:hAnsi="Georgia" w:cs="Times New Roman"/>
          <w:sz w:val="24"/>
          <w:szCs w:val="24"/>
          <w:highlight w:val="magenta"/>
          <w:lang w:eastAsia="en-GB"/>
        </w:rPr>
        <w:lastRenderedPageBreak/>
        <w:t>and Flake.</w:t>
      </w:r>
      <w:r w:rsidRPr="00214103">
        <w:rPr>
          <w:rFonts w:ascii="Georgia" w:eastAsia="Times New Roman" w:hAnsi="Georgia" w:cs="Times New Roman"/>
          <w:sz w:val="24"/>
          <w:szCs w:val="24"/>
          <w:lang w:eastAsia="en-GB"/>
        </w:rPr>
        <w:t xml:space="preserve"> Lacy dismissed her allegations against John Does I-III, making the trial court’s order final. </w:t>
      </w:r>
      <w:r w:rsidRPr="00D811BA">
        <w:rPr>
          <w:rFonts w:ascii="Georgia" w:eastAsia="Times New Roman" w:hAnsi="Georgia" w:cs="Times New Roman"/>
          <w:sz w:val="24"/>
          <w:szCs w:val="24"/>
          <w:highlight w:val="magenta"/>
          <w:lang w:eastAsia="en-GB"/>
        </w:rPr>
        <w:t>Lacy now appeals from this order.</w:t>
      </w:r>
    </w:p>
    <w:p w14:paraId="48E19A3E" w14:textId="53B2615B" w:rsidR="00214103" w:rsidRPr="00214103" w:rsidRDefault="00BF7995" w:rsidP="00214103">
      <w:pPr>
        <w:spacing w:before="100" w:beforeAutospacing="1" w:after="225" w:line="240" w:lineRule="auto"/>
        <w:rPr>
          <w:rFonts w:ascii="Georgia" w:eastAsia="Times New Roman" w:hAnsi="Georgia" w:cs="Times New Roman"/>
          <w:sz w:val="24"/>
          <w:szCs w:val="24"/>
          <w:lang w:eastAsia="en-GB"/>
        </w:rPr>
      </w:pPr>
      <w:hyperlink r:id="rId5" w:anchor="p367" w:history="1">
        <w:r w:rsidR="00214103" w:rsidRPr="00214103">
          <w:rPr>
            <w:rFonts w:ascii="Georgia" w:eastAsia="Times New Roman" w:hAnsi="Georgia" w:cs="Times New Roman"/>
            <w:i/>
            <w:iCs/>
            <w:color w:val="979797"/>
            <w:sz w:val="19"/>
            <w:szCs w:val="19"/>
            <w:lang w:eastAsia="en-GB"/>
          </w:rPr>
          <w:t>*367</w:t>
        </w:r>
      </w:hyperlink>
      <w:r w:rsidR="00214103" w:rsidRPr="00214103">
        <w:rPr>
          <w:rFonts w:ascii="Georgia" w:eastAsia="Times New Roman" w:hAnsi="Georgia" w:cs="Times New Roman"/>
          <w:sz w:val="24"/>
          <w:szCs w:val="24"/>
          <w:lang w:eastAsia="en-GB"/>
        </w:rPr>
        <w:t>Summary judgment is appropriate when there are no genuine issues of material fact, and the moving party is entitled to judgment as a matter of law. </w:t>
      </w:r>
      <w:r w:rsidR="00214103" w:rsidRPr="00214103">
        <w:rPr>
          <w:rFonts w:ascii="Georgia" w:eastAsia="Times New Roman" w:hAnsi="Georgia" w:cs="Times New Roman"/>
          <w:i/>
          <w:iCs/>
          <w:sz w:val="24"/>
          <w:szCs w:val="24"/>
          <w:lang w:eastAsia="en-GB"/>
        </w:rPr>
        <w:t>Francis v. Francis, </w:t>
      </w:r>
      <w:r w:rsidR="00214103" w:rsidRPr="00214103">
        <w:rPr>
          <w:rFonts w:ascii="Georgia" w:eastAsia="Times New Roman" w:hAnsi="Georgia" w:cs="Times New Roman"/>
          <w:color w:val="007BFF"/>
          <w:sz w:val="24"/>
          <w:szCs w:val="24"/>
          <w:lang w:eastAsia="en-GB"/>
        </w:rPr>
        <w:t>343 Ark. 104</w:t>
      </w:r>
      <w:r w:rsidR="00214103" w:rsidRPr="00214103">
        <w:rPr>
          <w:rFonts w:ascii="Georgia" w:eastAsia="Times New Roman" w:hAnsi="Georgia" w:cs="Times New Roman"/>
          <w:sz w:val="24"/>
          <w:szCs w:val="24"/>
          <w:lang w:eastAsia="en-GB"/>
        </w:rPr>
        <w:t>, </w:t>
      </w:r>
      <w:hyperlink r:id="rId6" w:history="1">
        <w:r w:rsidR="00214103" w:rsidRPr="00214103">
          <w:rPr>
            <w:rFonts w:ascii="Georgia" w:eastAsia="Times New Roman" w:hAnsi="Georgia" w:cs="Times New Roman"/>
            <w:color w:val="007BFF"/>
            <w:sz w:val="24"/>
            <w:szCs w:val="24"/>
            <w:lang w:eastAsia="en-GB"/>
          </w:rPr>
          <w:t>31 S.W.3d 841</w:t>
        </w:r>
      </w:hyperlink>
      <w:r w:rsidR="00214103" w:rsidRPr="00214103">
        <w:rPr>
          <w:rFonts w:ascii="Georgia" w:eastAsia="Times New Roman" w:hAnsi="Georgia" w:cs="Times New Roman"/>
          <w:sz w:val="24"/>
          <w:szCs w:val="24"/>
          <w:lang w:eastAsia="en-GB"/>
        </w:rPr>
        <w:t> (2000); </w:t>
      </w:r>
      <w:r w:rsidR="00214103" w:rsidRPr="00214103">
        <w:rPr>
          <w:rFonts w:ascii="Georgia" w:eastAsia="Times New Roman" w:hAnsi="Georgia" w:cs="Times New Roman"/>
          <w:i/>
          <w:iCs/>
          <w:sz w:val="24"/>
          <w:szCs w:val="24"/>
          <w:lang w:eastAsia="en-GB"/>
        </w:rPr>
        <w:t>Wallace v. Broyles, </w:t>
      </w:r>
      <w:r w:rsidR="00214103" w:rsidRPr="00214103">
        <w:rPr>
          <w:rFonts w:ascii="Georgia" w:eastAsia="Times New Roman" w:hAnsi="Georgia" w:cs="Times New Roman"/>
          <w:color w:val="007BFF"/>
          <w:sz w:val="24"/>
          <w:szCs w:val="24"/>
          <w:lang w:eastAsia="en-GB"/>
        </w:rPr>
        <w:t>331 Ark. 58</w:t>
      </w:r>
      <w:r w:rsidR="00214103" w:rsidRPr="00214103">
        <w:rPr>
          <w:rFonts w:ascii="Georgia" w:eastAsia="Times New Roman" w:hAnsi="Georgia" w:cs="Times New Roman"/>
          <w:sz w:val="24"/>
          <w:szCs w:val="24"/>
          <w:lang w:eastAsia="en-GB"/>
        </w:rPr>
        <w:t>, </w:t>
      </w:r>
      <w:hyperlink r:id="rId7" w:history="1">
        <w:r w:rsidR="00214103" w:rsidRPr="00214103">
          <w:rPr>
            <w:rFonts w:ascii="Georgia" w:eastAsia="Times New Roman" w:hAnsi="Georgia" w:cs="Times New Roman"/>
            <w:color w:val="007BFF"/>
            <w:sz w:val="24"/>
            <w:szCs w:val="24"/>
            <w:lang w:eastAsia="en-GB"/>
          </w:rPr>
          <w:t>961 S.W.2d 712</w:t>
        </w:r>
      </w:hyperlink>
      <w:r w:rsidR="00214103" w:rsidRPr="00214103">
        <w:rPr>
          <w:rFonts w:ascii="Georgia" w:eastAsia="Times New Roman" w:hAnsi="Georgia" w:cs="Times New Roman"/>
          <w:sz w:val="24"/>
          <w:szCs w:val="24"/>
          <w:lang w:eastAsia="en-GB"/>
        </w:rPr>
        <w:t> (1998). The issue of whether a duty exists is always a question of law, not to be decided by a trier of fact. </w:t>
      </w:r>
      <w:r w:rsidR="00214103" w:rsidRPr="00214103">
        <w:rPr>
          <w:rFonts w:ascii="Georgia" w:eastAsia="Times New Roman" w:hAnsi="Georgia" w:cs="Times New Roman"/>
          <w:i/>
          <w:iCs/>
          <w:sz w:val="24"/>
          <w:szCs w:val="24"/>
          <w:lang w:eastAsia="en-GB"/>
        </w:rPr>
        <w:t>Hall v. Rental Mgmt., Inc., </w:t>
      </w:r>
      <w:r w:rsidR="00214103" w:rsidRPr="00214103">
        <w:rPr>
          <w:rFonts w:ascii="Georgia" w:eastAsia="Times New Roman" w:hAnsi="Georgia" w:cs="Times New Roman"/>
          <w:color w:val="007BFF"/>
          <w:sz w:val="24"/>
          <w:szCs w:val="24"/>
          <w:lang w:eastAsia="en-GB"/>
        </w:rPr>
        <w:t>323 Ark. 143</w:t>
      </w:r>
      <w:r w:rsidR="00214103" w:rsidRPr="00214103">
        <w:rPr>
          <w:rFonts w:ascii="Georgia" w:eastAsia="Times New Roman" w:hAnsi="Georgia" w:cs="Times New Roman"/>
          <w:sz w:val="24"/>
          <w:szCs w:val="24"/>
          <w:lang w:eastAsia="en-GB"/>
        </w:rPr>
        <w:t>, </w:t>
      </w:r>
      <w:hyperlink r:id="rId8" w:history="1">
        <w:r w:rsidR="00214103" w:rsidRPr="00214103">
          <w:rPr>
            <w:rFonts w:ascii="Georgia" w:eastAsia="Times New Roman" w:hAnsi="Georgia" w:cs="Times New Roman"/>
            <w:color w:val="007BFF"/>
            <w:sz w:val="24"/>
            <w:szCs w:val="24"/>
            <w:lang w:eastAsia="en-GB"/>
          </w:rPr>
          <w:t>913 S.W.2d 293</w:t>
        </w:r>
      </w:hyperlink>
      <w:r w:rsidR="00214103" w:rsidRPr="00214103">
        <w:rPr>
          <w:rFonts w:ascii="Georgia" w:eastAsia="Times New Roman" w:hAnsi="Georgia" w:cs="Times New Roman"/>
          <w:sz w:val="24"/>
          <w:szCs w:val="24"/>
          <w:lang w:eastAsia="en-GB"/>
        </w:rPr>
        <w:t> (1996). If no duty of care is owed, summary judgment is appropriate. </w:t>
      </w:r>
      <w:r w:rsidR="00214103" w:rsidRPr="00214103">
        <w:rPr>
          <w:rFonts w:ascii="Georgia" w:eastAsia="Times New Roman" w:hAnsi="Georgia" w:cs="Times New Roman"/>
          <w:i/>
          <w:iCs/>
          <w:sz w:val="24"/>
          <w:szCs w:val="24"/>
          <w:lang w:eastAsia="en-GB"/>
        </w:rPr>
        <w:t>Smith v. Hanson, </w:t>
      </w:r>
      <w:r w:rsidR="00214103" w:rsidRPr="00214103">
        <w:rPr>
          <w:rFonts w:ascii="Georgia" w:eastAsia="Times New Roman" w:hAnsi="Georgia" w:cs="Times New Roman"/>
          <w:color w:val="007BFF"/>
          <w:sz w:val="24"/>
          <w:szCs w:val="24"/>
          <w:lang w:eastAsia="en-GB"/>
        </w:rPr>
        <w:t>323 Ark. 188</w:t>
      </w:r>
      <w:r w:rsidR="00214103" w:rsidRPr="00214103">
        <w:rPr>
          <w:rFonts w:ascii="Georgia" w:eastAsia="Times New Roman" w:hAnsi="Georgia" w:cs="Times New Roman"/>
          <w:sz w:val="24"/>
          <w:szCs w:val="24"/>
          <w:lang w:eastAsia="en-GB"/>
        </w:rPr>
        <w:t>, </w:t>
      </w:r>
      <w:hyperlink r:id="rId9" w:history="1">
        <w:r w:rsidR="00214103" w:rsidRPr="00214103">
          <w:rPr>
            <w:rFonts w:ascii="Georgia" w:eastAsia="Times New Roman" w:hAnsi="Georgia" w:cs="Times New Roman"/>
            <w:color w:val="007BFF"/>
            <w:sz w:val="24"/>
            <w:szCs w:val="24"/>
            <w:lang w:eastAsia="en-GB"/>
          </w:rPr>
          <w:t>914 S.W.2d 285</w:t>
        </w:r>
      </w:hyperlink>
      <w:r w:rsidR="00214103" w:rsidRPr="00214103">
        <w:rPr>
          <w:rFonts w:ascii="Georgia" w:eastAsia="Times New Roman" w:hAnsi="Georgia" w:cs="Times New Roman"/>
          <w:sz w:val="24"/>
          <w:szCs w:val="24"/>
          <w:lang w:eastAsia="en-GB"/>
        </w:rPr>
        <w:t> (1996).</w:t>
      </w:r>
    </w:p>
    <w:p w14:paraId="48E19A3F" w14:textId="2C220FC9" w:rsidR="00214103" w:rsidRPr="00214103" w:rsidRDefault="00214103" w:rsidP="00214103">
      <w:pPr>
        <w:spacing w:before="100" w:beforeAutospacing="1" w:after="0"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On appeal, Lacy argues that the trial court erred when it granted summary judgment in favor of the defendants, U.S. Bank and Flake. It is well settled that the law of negligence requires as essential elements that the plaintiff show that a duty was owed and that the duty was breached. </w:t>
      </w:r>
      <w:r w:rsidRPr="00D811BA">
        <w:rPr>
          <w:rFonts w:ascii="Georgia" w:eastAsia="Times New Roman" w:hAnsi="Georgia" w:cs="Times New Roman"/>
          <w:i/>
          <w:iCs/>
          <w:sz w:val="24"/>
          <w:szCs w:val="24"/>
          <w:highlight w:val="cyan"/>
          <w:lang w:eastAsia="en-GB"/>
        </w:rPr>
        <w:t>Young v. Paxton, </w:t>
      </w:r>
      <w:r w:rsidRPr="00D811BA">
        <w:rPr>
          <w:rFonts w:ascii="Georgia" w:eastAsia="Times New Roman" w:hAnsi="Georgia" w:cs="Times New Roman"/>
          <w:color w:val="007BFF"/>
          <w:sz w:val="24"/>
          <w:szCs w:val="24"/>
          <w:highlight w:val="cyan"/>
          <w:lang w:eastAsia="en-GB"/>
        </w:rPr>
        <w:t>316 Ark. 655</w:t>
      </w:r>
      <w:r w:rsidRPr="00D811BA">
        <w:rPr>
          <w:rFonts w:ascii="Georgia" w:eastAsia="Times New Roman" w:hAnsi="Georgia" w:cs="Times New Roman"/>
          <w:sz w:val="24"/>
          <w:szCs w:val="24"/>
          <w:highlight w:val="cyan"/>
          <w:lang w:eastAsia="en-GB"/>
        </w:rPr>
        <w:t>, </w:t>
      </w:r>
      <w:hyperlink r:id="rId10" w:history="1">
        <w:r w:rsidRPr="00D811BA">
          <w:rPr>
            <w:rFonts w:ascii="Georgia" w:eastAsia="Times New Roman" w:hAnsi="Georgia" w:cs="Times New Roman"/>
            <w:color w:val="007BFF"/>
            <w:sz w:val="24"/>
            <w:szCs w:val="24"/>
            <w:highlight w:val="cyan"/>
            <w:lang w:eastAsia="en-GB"/>
          </w:rPr>
          <w:t>873 S.W.2d 546</w:t>
        </w:r>
      </w:hyperlink>
      <w:r w:rsidRPr="00D811BA">
        <w:rPr>
          <w:rFonts w:ascii="Georgia" w:eastAsia="Times New Roman" w:hAnsi="Georgia" w:cs="Times New Roman"/>
          <w:sz w:val="24"/>
          <w:szCs w:val="24"/>
          <w:highlight w:val="cyan"/>
          <w:lang w:eastAsia="en-GB"/>
        </w:rPr>
        <w:t> (1994).</w:t>
      </w:r>
      <w:r w:rsidRPr="00214103">
        <w:rPr>
          <w:rFonts w:ascii="Georgia" w:eastAsia="Times New Roman" w:hAnsi="Georgia" w:cs="Times New Roman"/>
          <w:sz w:val="24"/>
          <w:szCs w:val="24"/>
          <w:lang w:eastAsia="en-GB"/>
        </w:rPr>
        <w:t xml:space="preserve"> Lacy sets forth two separate arguments in order to establish that both U.S. Bank and Flake had a duty to protect her from her attackers. First, Lacy argues that the </w:t>
      </w:r>
      <w:r w:rsidRPr="00D811BA">
        <w:rPr>
          <w:rFonts w:ascii="Georgia" w:eastAsia="Times New Roman" w:hAnsi="Georgia" w:cs="Times New Roman"/>
          <w:sz w:val="24"/>
          <w:szCs w:val="24"/>
          <w:highlight w:val="yellow"/>
          <w:lang w:eastAsia="en-GB"/>
        </w:rPr>
        <w:t>lease agreement between her employer</w:t>
      </w:r>
      <w:r w:rsidRPr="00D811BA">
        <w:rPr>
          <w:rFonts w:ascii="Georgia" w:eastAsia="Times New Roman" w:hAnsi="Georgia" w:cs="Times New Roman"/>
          <w:b/>
          <w:bCs/>
          <w:color w:val="E878FF"/>
          <w:sz w:val="24"/>
          <w:szCs w:val="24"/>
          <w:highlight w:val="yellow"/>
          <w:vertAlign w:val="superscript"/>
          <w:lang w:eastAsia="en-GB"/>
        </w:rPr>
        <w:t>1</w:t>
      </w:r>
      <w:r w:rsidRPr="00D811BA">
        <w:rPr>
          <w:rFonts w:ascii="Georgia" w:eastAsia="Times New Roman" w:hAnsi="Georgia" w:cs="Times New Roman"/>
          <w:sz w:val="24"/>
          <w:szCs w:val="24"/>
          <w:highlight w:val="yellow"/>
          <w:lang w:eastAsia="en-GB"/>
        </w:rPr>
        <w:t> and U.S. Bank</w:t>
      </w:r>
      <w:r w:rsidRPr="00214103">
        <w:rPr>
          <w:rFonts w:ascii="Georgia" w:eastAsia="Times New Roman" w:hAnsi="Georgia" w:cs="Times New Roman"/>
          <w:sz w:val="24"/>
          <w:szCs w:val="24"/>
          <w:lang w:eastAsia="en-GB"/>
        </w:rPr>
        <w:t xml:space="preserve"> imposed upon U.S. Bank — and ultimately Flake — a duty to protect Lacy from the criminal activity she encountered.</w:t>
      </w:r>
    </w:p>
    <w:p w14:paraId="48E19A40" w14:textId="77777777" w:rsidR="00214103" w:rsidRPr="00D811BA" w:rsidRDefault="00214103" w:rsidP="00214103">
      <w:pPr>
        <w:spacing w:before="100" w:beforeAutospacing="1" w:after="225" w:line="240" w:lineRule="auto"/>
        <w:rPr>
          <w:rFonts w:ascii="Georgia" w:eastAsia="Times New Roman" w:hAnsi="Georgia" w:cs="Times New Roman"/>
          <w:sz w:val="24"/>
          <w:szCs w:val="24"/>
          <w:highlight w:val="yellow"/>
          <w:lang w:eastAsia="en-GB"/>
        </w:rPr>
      </w:pPr>
      <w:r w:rsidRPr="00D811BA">
        <w:rPr>
          <w:rFonts w:ascii="Georgia" w:eastAsia="Times New Roman" w:hAnsi="Georgia" w:cs="Times New Roman"/>
          <w:sz w:val="24"/>
          <w:szCs w:val="24"/>
          <w:lang w:eastAsia="en-GB"/>
        </w:rPr>
        <w:t xml:space="preserve">The lease agreement </w:t>
      </w:r>
      <w:r w:rsidRPr="00D811BA">
        <w:rPr>
          <w:rFonts w:ascii="Georgia" w:eastAsia="Times New Roman" w:hAnsi="Georgia" w:cs="Times New Roman"/>
          <w:sz w:val="24"/>
          <w:szCs w:val="24"/>
          <w:highlight w:val="yellow"/>
          <w:lang w:eastAsia="en-GB"/>
        </w:rPr>
        <w:t>provides in pertinent part as follows:</w:t>
      </w:r>
    </w:p>
    <w:p w14:paraId="48E19A41" w14:textId="77777777" w:rsidR="00214103" w:rsidRPr="00D811BA" w:rsidRDefault="00214103" w:rsidP="00214103">
      <w:pPr>
        <w:spacing w:after="100" w:line="240" w:lineRule="auto"/>
        <w:rPr>
          <w:rFonts w:ascii="Georgia" w:eastAsia="Times New Roman" w:hAnsi="Georgia" w:cs="Times New Roman"/>
          <w:color w:val="004FB3"/>
          <w:sz w:val="24"/>
          <w:szCs w:val="24"/>
          <w:highlight w:val="yellow"/>
          <w:lang w:eastAsia="en-GB"/>
        </w:rPr>
      </w:pPr>
      <w:r w:rsidRPr="00D811BA">
        <w:rPr>
          <w:rFonts w:ascii="Georgia" w:eastAsia="Times New Roman" w:hAnsi="Georgia" w:cs="Times New Roman"/>
          <w:color w:val="004FB3"/>
          <w:sz w:val="24"/>
          <w:szCs w:val="24"/>
          <w:highlight w:val="yellow"/>
          <w:lang w:eastAsia="en-GB"/>
        </w:rPr>
        <w:t>3.14 Tenant and Tenant’s agents, employees, and invitees will comply fully with all requirements of Rules of the Building which are attached hereto and, which are a part of this Lease as though fully set out herein:</w:t>
      </w:r>
    </w:p>
    <w:p w14:paraId="48E19A42" w14:textId="77777777" w:rsidR="00214103" w:rsidRPr="00D811BA" w:rsidRDefault="00214103" w:rsidP="00214103">
      <w:pPr>
        <w:spacing w:after="100" w:line="240" w:lineRule="auto"/>
        <w:rPr>
          <w:rFonts w:ascii="Georgia" w:eastAsia="Times New Roman" w:hAnsi="Georgia" w:cs="Times New Roman"/>
          <w:color w:val="004FB3"/>
          <w:sz w:val="24"/>
          <w:szCs w:val="24"/>
          <w:highlight w:val="yellow"/>
          <w:lang w:eastAsia="en-GB"/>
        </w:rPr>
      </w:pPr>
      <w:r w:rsidRPr="00D811BA">
        <w:rPr>
          <w:rFonts w:ascii="Georgia" w:eastAsia="Times New Roman" w:hAnsi="Georgia" w:cs="Times New Roman"/>
          <w:color w:val="004FB3"/>
          <w:sz w:val="24"/>
          <w:szCs w:val="24"/>
          <w:highlight w:val="yellow"/>
          <w:lang w:eastAsia="en-GB"/>
        </w:rPr>
        <w:t>4.1 Landlord shall have the following rights exercisable without notice or demand and without liability to Tenant for damage or injury to property, persons or business (all claims for damage therefore being hereby released by Tenant), and without effecting an eviction or disturbance of Tenant’s use or possession of the Premises or giving rise to any claim for setoffs or abatement of rent:</w:t>
      </w:r>
    </w:p>
    <w:p w14:paraId="48E19A43" w14:textId="77777777" w:rsidR="00214103" w:rsidRPr="00D811BA" w:rsidRDefault="00214103" w:rsidP="00214103">
      <w:pPr>
        <w:spacing w:after="100" w:line="240" w:lineRule="auto"/>
        <w:rPr>
          <w:rFonts w:ascii="Georgia" w:eastAsia="Times New Roman" w:hAnsi="Georgia" w:cs="Times New Roman"/>
          <w:color w:val="004FB3"/>
          <w:sz w:val="24"/>
          <w:szCs w:val="24"/>
          <w:highlight w:val="yellow"/>
          <w:lang w:eastAsia="en-GB"/>
        </w:rPr>
      </w:pPr>
      <w:r w:rsidRPr="00D811BA">
        <w:rPr>
          <w:rFonts w:ascii="Georgia" w:eastAsia="Times New Roman" w:hAnsi="Georgia" w:cs="Times New Roman"/>
          <w:color w:val="004FB3"/>
          <w:sz w:val="24"/>
          <w:szCs w:val="24"/>
          <w:highlight w:val="yellow"/>
          <w:lang w:eastAsia="en-GB"/>
        </w:rPr>
        <w:t>(g) To take all such reasonable measures as Landlord may deem advisable for the security of the Building and its occupants, including without limitation, the search of all persons entering or leaving </w:t>
      </w:r>
      <w:hyperlink r:id="rId11" w:anchor="p368" w:history="1">
        <w:r w:rsidRPr="00D811BA">
          <w:rPr>
            <w:rFonts w:ascii="Georgia" w:eastAsia="Times New Roman" w:hAnsi="Georgia" w:cs="Times New Roman"/>
            <w:i/>
            <w:iCs/>
            <w:color w:val="979797"/>
            <w:sz w:val="19"/>
            <w:szCs w:val="19"/>
            <w:highlight w:val="yellow"/>
            <w:lang w:eastAsia="en-GB"/>
          </w:rPr>
          <w:t>*368</w:t>
        </w:r>
      </w:hyperlink>
      <w:r w:rsidRPr="00D811BA">
        <w:rPr>
          <w:rFonts w:ascii="Georgia" w:eastAsia="Times New Roman" w:hAnsi="Georgia" w:cs="Times New Roman"/>
          <w:color w:val="004FB3"/>
          <w:sz w:val="24"/>
          <w:szCs w:val="24"/>
          <w:highlight w:val="yellow"/>
          <w:lang w:eastAsia="en-GB"/>
        </w:rPr>
        <w:t>the Building, the evacuation of the Building for cause, suspected cause, or for drill purposes, the temporary denial of access to the Building, and the closing of the Building after normal business hours and on Saturdays, Sundays and holidays, subject, however, to Tenant’s right to admittance when the Building is closed after normal business hours under such reasonable regulations as Landlord may prescribe from time to time which may include by way of example but not of limitation, that persons entering or leaving the Building, whether or not during normal business hours, identify themselves to a security officer by registration or otherwise and that such persons establish this right to enter or leave the Building.</w:t>
      </w:r>
    </w:p>
    <w:p w14:paraId="48E19A44" w14:textId="77777777" w:rsidR="00214103" w:rsidRPr="00214103" w:rsidRDefault="00214103" w:rsidP="00214103">
      <w:pPr>
        <w:spacing w:after="100" w:line="240" w:lineRule="auto"/>
        <w:rPr>
          <w:rFonts w:ascii="Georgia" w:eastAsia="Times New Roman" w:hAnsi="Georgia" w:cs="Times New Roman"/>
          <w:color w:val="004FB3"/>
          <w:sz w:val="24"/>
          <w:szCs w:val="24"/>
          <w:lang w:eastAsia="en-GB"/>
        </w:rPr>
      </w:pPr>
      <w:r w:rsidRPr="00D811BA">
        <w:rPr>
          <w:rFonts w:ascii="Georgia" w:eastAsia="Times New Roman" w:hAnsi="Georgia" w:cs="Times New Roman"/>
          <w:color w:val="004FB3"/>
          <w:sz w:val="24"/>
          <w:szCs w:val="24"/>
          <w:highlight w:val="yellow"/>
          <w:lang w:eastAsia="en-GB"/>
        </w:rPr>
        <w:t>(1) to close the Building at 6:00 p.m. or such other reasonable time as Landlord may determine, subject, however, to Tenant’s right to admittance under such regulations as shall be prescribed from time to time by Landlord and set out in the rules of the Building.</w:t>
      </w:r>
    </w:p>
    <w:p w14:paraId="48E19A45" w14:textId="2019C22E"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 xml:space="preserve">Based on the above-cited provisions of the lease, Lacy argues that U.S. Bank assumed a duty to provide security for the building. In doing so, Lacy argues U.S. Bank also </w:t>
      </w:r>
      <w:r w:rsidRPr="00214103">
        <w:rPr>
          <w:rFonts w:ascii="Georgia" w:eastAsia="Times New Roman" w:hAnsi="Georgia" w:cs="Times New Roman"/>
          <w:sz w:val="24"/>
          <w:szCs w:val="24"/>
          <w:lang w:eastAsia="en-GB"/>
        </w:rPr>
        <w:lastRenderedPageBreak/>
        <w:t>assumed a duty to protect her from criminal attacks by third parties in the parking lot. Arkansas follows the general rule that a landlord does not owe a duty to protect the tenant from criminal acts. </w:t>
      </w:r>
      <w:r w:rsidRPr="00214103">
        <w:rPr>
          <w:rFonts w:ascii="Georgia" w:eastAsia="Times New Roman" w:hAnsi="Georgia" w:cs="Times New Roman"/>
          <w:i/>
          <w:iCs/>
          <w:sz w:val="24"/>
          <w:szCs w:val="24"/>
          <w:lang w:eastAsia="en-GB"/>
        </w:rPr>
        <w:t xml:space="preserve">See </w:t>
      </w:r>
      <w:r w:rsidRPr="00D811BA">
        <w:rPr>
          <w:rFonts w:ascii="Georgia" w:eastAsia="Times New Roman" w:hAnsi="Georgia" w:cs="Times New Roman"/>
          <w:i/>
          <w:iCs/>
          <w:sz w:val="24"/>
          <w:szCs w:val="24"/>
          <w:highlight w:val="cyan"/>
          <w:lang w:eastAsia="en-GB"/>
        </w:rPr>
        <w:t>Hall v. Rental Mgmt., Inc., </w:t>
      </w:r>
      <w:r w:rsidRPr="00D811BA">
        <w:rPr>
          <w:rFonts w:ascii="Georgia" w:eastAsia="Times New Roman" w:hAnsi="Georgia" w:cs="Times New Roman"/>
          <w:i/>
          <w:iCs/>
          <w:color w:val="007BFF"/>
          <w:sz w:val="24"/>
          <w:szCs w:val="24"/>
          <w:highlight w:val="cyan"/>
          <w:lang w:eastAsia="en-GB"/>
        </w:rPr>
        <w:t>supra;</w:t>
      </w:r>
      <w:r w:rsidRPr="00D811BA">
        <w:rPr>
          <w:rFonts w:ascii="Georgia" w:eastAsia="Times New Roman" w:hAnsi="Georgia" w:cs="Times New Roman"/>
          <w:i/>
          <w:iCs/>
          <w:sz w:val="24"/>
          <w:szCs w:val="24"/>
          <w:highlight w:val="cyan"/>
          <w:lang w:eastAsia="en-GB"/>
        </w:rPr>
        <w:t> see also Bartley v. Sweetser, </w:t>
      </w:r>
      <w:hyperlink r:id="rId12" w:history="1">
        <w:r w:rsidRPr="00D811BA">
          <w:rPr>
            <w:rFonts w:ascii="Georgia" w:eastAsia="Times New Roman" w:hAnsi="Georgia" w:cs="Times New Roman"/>
            <w:color w:val="007BFF"/>
            <w:sz w:val="24"/>
            <w:szCs w:val="24"/>
            <w:highlight w:val="cyan"/>
            <w:lang w:eastAsia="en-GB"/>
          </w:rPr>
          <w:t>319 Ark. 117</w:t>
        </w:r>
      </w:hyperlink>
      <w:r w:rsidRPr="00D811BA">
        <w:rPr>
          <w:rFonts w:ascii="Georgia" w:eastAsia="Times New Roman" w:hAnsi="Georgia" w:cs="Times New Roman"/>
          <w:sz w:val="24"/>
          <w:szCs w:val="24"/>
          <w:highlight w:val="cyan"/>
          <w:lang w:eastAsia="en-GB"/>
        </w:rPr>
        <w:t>, </w:t>
      </w:r>
      <w:r w:rsidRPr="00D811BA">
        <w:rPr>
          <w:rFonts w:ascii="Georgia" w:eastAsia="Times New Roman" w:hAnsi="Georgia" w:cs="Times New Roman"/>
          <w:color w:val="007BFF"/>
          <w:sz w:val="24"/>
          <w:szCs w:val="24"/>
          <w:highlight w:val="cyan"/>
          <w:lang w:eastAsia="en-GB"/>
        </w:rPr>
        <w:t>890 S.W.2d 250</w:t>
      </w:r>
      <w:r w:rsidRPr="00D811BA">
        <w:rPr>
          <w:rFonts w:ascii="Georgia" w:eastAsia="Times New Roman" w:hAnsi="Georgia" w:cs="Times New Roman"/>
          <w:sz w:val="24"/>
          <w:szCs w:val="24"/>
          <w:highlight w:val="cyan"/>
          <w:lang w:eastAsia="en-GB"/>
        </w:rPr>
        <w:t> (1994).</w:t>
      </w:r>
      <w:r w:rsidRPr="00214103">
        <w:rPr>
          <w:rFonts w:ascii="Georgia" w:eastAsia="Times New Roman" w:hAnsi="Georgia" w:cs="Times New Roman"/>
          <w:sz w:val="24"/>
          <w:szCs w:val="24"/>
          <w:lang w:eastAsia="en-GB"/>
        </w:rPr>
        <w:t xml:space="preserve"> Only an express agreement or assumption of duty by conduct can remove a landlord from the general rule of nonliability. </w:t>
      </w:r>
      <w:hyperlink r:id="rId13" w:history="1">
        <w:r w:rsidRPr="00214103">
          <w:rPr>
            <w:rFonts w:ascii="Georgia" w:eastAsia="Times New Roman" w:hAnsi="Georgia" w:cs="Times New Roman"/>
            <w:i/>
            <w:iCs/>
            <w:color w:val="007BFF"/>
            <w:sz w:val="24"/>
            <w:szCs w:val="24"/>
            <w:lang w:eastAsia="en-GB"/>
          </w:rPr>
          <w:t>Id.</w:t>
        </w:r>
      </w:hyperlink>
    </w:p>
    <w:p w14:paraId="48E19A46" w14:textId="53156C00"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In </w:t>
      </w:r>
      <w:r w:rsidRPr="00D811BA">
        <w:rPr>
          <w:rFonts w:ascii="Georgia" w:eastAsia="Times New Roman" w:hAnsi="Georgia" w:cs="Times New Roman"/>
          <w:i/>
          <w:iCs/>
          <w:sz w:val="24"/>
          <w:szCs w:val="24"/>
          <w:highlight w:val="cyan"/>
          <w:lang w:eastAsia="en-GB"/>
        </w:rPr>
        <w:t>Bartley v. Sweetser</w:t>
      </w:r>
      <w:r w:rsidRPr="00214103">
        <w:rPr>
          <w:rFonts w:ascii="Georgia" w:eastAsia="Times New Roman" w:hAnsi="Georgia" w:cs="Times New Roman"/>
          <w:i/>
          <w:iCs/>
          <w:sz w:val="24"/>
          <w:szCs w:val="24"/>
          <w:lang w:eastAsia="en-GB"/>
        </w:rPr>
        <w:t>, </w:t>
      </w:r>
      <w:r w:rsidRPr="00214103">
        <w:rPr>
          <w:rFonts w:ascii="Georgia" w:eastAsia="Times New Roman" w:hAnsi="Georgia" w:cs="Times New Roman"/>
          <w:sz w:val="24"/>
          <w:szCs w:val="24"/>
          <w:lang w:eastAsia="en-GB"/>
        </w:rPr>
        <w:t>a tenant of an apartment complex, Jenny Bartley, was raped by a co-tenant. Bartley filed suit against the owners of the complex, Jerry and Sharon Sweetser, alleging that the Sweetsers had breached their duty to provide reasonable security from foreseeable criminal acts. More specifically, Bartley argued that the Sweetsers provided her with a windowless door which was latched with a simple push-button doorknob lock, failed to provide adequate security and adequate lighting of the common areas, and failed to warn Bartley that the apartment complex was prone to criminal activity. </w:t>
      </w:r>
      <w:r w:rsidRPr="00D811BA">
        <w:rPr>
          <w:rFonts w:ascii="Georgia" w:eastAsia="Times New Roman" w:hAnsi="Georgia" w:cs="Times New Roman"/>
          <w:i/>
          <w:iCs/>
          <w:sz w:val="24"/>
          <w:szCs w:val="24"/>
          <w:highlight w:val="cyan"/>
          <w:lang w:eastAsia="en-GB"/>
        </w:rPr>
        <w:t>Bartley, </w:t>
      </w:r>
      <w:r w:rsidRPr="00D811BA">
        <w:rPr>
          <w:rFonts w:ascii="Georgia" w:eastAsia="Times New Roman" w:hAnsi="Georgia" w:cs="Times New Roman"/>
          <w:color w:val="007BFF"/>
          <w:sz w:val="24"/>
          <w:szCs w:val="24"/>
          <w:highlight w:val="cyan"/>
          <w:lang w:eastAsia="en-GB"/>
        </w:rPr>
        <w:t>319 Ark. at 118</w:t>
      </w:r>
      <w:r w:rsidRPr="00D811BA">
        <w:rPr>
          <w:rFonts w:ascii="Georgia" w:eastAsia="Times New Roman" w:hAnsi="Georgia" w:cs="Times New Roman"/>
          <w:sz w:val="24"/>
          <w:szCs w:val="24"/>
          <w:highlight w:val="cyan"/>
          <w:lang w:eastAsia="en-GB"/>
        </w:rPr>
        <w:t>.</w:t>
      </w:r>
    </w:p>
    <w:p w14:paraId="48E19A47" w14:textId="7A6A4A71"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On appeal, the </w:t>
      </w:r>
      <w:r w:rsidRPr="00D811BA">
        <w:rPr>
          <w:rFonts w:ascii="Georgia" w:eastAsia="Times New Roman" w:hAnsi="Georgia" w:cs="Times New Roman"/>
          <w:i/>
          <w:iCs/>
          <w:sz w:val="24"/>
          <w:szCs w:val="24"/>
          <w:highlight w:val="cyan"/>
          <w:lang w:eastAsia="en-GB"/>
        </w:rPr>
        <w:t>Bartley</w:t>
      </w:r>
      <w:r w:rsidRPr="00214103">
        <w:rPr>
          <w:rFonts w:ascii="Georgia" w:eastAsia="Times New Roman" w:hAnsi="Georgia" w:cs="Times New Roman"/>
          <w:i/>
          <w:iCs/>
          <w:sz w:val="24"/>
          <w:szCs w:val="24"/>
          <w:lang w:eastAsia="en-GB"/>
        </w:rPr>
        <w:t> </w:t>
      </w:r>
      <w:r w:rsidRPr="00214103">
        <w:rPr>
          <w:rFonts w:ascii="Georgia" w:eastAsia="Times New Roman" w:hAnsi="Georgia" w:cs="Times New Roman"/>
          <w:sz w:val="24"/>
          <w:szCs w:val="24"/>
          <w:lang w:eastAsia="en-GB"/>
        </w:rPr>
        <w:t>court affirmed summary judgment in favor of the Sweetsers, holding that “a landlord, under Arkansas law, is not the insurer of the safety of tenants or others upon the premises.” The court went on to add that “while circumstances could arise under the terms of a lease between a landlord and tenant so as to impose a duty, those circumstances do not exist in this case.” </w:t>
      </w:r>
      <w:hyperlink r:id="rId14" w:history="1">
        <w:r w:rsidRPr="00D811BA">
          <w:rPr>
            <w:rFonts w:ascii="Georgia" w:eastAsia="Times New Roman" w:hAnsi="Georgia" w:cs="Times New Roman"/>
            <w:i/>
            <w:iCs/>
            <w:color w:val="007BFF"/>
            <w:sz w:val="24"/>
            <w:szCs w:val="24"/>
            <w:highlight w:val="cyan"/>
            <w:lang w:eastAsia="en-GB"/>
          </w:rPr>
          <w:t>Id. </w:t>
        </w:r>
      </w:hyperlink>
      <w:r w:rsidRPr="00D811BA">
        <w:rPr>
          <w:rFonts w:ascii="Georgia" w:eastAsia="Times New Roman" w:hAnsi="Georgia" w:cs="Times New Roman"/>
          <w:color w:val="007BFF"/>
          <w:sz w:val="24"/>
          <w:szCs w:val="24"/>
          <w:highlight w:val="cyan"/>
          <w:lang w:eastAsia="en-GB"/>
        </w:rPr>
        <w:t>at 122</w:t>
      </w:r>
      <w:r w:rsidRPr="00D811BA">
        <w:rPr>
          <w:rFonts w:ascii="Georgia" w:eastAsia="Times New Roman" w:hAnsi="Georgia" w:cs="Times New Roman"/>
          <w:sz w:val="24"/>
          <w:szCs w:val="24"/>
          <w:highlight w:val="cyan"/>
          <w:lang w:eastAsia="en-GB"/>
        </w:rPr>
        <w:t>.</w:t>
      </w:r>
    </w:p>
    <w:p w14:paraId="48E19A48" w14:textId="3349F391" w:rsidR="00214103" w:rsidRPr="00214103" w:rsidRDefault="00BF7995" w:rsidP="00214103">
      <w:pPr>
        <w:spacing w:before="100" w:beforeAutospacing="1" w:after="225" w:line="240" w:lineRule="auto"/>
        <w:rPr>
          <w:rFonts w:ascii="Georgia" w:eastAsia="Times New Roman" w:hAnsi="Georgia" w:cs="Times New Roman"/>
          <w:sz w:val="24"/>
          <w:szCs w:val="24"/>
          <w:lang w:eastAsia="en-GB"/>
        </w:rPr>
      </w:pPr>
      <w:hyperlink r:id="rId15" w:anchor="p369" w:history="1">
        <w:r w:rsidR="00214103" w:rsidRPr="00214103">
          <w:rPr>
            <w:rFonts w:ascii="Georgia" w:eastAsia="Times New Roman" w:hAnsi="Georgia" w:cs="Times New Roman"/>
            <w:i/>
            <w:iCs/>
            <w:color w:val="979797"/>
            <w:sz w:val="19"/>
            <w:szCs w:val="19"/>
            <w:lang w:eastAsia="en-GB"/>
          </w:rPr>
          <w:t>*369</w:t>
        </w:r>
      </w:hyperlink>
      <w:r w:rsidR="00214103" w:rsidRPr="00214103">
        <w:rPr>
          <w:rFonts w:ascii="Georgia" w:eastAsia="Times New Roman" w:hAnsi="Georgia" w:cs="Times New Roman"/>
          <w:sz w:val="24"/>
          <w:szCs w:val="24"/>
          <w:lang w:eastAsia="en-GB"/>
        </w:rPr>
        <w:t>The </w:t>
      </w:r>
      <w:r w:rsidR="00214103" w:rsidRPr="00D811BA">
        <w:rPr>
          <w:rFonts w:ascii="Georgia" w:eastAsia="Times New Roman" w:hAnsi="Georgia" w:cs="Times New Roman"/>
          <w:i/>
          <w:iCs/>
          <w:sz w:val="24"/>
          <w:szCs w:val="24"/>
          <w:highlight w:val="cyan"/>
          <w:lang w:eastAsia="en-GB"/>
        </w:rPr>
        <w:t>Bartley</w:t>
      </w:r>
      <w:r w:rsidR="00214103" w:rsidRPr="00214103">
        <w:rPr>
          <w:rFonts w:ascii="Georgia" w:eastAsia="Times New Roman" w:hAnsi="Georgia" w:cs="Times New Roman"/>
          <w:i/>
          <w:iCs/>
          <w:sz w:val="24"/>
          <w:szCs w:val="24"/>
          <w:lang w:eastAsia="en-GB"/>
        </w:rPr>
        <w:t> </w:t>
      </w:r>
      <w:r w:rsidR="00214103" w:rsidRPr="00214103">
        <w:rPr>
          <w:rFonts w:ascii="Georgia" w:eastAsia="Times New Roman" w:hAnsi="Georgia" w:cs="Times New Roman"/>
          <w:sz w:val="24"/>
          <w:szCs w:val="24"/>
          <w:lang w:eastAsia="en-GB"/>
        </w:rPr>
        <w:t>court recognized that, as a matter of public policy, it is unfair to impose such a high duty of protection on the landlord absent an agreement or statute. </w:t>
      </w:r>
      <w:r w:rsidR="00214103" w:rsidRPr="00214103">
        <w:rPr>
          <w:rFonts w:ascii="Georgia" w:eastAsia="Times New Roman" w:hAnsi="Georgia" w:cs="Times New Roman"/>
          <w:i/>
          <w:iCs/>
          <w:color w:val="007BFF"/>
          <w:sz w:val="24"/>
          <w:szCs w:val="24"/>
          <w:lang w:eastAsia="en-GB"/>
        </w:rPr>
        <w:t>Id.</w:t>
      </w:r>
      <w:r w:rsidR="00214103" w:rsidRPr="00214103">
        <w:rPr>
          <w:rFonts w:ascii="Georgia" w:eastAsia="Times New Roman" w:hAnsi="Georgia" w:cs="Times New Roman"/>
          <w:i/>
          <w:iCs/>
          <w:sz w:val="24"/>
          <w:szCs w:val="24"/>
          <w:lang w:eastAsia="en-GB"/>
        </w:rPr>
        <w:t> </w:t>
      </w:r>
      <w:r w:rsidR="00214103" w:rsidRPr="00214103">
        <w:rPr>
          <w:rFonts w:ascii="Georgia" w:eastAsia="Times New Roman" w:hAnsi="Georgia" w:cs="Times New Roman"/>
          <w:sz w:val="24"/>
          <w:szCs w:val="24"/>
          <w:lang w:eastAsia="en-GB"/>
        </w:rPr>
        <w:t>at 121 (citing </w:t>
      </w:r>
      <w:r w:rsidR="00214103" w:rsidRPr="00D811BA">
        <w:rPr>
          <w:rFonts w:ascii="Georgia" w:eastAsia="Times New Roman" w:hAnsi="Georgia" w:cs="Times New Roman"/>
          <w:i/>
          <w:iCs/>
          <w:sz w:val="24"/>
          <w:szCs w:val="24"/>
          <w:highlight w:val="cyan"/>
          <w:lang w:eastAsia="en-GB"/>
        </w:rPr>
        <w:t>American Law of Landlord Tenant </w:t>
      </w:r>
      <w:r w:rsidR="00214103" w:rsidRPr="00D811BA">
        <w:rPr>
          <w:rFonts w:ascii="Georgia" w:eastAsia="Times New Roman" w:hAnsi="Georgia" w:cs="Times New Roman"/>
          <w:sz w:val="24"/>
          <w:szCs w:val="24"/>
          <w:highlight w:val="cyan"/>
          <w:lang w:eastAsia="en-GB"/>
        </w:rPr>
        <w:t>§ 4.14 (1980)</w:t>
      </w:r>
      <w:r w:rsidR="00214103" w:rsidRPr="00214103">
        <w:rPr>
          <w:rFonts w:ascii="Georgia" w:eastAsia="Times New Roman" w:hAnsi="Georgia" w:cs="Times New Roman"/>
          <w:sz w:val="24"/>
          <w:szCs w:val="24"/>
          <w:lang w:eastAsia="en-GB"/>
        </w:rPr>
        <w:t>). The court then listed the reasons for this approach as follows:</w:t>
      </w:r>
    </w:p>
    <w:p w14:paraId="48E19A49" w14:textId="77777777" w:rsidR="00214103" w:rsidRPr="00214103" w:rsidRDefault="00214103" w:rsidP="00214103">
      <w:pPr>
        <w:spacing w:after="100" w:line="240" w:lineRule="auto"/>
        <w:rPr>
          <w:rFonts w:ascii="Georgia" w:eastAsia="Times New Roman" w:hAnsi="Georgia" w:cs="Times New Roman"/>
          <w:color w:val="004FB3"/>
          <w:sz w:val="24"/>
          <w:szCs w:val="24"/>
          <w:lang w:eastAsia="en-GB"/>
        </w:rPr>
      </w:pPr>
      <w:r w:rsidRPr="00214103">
        <w:rPr>
          <w:rFonts w:ascii="Georgia" w:eastAsia="Times New Roman" w:hAnsi="Georgia" w:cs="Times New Roman"/>
          <w:color w:val="004FB3"/>
          <w:sz w:val="24"/>
          <w:szCs w:val="24"/>
          <w:lang w:eastAsia="en-GB"/>
        </w:rPr>
        <w:t>Judicial reluctance to tamper with the common law concept of the landlord-tenant relationship; the notion that the act of a third person in committing an intentional tort or crime is a superseding cause of harm to another; . . . the often times difficult problem of determining foreseeability of criminal acts; the vagueness of the standard which the landlord must meet; the economic consequences of the imposition of the duty; and the conflict with public policy allocating the duty of protecting citizens from criminal acts to the government rather than the private sector.</w:t>
      </w:r>
    </w:p>
    <w:p w14:paraId="48E19A4A" w14:textId="77777777" w:rsidR="00214103" w:rsidRPr="00214103" w:rsidRDefault="00BF7995" w:rsidP="00214103">
      <w:pPr>
        <w:spacing w:before="100" w:beforeAutospacing="1" w:after="225" w:line="240" w:lineRule="auto"/>
        <w:rPr>
          <w:rFonts w:ascii="Georgia" w:eastAsia="Times New Roman" w:hAnsi="Georgia" w:cs="Times New Roman"/>
          <w:sz w:val="24"/>
          <w:szCs w:val="24"/>
          <w:lang w:eastAsia="en-GB"/>
        </w:rPr>
      </w:pPr>
      <w:hyperlink r:id="rId16" w:history="1">
        <w:r w:rsidR="00214103" w:rsidRPr="00214103">
          <w:rPr>
            <w:rFonts w:ascii="Georgia" w:eastAsia="Times New Roman" w:hAnsi="Georgia" w:cs="Times New Roman"/>
            <w:i/>
            <w:iCs/>
            <w:color w:val="007BFF"/>
            <w:sz w:val="24"/>
            <w:szCs w:val="24"/>
            <w:lang w:eastAsia="en-GB"/>
          </w:rPr>
          <w:t>Id.</w:t>
        </w:r>
      </w:hyperlink>
    </w:p>
    <w:p w14:paraId="48E19A4B" w14:textId="4258D18C"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Two years after the </w:t>
      </w:r>
      <w:r w:rsidRPr="00D811BA">
        <w:rPr>
          <w:rFonts w:ascii="Georgia" w:eastAsia="Times New Roman" w:hAnsi="Georgia" w:cs="Times New Roman"/>
          <w:i/>
          <w:iCs/>
          <w:sz w:val="24"/>
          <w:szCs w:val="24"/>
          <w:highlight w:val="cyan"/>
          <w:lang w:eastAsia="en-GB"/>
        </w:rPr>
        <w:t>Bartley</w:t>
      </w:r>
      <w:r w:rsidRPr="00214103">
        <w:rPr>
          <w:rFonts w:ascii="Georgia" w:eastAsia="Times New Roman" w:hAnsi="Georgia" w:cs="Times New Roman"/>
          <w:i/>
          <w:iCs/>
          <w:sz w:val="24"/>
          <w:szCs w:val="24"/>
          <w:lang w:eastAsia="en-GB"/>
        </w:rPr>
        <w:t> </w:t>
      </w:r>
      <w:r w:rsidRPr="00214103">
        <w:rPr>
          <w:rFonts w:ascii="Georgia" w:eastAsia="Times New Roman" w:hAnsi="Georgia" w:cs="Times New Roman"/>
          <w:sz w:val="24"/>
          <w:szCs w:val="24"/>
          <w:lang w:eastAsia="en-GB"/>
        </w:rPr>
        <w:t>decision, this court was called on to apply the rules in </w:t>
      </w:r>
      <w:r w:rsidRPr="00D811BA">
        <w:rPr>
          <w:rFonts w:ascii="Georgia" w:eastAsia="Times New Roman" w:hAnsi="Georgia" w:cs="Times New Roman"/>
          <w:i/>
          <w:iCs/>
          <w:sz w:val="24"/>
          <w:szCs w:val="24"/>
          <w:highlight w:val="cyan"/>
          <w:lang w:eastAsia="en-GB"/>
        </w:rPr>
        <w:t>Bartley</w:t>
      </w:r>
      <w:r w:rsidRPr="00214103">
        <w:rPr>
          <w:rFonts w:ascii="Georgia" w:eastAsia="Times New Roman" w:hAnsi="Georgia" w:cs="Times New Roman"/>
          <w:i/>
          <w:iCs/>
          <w:sz w:val="24"/>
          <w:szCs w:val="24"/>
          <w:lang w:eastAsia="en-GB"/>
        </w:rPr>
        <w:t> </w:t>
      </w:r>
      <w:r w:rsidRPr="00214103">
        <w:rPr>
          <w:rFonts w:ascii="Georgia" w:eastAsia="Times New Roman" w:hAnsi="Georgia" w:cs="Times New Roman"/>
          <w:sz w:val="24"/>
          <w:szCs w:val="24"/>
          <w:lang w:eastAsia="en-GB"/>
        </w:rPr>
        <w:t>to the facts and circumstances presented in </w:t>
      </w:r>
      <w:r w:rsidRPr="00D811BA">
        <w:rPr>
          <w:rFonts w:ascii="Georgia" w:eastAsia="Times New Roman" w:hAnsi="Georgia" w:cs="Times New Roman"/>
          <w:i/>
          <w:iCs/>
          <w:sz w:val="24"/>
          <w:szCs w:val="24"/>
          <w:highlight w:val="cyan"/>
          <w:lang w:eastAsia="en-GB"/>
        </w:rPr>
        <w:t>Hall v. Rental Management, Inc., </w:t>
      </w:r>
      <w:r w:rsidRPr="00D811BA">
        <w:rPr>
          <w:rFonts w:ascii="Georgia" w:eastAsia="Times New Roman" w:hAnsi="Georgia" w:cs="Times New Roman"/>
          <w:i/>
          <w:iCs/>
          <w:color w:val="007BFF"/>
          <w:sz w:val="24"/>
          <w:szCs w:val="24"/>
          <w:highlight w:val="cyan"/>
          <w:lang w:eastAsia="en-GB"/>
        </w:rPr>
        <w:t>supra.</w:t>
      </w:r>
      <w:r w:rsidRPr="00214103">
        <w:rPr>
          <w:rFonts w:ascii="Georgia" w:eastAsia="Times New Roman" w:hAnsi="Georgia" w:cs="Times New Roman"/>
          <w:i/>
          <w:iCs/>
          <w:sz w:val="24"/>
          <w:szCs w:val="24"/>
          <w:lang w:eastAsia="en-GB"/>
        </w:rPr>
        <w:t> </w:t>
      </w:r>
      <w:r w:rsidRPr="00214103">
        <w:rPr>
          <w:rFonts w:ascii="Georgia" w:eastAsia="Times New Roman" w:hAnsi="Georgia" w:cs="Times New Roman"/>
          <w:sz w:val="24"/>
          <w:szCs w:val="24"/>
          <w:lang w:eastAsia="en-GB"/>
        </w:rPr>
        <w:t>There, Flazel Flail, a resident of an apartment complex, brought an action against her landlord, RMI, after her son was shot and killed on RMI’s premises. Hall claimed that RMI voluntarily undertook a duty to provide security and, having done so, was bound to use reasonable care. This court affirmed summary judgment in favor of RMI and reasoned as follows:</w:t>
      </w:r>
    </w:p>
    <w:p w14:paraId="48E19A4C" w14:textId="77777777" w:rsidR="00214103" w:rsidRPr="00214103" w:rsidRDefault="00214103" w:rsidP="00214103">
      <w:pPr>
        <w:spacing w:after="100" w:line="240" w:lineRule="auto"/>
        <w:rPr>
          <w:rFonts w:ascii="Georgia" w:eastAsia="Times New Roman" w:hAnsi="Georgia" w:cs="Times New Roman"/>
          <w:color w:val="004FB3"/>
          <w:sz w:val="24"/>
          <w:szCs w:val="24"/>
          <w:lang w:eastAsia="en-GB"/>
        </w:rPr>
      </w:pPr>
      <w:r w:rsidRPr="00214103">
        <w:rPr>
          <w:rFonts w:ascii="Georgia" w:eastAsia="Times New Roman" w:hAnsi="Georgia" w:cs="Times New Roman"/>
          <w:color w:val="004FB3"/>
          <w:sz w:val="24"/>
          <w:szCs w:val="24"/>
          <w:lang w:eastAsia="en-GB"/>
        </w:rPr>
        <w:t>[RMI’s] implementation of certain practices such as lighting, evening patrols, and communicating with residents regarding suspicious activities help assure the quiet enjoyment and basic safety of the tenants, in addition to providing a modicum of deterrence to criminal activity. We are reluctant to hold that a landlord’s use of these modest, conscientious measures imposes a full blown duty to protect tenants from third party criminal activities.</w:t>
      </w:r>
    </w:p>
    <w:p w14:paraId="48E19A4D" w14:textId="17400731"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D811BA">
        <w:rPr>
          <w:rFonts w:ascii="Georgia" w:eastAsia="Times New Roman" w:hAnsi="Georgia" w:cs="Times New Roman"/>
          <w:i/>
          <w:iCs/>
          <w:sz w:val="24"/>
          <w:szCs w:val="24"/>
          <w:highlight w:val="cyan"/>
          <w:lang w:eastAsia="en-GB"/>
        </w:rPr>
        <w:t>Hall, </w:t>
      </w:r>
      <w:hyperlink r:id="rId17" w:history="1">
        <w:r w:rsidRPr="00D811BA">
          <w:rPr>
            <w:rFonts w:ascii="Georgia" w:eastAsia="Times New Roman" w:hAnsi="Georgia" w:cs="Times New Roman"/>
            <w:color w:val="007BFF"/>
            <w:sz w:val="24"/>
            <w:szCs w:val="24"/>
            <w:highlight w:val="cyan"/>
            <w:lang w:eastAsia="en-GB"/>
          </w:rPr>
          <w:t>323 Ark. at 149-50</w:t>
        </w:r>
      </w:hyperlink>
      <w:r w:rsidRPr="00214103">
        <w:rPr>
          <w:rFonts w:ascii="Georgia" w:eastAsia="Times New Roman" w:hAnsi="Georgia" w:cs="Times New Roman"/>
          <w:sz w:val="24"/>
          <w:szCs w:val="24"/>
          <w:lang w:eastAsia="en-GB"/>
        </w:rPr>
        <w:t>; </w:t>
      </w:r>
      <w:r w:rsidRPr="00214103">
        <w:rPr>
          <w:rFonts w:ascii="Georgia" w:eastAsia="Times New Roman" w:hAnsi="Georgia" w:cs="Times New Roman"/>
          <w:i/>
          <w:iCs/>
          <w:sz w:val="24"/>
          <w:szCs w:val="24"/>
          <w:lang w:eastAsia="en-GB"/>
        </w:rPr>
        <w:t xml:space="preserve">see also </w:t>
      </w:r>
      <w:r w:rsidRPr="00D811BA">
        <w:rPr>
          <w:rFonts w:ascii="Georgia" w:eastAsia="Times New Roman" w:hAnsi="Georgia" w:cs="Times New Roman"/>
          <w:i/>
          <w:iCs/>
          <w:sz w:val="24"/>
          <w:szCs w:val="24"/>
          <w:highlight w:val="cyan"/>
          <w:lang w:eastAsia="en-GB"/>
        </w:rPr>
        <w:t>Steward v. McDonald, </w:t>
      </w:r>
      <w:r w:rsidRPr="00D811BA">
        <w:rPr>
          <w:rFonts w:ascii="Georgia" w:eastAsia="Times New Roman" w:hAnsi="Georgia" w:cs="Times New Roman"/>
          <w:color w:val="007BFF"/>
          <w:sz w:val="24"/>
          <w:szCs w:val="24"/>
          <w:highlight w:val="cyan"/>
          <w:lang w:eastAsia="en-GB"/>
        </w:rPr>
        <w:t>330 Ark. 837</w:t>
      </w:r>
      <w:r w:rsidRPr="00D811BA">
        <w:rPr>
          <w:rFonts w:ascii="Georgia" w:eastAsia="Times New Roman" w:hAnsi="Georgia" w:cs="Times New Roman"/>
          <w:sz w:val="24"/>
          <w:szCs w:val="24"/>
          <w:highlight w:val="cyan"/>
          <w:lang w:eastAsia="en-GB"/>
        </w:rPr>
        <w:t>, </w:t>
      </w:r>
      <w:hyperlink r:id="rId18" w:history="1">
        <w:r w:rsidRPr="00D811BA">
          <w:rPr>
            <w:rFonts w:ascii="Georgia" w:eastAsia="Times New Roman" w:hAnsi="Georgia" w:cs="Times New Roman"/>
            <w:color w:val="007BFF"/>
            <w:sz w:val="24"/>
            <w:szCs w:val="24"/>
            <w:highlight w:val="cyan"/>
            <w:lang w:eastAsia="en-GB"/>
          </w:rPr>
          <w:t>958 S.W.2d 297</w:t>
        </w:r>
      </w:hyperlink>
      <w:r w:rsidRPr="00D811BA">
        <w:rPr>
          <w:rFonts w:ascii="Georgia" w:eastAsia="Times New Roman" w:hAnsi="Georgia" w:cs="Times New Roman"/>
          <w:sz w:val="24"/>
          <w:szCs w:val="24"/>
          <w:highlight w:val="cyan"/>
          <w:lang w:eastAsia="en-GB"/>
        </w:rPr>
        <w:t> (1997)</w:t>
      </w:r>
      <w:r w:rsidRPr="00214103">
        <w:rPr>
          <w:rFonts w:ascii="Georgia" w:eastAsia="Times New Roman" w:hAnsi="Georgia" w:cs="Times New Roman"/>
          <w:sz w:val="24"/>
          <w:szCs w:val="24"/>
          <w:lang w:eastAsia="en-GB"/>
        </w:rPr>
        <w:t xml:space="preserve"> (holding that, without an assumption of responsibility for repairs, there is no common-law duty imposed upon landlords to provide a safe workplace for the employees of their tenant).</w:t>
      </w:r>
    </w:p>
    <w:p w14:paraId="48E19A4E" w14:textId="2A4115AA"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D811BA">
        <w:rPr>
          <w:rFonts w:ascii="Georgia" w:eastAsia="Times New Roman" w:hAnsi="Georgia" w:cs="Times New Roman"/>
          <w:sz w:val="24"/>
          <w:szCs w:val="24"/>
          <w:highlight w:val="green"/>
          <w:lang w:eastAsia="en-GB"/>
        </w:rPr>
        <w:t>Given this background, the relevant question in this case is whether U.S. Bank and Flake removed themselves from the general rule by assuming a duty to protect Lacy from criminal </w:t>
      </w:r>
      <w:r w:rsidRPr="00D811BA">
        <w:rPr>
          <w:rFonts w:ascii="Georgia" w:eastAsia="Times New Roman" w:hAnsi="Georgia" w:cs="Times New Roman"/>
          <w:i/>
          <w:iCs/>
          <w:color w:val="979797"/>
          <w:sz w:val="19"/>
          <w:szCs w:val="19"/>
          <w:highlight w:val="green"/>
          <w:lang w:eastAsia="en-GB"/>
        </w:rPr>
        <w:t>*370</w:t>
      </w:r>
      <w:r w:rsidRPr="00D811BA">
        <w:rPr>
          <w:rFonts w:ascii="Georgia" w:eastAsia="Times New Roman" w:hAnsi="Georgia" w:cs="Times New Roman"/>
          <w:sz w:val="24"/>
          <w:szCs w:val="24"/>
          <w:highlight w:val="green"/>
          <w:lang w:eastAsia="en-GB"/>
        </w:rPr>
        <w:t>attacks. A plain reading of the lease clearly shows that this has not occurred. U.S. Bank may have assumed a duty to monitor entry into the building; however, there is nothing in the lease terms that could give rise to a duty to protect tenants from criminal attacks by third parties in the parking lot. Moreover, Lacy points to no conduct by either U.S. Bank or Flake that could give rise to such a comprehensive duty. As a result, Lacy’s first argument must fail.</w:t>
      </w:r>
    </w:p>
    <w:p w14:paraId="48E19A4F" w14:textId="779AC753"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Next, Lacy argues that she was an invitee because she was on the property for the benefit of U.S. Bank. </w:t>
      </w:r>
      <w:r w:rsidRPr="00214103">
        <w:rPr>
          <w:rFonts w:ascii="Georgia" w:eastAsia="Times New Roman" w:hAnsi="Georgia" w:cs="Times New Roman"/>
          <w:i/>
          <w:iCs/>
          <w:sz w:val="24"/>
          <w:szCs w:val="24"/>
          <w:lang w:eastAsia="en-GB"/>
        </w:rPr>
        <w:t>Tucker v. Sullivan, </w:t>
      </w:r>
      <w:hyperlink r:id="rId19" w:history="1">
        <w:r w:rsidRPr="00214103">
          <w:rPr>
            <w:rFonts w:ascii="Georgia" w:eastAsia="Times New Roman" w:hAnsi="Georgia" w:cs="Times New Roman"/>
            <w:color w:val="007BFF"/>
            <w:sz w:val="24"/>
            <w:szCs w:val="24"/>
            <w:lang w:eastAsia="en-GB"/>
          </w:rPr>
          <w:t>307 Ark. 440</w:t>
        </w:r>
      </w:hyperlink>
      <w:r w:rsidRPr="00214103">
        <w:rPr>
          <w:rFonts w:ascii="Georgia" w:eastAsia="Times New Roman" w:hAnsi="Georgia" w:cs="Times New Roman"/>
          <w:sz w:val="24"/>
          <w:szCs w:val="24"/>
          <w:lang w:eastAsia="en-GB"/>
        </w:rPr>
        <w:t>, </w:t>
      </w:r>
      <w:r w:rsidRPr="00214103">
        <w:rPr>
          <w:rFonts w:ascii="Georgia" w:eastAsia="Times New Roman" w:hAnsi="Georgia" w:cs="Times New Roman"/>
          <w:color w:val="007BFF"/>
          <w:sz w:val="24"/>
          <w:szCs w:val="24"/>
          <w:lang w:eastAsia="en-GB"/>
        </w:rPr>
        <w:t>821 S.W.2d 470</w:t>
      </w:r>
      <w:r w:rsidRPr="00214103">
        <w:rPr>
          <w:rFonts w:ascii="Georgia" w:eastAsia="Times New Roman" w:hAnsi="Georgia" w:cs="Times New Roman"/>
          <w:sz w:val="24"/>
          <w:szCs w:val="24"/>
          <w:lang w:eastAsia="en-GB"/>
        </w:rPr>
        <w:t> (1991) (defining invitee as “one induced to come onto [the] property for the business benefit of the possessor”). Under the law of this state, an owner owes an invitee an affirmative duty to see that the premises are reasonably safe. </w:t>
      </w:r>
      <w:r w:rsidRPr="00214103">
        <w:rPr>
          <w:rFonts w:ascii="Georgia" w:eastAsia="Times New Roman" w:hAnsi="Georgia" w:cs="Times New Roman"/>
          <w:i/>
          <w:iCs/>
          <w:sz w:val="24"/>
          <w:szCs w:val="24"/>
          <w:lang w:eastAsia="en-GB"/>
        </w:rPr>
        <w:t>Kay v. Kay, </w:t>
      </w:r>
      <w:hyperlink r:id="rId20" w:history="1">
        <w:r w:rsidRPr="00214103">
          <w:rPr>
            <w:rFonts w:ascii="Georgia" w:eastAsia="Times New Roman" w:hAnsi="Georgia" w:cs="Times New Roman"/>
            <w:color w:val="007BFF"/>
            <w:sz w:val="24"/>
            <w:szCs w:val="24"/>
            <w:lang w:eastAsia="en-GB"/>
          </w:rPr>
          <w:t>306 Ark. 322</w:t>
        </w:r>
      </w:hyperlink>
      <w:r w:rsidRPr="00214103">
        <w:rPr>
          <w:rFonts w:ascii="Georgia" w:eastAsia="Times New Roman" w:hAnsi="Georgia" w:cs="Times New Roman"/>
          <w:sz w:val="24"/>
          <w:szCs w:val="24"/>
          <w:lang w:eastAsia="en-GB"/>
        </w:rPr>
        <w:t>, </w:t>
      </w:r>
      <w:r w:rsidRPr="00214103">
        <w:rPr>
          <w:rFonts w:ascii="Georgia" w:eastAsia="Times New Roman" w:hAnsi="Georgia" w:cs="Times New Roman"/>
          <w:color w:val="007BFF"/>
          <w:sz w:val="24"/>
          <w:szCs w:val="24"/>
          <w:lang w:eastAsia="en-GB"/>
        </w:rPr>
        <w:t>812 S.W.2d 685</w:t>
      </w:r>
      <w:r w:rsidRPr="00214103">
        <w:rPr>
          <w:rFonts w:ascii="Georgia" w:eastAsia="Times New Roman" w:hAnsi="Georgia" w:cs="Times New Roman"/>
          <w:sz w:val="24"/>
          <w:szCs w:val="24"/>
          <w:lang w:eastAsia="en-GB"/>
        </w:rPr>
        <w:t> (1991).</w:t>
      </w:r>
    </w:p>
    <w:p w14:paraId="48E19A50" w14:textId="5CB1EE89"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Lacy cites to this court’s decision in </w:t>
      </w:r>
      <w:r w:rsidRPr="00214103">
        <w:rPr>
          <w:rFonts w:ascii="Georgia" w:eastAsia="Times New Roman" w:hAnsi="Georgia" w:cs="Times New Roman"/>
          <w:i/>
          <w:iCs/>
          <w:sz w:val="24"/>
          <w:szCs w:val="24"/>
          <w:lang w:eastAsia="en-GB"/>
        </w:rPr>
        <w:t>Kay, </w:t>
      </w:r>
      <w:hyperlink r:id="rId21" w:history="1">
        <w:r w:rsidRPr="00214103">
          <w:rPr>
            <w:rFonts w:ascii="Georgia" w:eastAsia="Times New Roman" w:hAnsi="Georgia" w:cs="Times New Roman"/>
            <w:i/>
            <w:iCs/>
            <w:color w:val="007BFF"/>
            <w:sz w:val="24"/>
            <w:szCs w:val="24"/>
            <w:lang w:eastAsia="en-GB"/>
          </w:rPr>
          <w:t>supra,</w:t>
        </w:r>
      </w:hyperlink>
      <w:r w:rsidRPr="00214103">
        <w:rPr>
          <w:rFonts w:ascii="Georgia" w:eastAsia="Times New Roman" w:hAnsi="Georgia" w:cs="Times New Roman"/>
          <w:i/>
          <w:iCs/>
          <w:sz w:val="24"/>
          <w:szCs w:val="24"/>
          <w:lang w:eastAsia="en-GB"/>
        </w:rPr>
        <w:t> </w:t>
      </w:r>
      <w:r w:rsidRPr="00214103">
        <w:rPr>
          <w:rFonts w:ascii="Georgia" w:eastAsia="Times New Roman" w:hAnsi="Georgia" w:cs="Times New Roman"/>
          <w:sz w:val="24"/>
          <w:szCs w:val="24"/>
          <w:lang w:eastAsia="en-GB"/>
        </w:rPr>
        <w:t>in support of her position. In the </w:t>
      </w:r>
      <w:r w:rsidRPr="00214103">
        <w:rPr>
          <w:rFonts w:ascii="Georgia" w:eastAsia="Times New Roman" w:hAnsi="Georgia" w:cs="Times New Roman"/>
          <w:i/>
          <w:iCs/>
          <w:sz w:val="24"/>
          <w:szCs w:val="24"/>
          <w:lang w:eastAsia="en-GB"/>
        </w:rPr>
        <w:t>Kay </w:t>
      </w:r>
      <w:r w:rsidRPr="00214103">
        <w:rPr>
          <w:rFonts w:ascii="Georgia" w:eastAsia="Times New Roman" w:hAnsi="Georgia" w:cs="Times New Roman"/>
          <w:sz w:val="24"/>
          <w:szCs w:val="24"/>
          <w:lang w:eastAsia="en-GB"/>
        </w:rPr>
        <w:t>case, Mary Flarris, a housekeeper, was bitten by a brown recluse spider while working in the home of Thomas and Gladys Kay. Harris’s complaint alleged that the Kays knew of the presence of spiders in their home and did nothing to make the premises safe for her. Given the facts, it was clear that Harris was on the property for the benefit of the Kays, who had dual roles as both employers and property owners. As a result, this court labeled Harris as an invitee and held that “an employee working on her employer’s premises is an invitee.” </w:t>
      </w:r>
      <w:r w:rsidRPr="00214103">
        <w:rPr>
          <w:rFonts w:ascii="Georgia" w:eastAsia="Times New Roman" w:hAnsi="Georgia" w:cs="Times New Roman"/>
          <w:i/>
          <w:iCs/>
          <w:sz w:val="24"/>
          <w:szCs w:val="24"/>
          <w:lang w:eastAsia="en-GB"/>
        </w:rPr>
        <w:t>Kay, </w:t>
      </w:r>
      <w:r w:rsidRPr="00214103">
        <w:rPr>
          <w:rFonts w:ascii="Georgia" w:eastAsia="Times New Roman" w:hAnsi="Georgia" w:cs="Times New Roman"/>
          <w:color w:val="007BFF"/>
          <w:sz w:val="24"/>
          <w:szCs w:val="24"/>
          <w:lang w:eastAsia="en-GB"/>
        </w:rPr>
        <w:t>306 Ark. at 323</w:t>
      </w:r>
      <w:r w:rsidRPr="00214103">
        <w:rPr>
          <w:rFonts w:ascii="Georgia" w:eastAsia="Times New Roman" w:hAnsi="Georgia" w:cs="Times New Roman"/>
          <w:sz w:val="24"/>
          <w:szCs w:val="24"/>
          <w:lang w:eastAsia="en-GB"/>
        </w:rPr>
        <w:t>.</w:t>
      </w:r>
    </w:p>
    <w:p w14:paraId="48E19A51" w14:textId="24364944"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The case at bar is easily distinguishable from the </w:t>
      </w:r>
      <w:r w:rsidRPr="00214103">
        <w:rPr>
          <w:rFonts w:ascii="Georgia" w:eastAsia="Times New Roman" w:hAnsi="Georgia" w:cs="Times New Roman"/>
          <w:i/>
          <w:iCs/>
          <w:sz w:val="24"/>
          <w:szCs w:val="24"/>
          <w:lang w:eastAsia="en-GB"/>
        </w:rPr>
        <w:t>Kay </w:t>
      </w:r>
      <w:r w:rsidRPr="00214103">
        <w:rPr>
          <w:rFonts w:ascii="Georgia" w:eastAsia="Times New Roman" w:hAnsi="Georgia" w:cs="Times New Roman"/>
          <w:sz w:val="24"/>
          <w:szCs w:val="24"/>
          <w:lang w:eastAsia="en-GB"/>
        </w:rPr>
        <w:t>case in that Lacy was not an employee of U.S. Bank — she was a tenant. Here, unlike the housekeeper in </w:t>
      </w:r>
      <w:r w:rsidRPr="00214103">
        <w:rPr>
          <w:rFonts w:ascii="Georgia" w:eastAsia="Times New Roman" w:hAnsi="Georgia" w:cs="Times New Roman"/>
          <w:i/>
          <w:iCs/>
          <w:sz w:val="24"/>
          <w:szCs w:val="24"/>
          <w:lang w:eastAsia="en-GB"/>
        </w:rPr>
        <w:t>Kay, </w:t>
      </w:r>
      <w:r w:rsidRPr="00214103">
        <w:rPr>
          <w:rFonts w:ascii="Georgia" w:eastAsia="Times New Roman" w:hAnsi="Georgia" w:cs="Times New Roman"/>
          <w:sz w:val="24"/>
          <w:szCs w:val="24"/>
          <w:lang w:eastAsia="en-GB"/>
        </w:rPr>
        <w:t xml:space="preserve">Lacy has made no allegations that she was on the property for the benefit of U.S. Bank. It is undisputed that Lacy did not work for U.S. Bank, nor was she banking with U.S. Bank at the time of the incident in question. Simply put, </w:t>
      </w:r>
      <w:r w:rsidRPr="00D811BA">
        <w:rPr>
          <w:rFonts w:ascii="Georgia" w:eastAsia="Times New Roman" w:hAnsi="Georgia" w:cs="Times New Roman"/>
          <w:sz w:val="24"/>
          <w:szCs w:val="24"/>
          <w:highlight w:val="yellow"/>
          <w:lang w:eastAsia="en-GB"/>
        </w:rPr>
        <w:t>Lacy was not an invitee, and U.S. Bank did not owe her an affirmative duty to see that the premises were reasonably safe.</w:t>
      </w:r>
      <w:r w:rsidRPr="00214103">
        <w:rPr>
          <w:rFonts w:ascii="Georgia" w:eastAsia="Times New Roman" w:hAnsi="Georgia" w:cs="Times New Roman"/>
          <w:sz w:val="24"/>
          <w:szCs w:val="24"/>
          <w:lang w:eastAsia="en-GB"/>
        </w:rPr>
        <w:t xml:space="preserve"> For this reason, Lacy’s second argument must also fail. </w:t>
      </w:r>
      <w:r w:rsidRPr="00214103">
        <w:rPr>
          <w:rFonts w:ascii="Georgia" w:eastAsia="Times New Roman" w:hAnsi="Georgia" w:cs="Times New Roman"/>
          <w:i/>
          <w:iCs/>
          <w:sz w:val="24"/>
          <w:szCs w:val="24"/>
          <w:lang w:eastAsia="en-GB"/>
        </w:rPr>
        <w:t>See Wheeler v. Phillips Dev. Corp., </w:t>
      </w:r>
      <w:hyperlink r:id="rId22" w:history="1">
        <w:r w:rsidRPr="00214103">
          <w:rPr>
            <w:rFonts w:ascii="Georgia" w:eastAsia="Times New Roman" w:hAnsi="Georgia" w:cs="Times New Roman"/>
            <w:color w:val="007BFF"/>
            <w:sz w:val="24"/>
            <w:szCs w:val="24"/>
            <w:lang w:eastAsia="en-GB"/>
          </w:rPr>
          <w:t>329 Ark. 354</w:t>
        </w:r>
      </w:hyperlink>
      <w:r w:rsidRPr="00214103">
        <w:rPr>
          <w:rFonts w:ascii="Georgia" w:eastAsia="Times New Roman" w:hAnsi="Georgia" w:cs="Times New Roman"/>
          <w:sz w:val="24"/>
          <w:szCs w:val="24"/>
          <w:lang w:eastAsia="en-GB"/>
        </w:rPr>
        <w:t>, </w:t>
      </w:r>
      <w:r w:rsidRPr="00214103">
        <w:rPr>
          <w:rFonts w:ascii="Georgia" w:eastAsia="Times New Roman" w:hAnsi="Georgia" w:cs="Times New Roman"/>
          <w:color w:val="007BFF"/>
          <w:sz w:val="24"/>
          <w:szCs w:val="24"/>
          <w:lang w:eastAsia="en-GB"/>
        </w:rPr>
        <w:t>947 S.W.2d 380</w:t>
      </w:r>
      <w:r w:rsidRPr="00214103">
        <w:rPr>
          <w:rFonts w:ascii="Georgia" w:eastAsia="Times New Roman" w:hAnsi="Georgia" w:cs="Times New Roman"/>
          <w:sz w:val="24"/>
          <w:szCs w:val="24"/>
          <w:lang w:eastAsia="en-GB"/>
        </w:rPr>
        <w:t> (1997) (holding that a tenant is not an invitee on her landlord’s premises).</w:t>
      </w:r>
    </w:p>
    <w:p w14:paraId="48E19A52" w14:textId="51DABA38"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D811BA">
        <w:rPr>
          <w:rFonts w:ascii="Georgia" w:eastAsia="Times New Roman" w:hAnsi="Georgia" w:cs="Times New Roman"/>
          <w:sz w:val="24"/>
          <w:szCs w:val="24"/>
          <w:highlight w:val="green"/>
          <w:lang w:eastAsia="en-GB"/>
        </w:rPr>
        <w:t>Overall, neither U.S. Bank nor Flake assumed a duty to protect Lacy from the incident in question. In addition, under Arkansas law, Lacy does not fall under the definition of a </w:t>
      </w:r>
      <w:hyperlink r:id="rId23" w:anchor="p371" w:history="1">
        <w:r w:rsidRPr="00D811BA">
          <w:rPr>
            <w:rFonts w:ascii="Georgia" w:eastAsia="Times New Roman" w:hAnsi="Georgia" w:cs="Times New Roman"/>
            <w:i/>
            <w:iCs/>
            <w:color w:val="979797"/>
            <w:sz w:val="19"/>
            <w:szCs w:val="19"/>
            <w:highlight w:val="green"/>
            <w:lang w:eastAsia="en-GB"/>
          </w:rPr>
          <w:t>*371</w:t>
        </w:r>
      </w:hyperlink>
      <w:r w:rsidRPr="00D811BA">
        <w:rPr>
          <w:rFonts w:ascii="Georgia" w:eastAsia="Times New Roman" w:hAnsi="Georgia" w:cs="Times New Roman"/>
          <w:sz w:val="24"/>
          <w:szCs w:val="24"/>
          <w:highlight w:val="green"/>
          <w:lang w:eastAsia="en-GB"/>
        </w:rPr>
        <w:t>business invitee; thus, neither U.S. Bank nor Flake owed a duty of ordinary care. In short, Lacy has not established the element of duty.</w:t>
      </w:r>
      <w:r w:rsidRPr="00214103">
        <w:rPr>
          <w:rFonts w:ascii="Georgia" w:eastAsia="Times New Roman" w:hAnsi="Georgia" w:cs="Times New Roman"/>
          <w:sz w:val="24"/>
          <w:szCs w:val="24"/>
          <w:lang w:eastAsia="en-GB"/>
        </w:rPr>
        <w:t xml:space="preserve"> Because of this holding, we need not address Lacy’s remaining arguments. The issue of whether a duty exists is always a question of law, not to be decided by a trier of fact. </w:t>
      </w:r>
      <w:r w:rsidRPr="00214103">
        <w:rPr>
          <w:rFonts w:ascii="Georgia" w:eastAsia="Times New Roman" w:hAnsi="Georgia" w:cs="Times New Roman"/>
          <w:i/>
          <w:iCs/>
          <w:sz w:val="24"/>
          <w:szCs w:val="24"/>
          <w:lang w:eastAsia="en-GB"/>
        </w:rPr>
        <w:t>Hall, supra. </w:t>
      </w:r>
      <w:r w:rsidRPr="00214103">
        <w:rPr>
          <w:rFonts w:ascii="Georgia" w:eastAsia="Times New Roman" w:hAnsi="Georgia" w:cs="Times New Roman"/>
          <w:sz w:val="24"/>
          <w:szCs w:val="24"/>
          <w:lang w:eastAsia="en-GB"/>
        </w:rPr>
        <w:t>If no duty of care is owed, summary judgment is appropriate. </w:t>
      </w:r>
      <w:r w:rsidRPr="00D811BA">
        <w:rPr>
          <w:rFonts w:ascii="Georgia" w:eastAsia="Times New Roman" w:hAnsi="Georgia" w:cs="Times New Roman"/>
          <w:i/>
          <w:iCs/>
          <w:sz w:val="24"/>
          <w:szCs w:val="24"/>
          <w:highlight w:val="cyan"/>
          <w:lang w:eastAsia="en-GB"/>
        </w:rPr>
        <w:t>Smith v. Hanson, </w:t>
      </w:r>
      <w:r w:rsidRPr="00D811BA">
        <w:rPr>
          <w:rFonts w:ascii="Georgia" w:eastAsia="Times New Roman" w:hAnsi="Georgia" w:cs="Times New Roman"/>
          <w:color w:val="007BFF"/>
          <w:sz w:val="24"/>
          <w:szCs w:val="24"/>
          <w:highlight w:val="cyan"/>
          <w:lang w:eastAsia="en-GB"/>
        </w:rPr>
        <w:t>323 Ark. 188</w:t>
      </w:r>
      <w:r w:rsidRPr="00D811BA">
        <w:rPr>
          <w:rFonts w:ascii="Georgia" w:eastAsia="Times New Roman" w:hAnsi="Georgia" w:cs="Times New Roman"/>
          <w:sz w:val="24"/>
          <w:szCs w:val="24"/>
          <w:highlight w:val="cyan"/>
          <w:lang w:eastAsia="en-GB"/>
        </w:rPr>
        <w:t>, </w:t>
      </w:r>
      <w:hyperlink r:id="rId24" w:history="1">
        <w:r w:rsidRPr="00D811BA">
          <w:rPr>
            <w:rFonts w:ascii="Georgia" w:eastAsia="Times New Roman" w:hAnsi="Georgia" w:cs="Times New Roman"/>
            <w:color w:val="007BFF"/>
            <w:sz w:val="24"/>
            <w:szCs w:val="24"/>
            <w:highlight w:val="cyan"/>
            <w:lang w:eastAsia="en-GB"/>
          </w:rPr>
          <w:t>914 S.W.2d 285</w:t>
        </w:r>
      </w:hyperlink>
      <w:r w:rsidRPr="00D811BA">
        <w:rPr>
          <w:rFonts w:ascii="Georgia" w:eastAsia="Times New Roman" w:hAnsi="Georgia" w:cs="Times New Roman"/>
          <w:sz w:val="24"/>
          <w:szCs w:val="24"/>
          <w:highlight w:val="cyan"/>
          <w:lang w:eastAsia="en-GB"/>
        </w:rPr>
        <w:t> (1996).</w:t>
      </w:r>
      <w:r w:rsidRPr="00214103">
        <w:rPr>
          <w:rFonts w:ascii="Georgia" w:eastAsia="Times New Roman" w:hAnsi="Georgia" w:cs="Times New Roman"/>
          <w:sz w:val="24"/>
          <w:szCs w:val="24"/>
          <w:lang w:eastAsia="en-GB"/>
        </w:rPr>
        <w:t xml:space="preserve"> </w:t>
      </w:r>
      <w:r w:rsidRPr="00D811BA">
        <w:rPr>
          <w:rFonts w:ascii="Georgia" w:eastAsia="Times New Roman" w:hAnsi="Georgia" w:cs="Times New Roman"/>
          <w:sz w:val="24"/>
          <w:szCs w:val="24"/>
          <w:highlight w:val="red"/>
          <w:lang w:eastAsia="en-GB"/>
        </w:rPr>
        <w:t>Given these standards, we affirm the trial court’s grant of summary judgment in favor of Mercantile Bank, Firstar Bank, U.S. Bank, and Flake &amp; Kelley Management, Inc.</w:t>
      </w:r>
    </w:p>
    <w:p w14:paraId="48E19A53" w14:textId="77777777"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D811BA">
        <w:rPr>
          <w:rFonts w:ascii="Georgia" w:eastAsia="Times New Roman" w:hAnsi="Georgia" w:cs="Times New Roman"/>
          <w:sz w:val="24"/>
          <w:szCs w:val="24"/>
          <w:highlight w:val="red"/>
          <w:lang w:eastAsia="en-GB"/>
        </w:rPr>
        <w:t>Affirmed.</w:t>
      </w:r>
    </w:p>
    <w:p w14:paraId="48E19A54" w14:textId="77777777" w:rsidR="00214103" w:rsidRPr="00214103" w:rsidRDefault="00214103" w:rsidP="00214103">
      <w:pPr>
        <w:spacing w:before="100" w:beforeAutospacing="1" w:after="225"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Dickey, J., not participating.</w:t>
      </w:r>
    </w:p>
    <w:p w14:paraId="48E19A55" w14:textId="1F2D0B53" w:rsidR="00214103" w:rsidRPr="00214103" w:rsidRDefault="00214103" w:rsidP="00214103">
      <w:pPr>
        <w:spacing w:after="0" w:line="240" w:lineRule="auto"/>
        <w:rPr>
          <w:rFonts w:ascii="Times New Roman" w:eastAsia="Times New Roman" w:hAnsi="Times New Roman" w:cs="Times New Roman"/>
          <w:sz w:val="24"/>
          <w:szCs w:val="24"/>
          <w:lang w:eastAsia="en-GB"/>
        </w:rPr>
      </w:pPr>
      <w:r w:rsidRPr="00214103">
        <w:rPr>
          <w:rFonts w:ascii="Georgia" w:eastAsia="Times New Roman" w:hAnsi="Georgia" w:cs="Times New Roman"/>
          <w:b/>
          <w:bCs/>
          <w:color w:val="E878FF"/>
          <w:sz w:val="24"/>
          <w:szCs w:val="24"/>
          <w:lang w:eastAsia="en-GB"/>
        </w:rPr>
        <w:t>1</w:t>
      </w:r>
    </w:p>
    <w:p w14:paraId="48E19A56" w14:textId="77777777" w:rsidR="00214103" w:rsidRPr="00214103" w:rsidRDefault="00214103" w:rsidP="00214103">
      <w:pPr>
        <w:spacing w:after="120" w:line="240" w:lineRule="auto"/>
        <w:rPr>
          <w:rFonts w:ascii="Georgia" w:eastAsia="Times New Roman" w:hAnsi="Georgia" w:cs="Times New Roman"/>
          <w:sz w:val="24"/>
          <w:szCs w:val="24"/>
          <w:lang w:eastAsia="en-GB"/>
        </w:rPr>
      </w:pPr>
      <w:r w:rsidRPr="00214103">
        <w:rPr>
          <w:rFonts w:ascii="Georgia" w:eastAsia="Times New Roman" w:hAnsi="Georgia" w:cs="Times New Roman"/>
          <w:sz w:val="24"/>
          <w:szCs w:val="24"/>
          <w:lang w:eastAsia="en-GB"/>
        </w:rPr>
        <w:t>Lacy’s employer, for purposes of the lease with U.S. Bank, was United States Bankruptcy Chapter 13 Trustee David Coop.</w:t>
      </w:r>
    </w:p>
    <w:p w14:paraId="48E19A57" w14:textId="77777777" w:rsidR="003C7770" w:rsidRDefault="003C7770"/>
    <w:p w14:paraId="48E19A58" w14:textId="77777777" w:rsidR="002C2DBF" w:rsidRDefault="002C2DBF"/>
    <w:p w14:paraId="48E19A59" w14:textId="77777777" w:rsidR="002C2DBF" w:rsidRPr="009456D4" w:rsidRDefault="002C2DBF" w:rsidP="002C2DB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8E19A5A" w14:textId="77777777" w:rsidR="00D811BA" w:rsidRPr="00214103" w:rsidRDefault="004B59DC" w:rsidP="004B59DC">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On the way to her car in her employer’s parking lot, plaintiff was abducted and raped. She sued the owners of the building and those contracted to manage it (the defendants) for failure to provide adequate security. The trial court granted summary judgment in favour of defendants on the basis that they did not owe plaintiff a duty of care. The appellate court affirmed. </w:t>
      </w:r>
    </w:p>
    <w:p w14:paraId="48E19A5B" w14:textId="77777777" w:rsidR="00D811BA" w:rsidRDefault="00D811BA"/>
    <w:sectPr w:rsidR="00D81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103"/>
    <w:rsid w:val="00214103"/>
    <w:rsid w:val="002C2DBF"/>
    <w:rsid w:val="0036748D"/>
    <w:rsid w:val="003C7770"/>
    <w:rsid w:val="004B59DC"/>
    <w:rsid w:val="00BF7995"/>
    <w:rsid w:val="00D811BA"/>
    <w:rsid w:val="00FE6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9A2E"/>
  <w15:docId w15:val="{368E39AD-EA4B-4264-85AC-7579E4E6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41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0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14103"/>
  </w:style>
  <w:style w:type="character" w:customStyle="1" w:styleId="court-name">
    <w:name w:val="court-name"/>
    <w:basedOn w:val="DefaultParagraphFont"/>
    <w:rsid w:val="00214103"/>
  </w:style>
  <w:style w:type="character" w:customStyle="1" w:styleId="docket-number">
    <w:name w:val="docket-number"/>
    <w:basedOn w:val="DefaultParagraphFont"/>
    <w:rsid w:val="00214103"/>
  </w:style>
  <w:style w:type="character" w:customStyle="1" w:styleId="case-name-v">
    <w:name w:val="case-name-v"/>
    <w:basedOn w:val="DefaultParagraphFont"/>
    <w:rsid w:val="00214103"/>
  </w:style>
  <w:style w:type="paragraph" w:customStyle="1" w:styleId="citation">
    <w:name w:val="citation"/>
    <w:basedOn w:val="Normal"/>
    <w:rsid w:val="002141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141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2141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4103"/>
    <w:rPr>
      <w:color w:val="0000FF"/>
      <w:u w:val="single"/>
    </w:rPr>
  </w:style>
  <w:style w:type="paragraph" w:customStyle="1" w:styleId="attorneys">
    <w:name w:val="attorneys"/>
    <w:basedOn w:val="Normal"/>
    <w:rsid w:val="002141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14103"/>
    <w:rPr>
      <w:i/>
      <w:iCs/>
    </w:rPr>
  </w:style>
  <w:style w:type="paragraph" w:styleId="NormalWeb">
    <w:name w:val="Normal (Web)"/>
    <w:basedOn w:val="Normal"/>
    <w:uiPriority w:val="99"/>
    <w:semiHidden/>
    <w:unhideWhenUsed/>
    <w:rsid w:val="002141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2141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2141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337436">
      <w:bodyDiv w:val="1"/>
      <w:marLeft w:val="0"/>
      <w:marRight w:val="0"/>
      <w:marTop w:val="0"/>
      <w:marBottom w:val="0"/>
      <w:divBdr>
        <w:top w:val="none" w:sz="0" w:space="0" w:color="auto"/>
        <w:left w:val="none" w:sz="0" w:space="0" w:color="auto"/>
        <w:bottom w:val="none" w:sz="0" w:space="0" w:color="auto"/>
        <w:right w:val="none" w:sz="0" w:space="0" w:color="auto"/>
      </w:divBdr>
      <w:divsChild>
        <w:div w:id="1228539086">
          <w:marLeft w:val="0"/>
          <w:marRight w:val="0"/>
          <w:marTop w:val="0"/>
          <w:marBottom w:val="0"/>
          <w:divBdr>
            <w:top w:val="none" w:sz="0" w:space="0" w:color="auto"/>
            <w:left w:val="none" w:sz="0" w:space="0" w:color="auto"/>
            <w:bottom w:val="none" w:sz="0" w:space="0" w:color="auto"/>
            <w:right w:val="none" w:sz="0" w:space="0" w:color="auto"/>
          </w:divBdr>
        </w:div>
        <w:div w:id="1350447097">
          <w:marLeft w:val="0"/>
          <w:marRight w:val="0"/>
          <w:marTop w:val="0"/>
          <w:marBottom w:val="0"/>
          <w:divBdr>
            <w:top w:val="none" w:sz="0" w:space="0" w:color="auto"/>
            <w:left w:val="none" w:sz="0" w:space="0" w:color="auto"/>
            <w:bottom w:val="none" w:sz="0" w:space="0" w:color="auto"/>
            <w:right w:val="none" w:sz="0" w:space="0" w:color="auto"/>
          </w:divBdr>
        </w:div>
        <w:div w:id="285702793">
          <w:marLeft w:val="0"/>
          <w:marRight w:val="0"/>
          <w:marTop w:val="0"/>
          <w:marBottom w:val="0"/>
          <w:divBdr>
            <w:top w:val="none" w:sz="0" w:space="0" w:color="auto"/>
            <w:left w:val="none" w:sz="0" w:space="0" w:color="auto"/>
            <w:bottom w:val="none" w:sz="0" w:space="0" w:color="auto"/>
            <w:right w:val="none" w:sz="0" w:space="0" w:color="auto"/>
          </w:divBdr>
          <w:divsChild>
            <w:div w:id="2055618932">
              <w:marLeft w:val="1417"/>
              <w:marRight w:val="0"/>
              <w:marTop w:val="0"/>
              <w:marBottom w:val="0"/>
              <w:divBdr>
                <w:top w:val="none" w:sz="0" w:space="0" w:color="auto"/>
                <w:left w:val="none" w:sz="0" w:space="0" w:color="auto"/>
                <w:bottom w:val="none" w:sz="0" w:space="0" w:color="auto"/>
                <w:right w:val="none" w:sz="0" w:space="0" w:color="auto"/>
              </w:divBdr>
            </w:div>
          </w:divsChild>
        </w:div>
        <w:div w:id="201834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04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49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27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921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23/143/" TargetMode="External"/><Relationship Id="rId13" Type="http://schemas.openxmlformats.org/officeDocument/2006/relationships/hyperlink" Target="https://cite.case.law/ark/319/117/" TargetMode="External"/><Relationship Id="rId18" Type="http://schemas.openxmlformats.org/officeDocument/2006/relationships/hyperlink" Target="https://cite.case.law/sw2d/958/297/"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ite.case.law/ark/306/322/" TargetMode="External"/><Relationship Id="rId7" Type="http://schemas.openxmlformats.org/officeDocument/2006/relationships/hyperlink" Target="https://cite.case.law/sw2d/961/712/" TargetMode="External"/><Relationship Id="rId12" Type="http://schemas.openxmlformats.org/officeDocument/2006/relationships/hyperlink" Target="https://cite.case.law/ark/319/117/" TargetMode="External"/><Relationship Id="rId17" Type="http://schemas.openxmlformats.org/officeDocument/2006/relationships/hyperlink" Target="https://cite.case.law/ark/323/14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ark/319/117/" TargetMode="External"/><Relationship Id="rId20" Type="http://schemas.openxmlformats.org/officeDocument/2006/relationships/hyperlink" Target="https://cite.case.law/ark/306/322/" TargetMode="External"/><Relationship Id="rId1" Type="http://schemas.openxmlformats.org/officeDocument/2006/relationships/styles" Target="styles.xml"/><Relationship Id="rId6" Type="http://schemas.openxmlformats.org/officeDocument/2006/relationships/hyperlink" Target="https://cite.case.law/ark/343/104/" TargetMode="External"/><Relationship Id="rId11" Type="http://schemas.openxmlformats.org/officeDocument/2006/relationships/hyperlink" Target="https://cite.case.law/ark/366/365/" TargetMode="External"/><Relationship Id="rId24" Type="http://schemas.openxmlformats.org/officeDocument/2006/relationships/hyperlink" Target="https://cite.case.law/ark/323/188/" TargetMode="External"/><Relationship Id="rId5" Type="http://schemas.openxmlformats.org/officeDocument/2006/relationships/hyperlink" Target="https://cite.case.law/ark/366/365/" TargetMode="External"/><Relationship Id="rId15" Type="http://schemas.openxmlformats.org/officeDocument/2006/relationships/hyperlink" Target="https://cite.case.law/ark/366/365/" TargetMode="External"/><Relationship Id="rId23" Type="http://schemas.openxmlformats.org/officeDocument/2006/relationships/hyperlink" Target="https://cite.case.law/ark/366/365/" TargetMode="External"/><Relationship Id="rId10" Type="http://schemas.openxmlformats.org/officeDocument/2006/relationships/hyperlink" Target="https://cite.case.law/ark/316/655/" TargetMode="External"/><Relationship Id="rId19" Type="http://schemas.openxmlformats.org/officeDocument/2006/relationships/hyperlink" Target="https://cite.case.law/ark/307/440/" TargetMode="External"/><Relationship Id="rId4" Type="http://schemas.openxmlformats.org/officeDocument/2006/relationships/hyperlink" Target="https://cite.case.law/ark/366/365/" TargetMode="External"/><Relationship Id="rId9" Type="http://schemas.openxmlformats.org/officeDocument/2006/relationships/hyperlink" Target="https://cite.case.law/ark/323/188/" TargetMode="External"/><Relationship Id="rId14" Type="http://schemas.openxmlformats.org/officeDocument/2006/relationships/hyperlink" Target="https://cite.case.law/ark/319/117/" TargetMode="External"/><Relationship Id="rId22" Type="http://schemas.openxmlformats.org/officeDocument/2006/relationships/hyperlink" Target="https://cite.case.law/ark/329/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