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155F" w14:textId="77777777" w:rsidR="00646D92" w:rsidRPr="00646D92" w:rsidRDefault="00646D92" w:rsidP="00646D9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46D92">
        <w:rPr>
          <w:rFonts w:ascii="Times New Roman" w:eastAsia="Times New Roman" w:hAnsi="Times New Roman" w:cs="Times New Roman"/>
          <w:b/>
          <w:bCs/>
          <w:color w:val="2F2F2F"/>
          <w:spacing w:val="3"/>
          <w:kern w:val="36"/>
          <w:sz w:val="35"/>
          <w:szCs w:val="35"/>
          <w:lang w:eastAsia="en-GB"/>
        </w:rPr>
        <w:t>Tackett v. Merchant's Security Patrol, 73 Ark. App. 358, 44 S.W.3d 349 (2001)</w:t>
      </w:r>
    </w:p>
    <w:p w14:paraId="68011560" w14:textId="77777777" w:rsidR="00646D92" w:rsidRPr="00646D92" w:rsidRDefault="00646D92" w:rsidP="00646D9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46D92">
        <w:rPr>
          <w:rFonts w:ascii="Times New Roman" w:eastAsia="Times New Roman" w:hAnsi="Times New Roman" w:cs="Times New Roman"/>
          <w:color w:val="2F2F2F"/>
          <w:spacing w:val="3"/>
          <w:sz w:val="27"/>
          <w:szCs w:val="27"/>
          <w:lang w:eastAsia="en-GB"/>
        </w:rPr>
        <w:t>May 2, 2001 · Arkansas Court of Appeals · CA 00-949</w:t>
      </w:r>
    </w:p>
    <w:p w14:paraId="68011561" w14:textId="77777777" w:rsidR="00646D92" w:rsidRPr="00646D92" w:rsidRDefault="00646D92" w:rsidP="00646D9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46D92">
        <w:rPr>
          <w:rFonts w:ascii="Times New Roman" w:eastAsia="Times New Roman" w:hAnsi="Times New Roman" w:cs="Times New Roman"/>
          <w:color w:val="2F2F2F"/>
          <w:spacing w:val="3"/>
          <w:sz w:val="27"/>
          <w:szCs w:val="27"/>
          <w:lang w:eastAsia="en-GB"/>
        </w:rPr>
        <w:t>73 Ark. App. 358, 44 S.W.3d 349</w:t>
      </w:r>
    </w:p>
    <w:p w14:paraId="68011562" w14:textId="77777777" w:rsidR="00646D92" w:rsidRPr="00646D92" w:rsidRDefault="00646D92" w:rsidP="00646D92">
      <w:pPr>
        <w:shd w:val="clear" w:color="auto" w:fill="FFFFFF"/>
        <w:spacing w:after="0" w:line="240" w:lineRule="auto"/>
        <w:rPr>
          <w:rFonts w:ascii="Georgia" w:eastAsia="Times New Roman" w:hAnsi="Georgia" w:cs="Arial"/>
          <w:color w:val="2F2F2F"/>
          <w:spacing w:val="3"/>
          <w:sz w:val="30"/>
          <w:szCs w:val="30"/>
          <w:lang w:eastAsia="en-GB"/>
        </w:rPr>
      </w:pPr>
      <w:r w:rsidRPr="00646D92">
        <w:rPr>
          <w:rFonts w:ascii="Georgia" w:eastAsia="Times New Roman" w:hAnsi="Georgia" w:cs="Arial"/>
          <w:color w:val="2F2F2F"/>
          <w:spacing w:val="3"/>
          <w:sz w:val="30"/>
          <w:szCs w:val="30"/>
          <w:lang w:eastAsia="en-GB"/>
        </w:rPr>
        <w:t>Janice TACKETT, Individually and as Administratrix of the Estate of Laurie Taffner, Deceased</w:t>
      </w:r>
      <w:r w:rsidRPr="00646D92">
        <w:rPr>
          <w:rFonts w:ascii="Georgia" w:eastAsia="Times New Roman" w:hAnsi="Georgia" w:cs="Arial"/>
          <w:i/>
          <w:iCs/>
          <w:color w:val="2F2F2F"/>
          <w:spacing w:val="3"/>
          <w:sz w:val="30"/>
          <w:szCs w:val="30"/>
          <w:lang w:eastAsia="en-GB"/>
        </w:rPr>
        <w:t>v.</w:t>
      </w:r>
      <w:r w:rsidRPr="00646D92">
        <w:rPr>
          <w:rFonts w:ascii="Georgia" w:eastAsia="Times New Roman" w:hAnsi="Georgia" w:cs="Arial"/>
          <w:color w:val="2F2F2F"/>
          <w:spacing w:val="3"/>
          <w:sz w:val="30"/>
          <w:szCs w:val="30"/>
          <w:lang w:eastAsia="en-GB"/>
        </w:rPr>
        <w:t>MERCHANT'S SECURITY PATROL</w:t>
      </w:r>
    </w:p>
    <w:p w14:paraId="68011563" w14:textId="77777777" w:rsidR="00646D92" w:rsidRPr="00646D92" w:rsidRDefault="00646D92" w:rsidP="00646D92">
      <w:pPr>
        <w:spacing w:before="100" w:beforeAutospacing="1" w:after="100" w:afterAutospacing="1"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44 S.W.3d 349</w:t>
      </w:r>
    </w:p>
    <w:p w14:paraId="68011564" w14:textId="77777777" w:rsidR="00646D92" w:rsidRPr="00646D92" w:rsidRDefault="00646D92" w:rsidP="00646D92">
      <w:pPr>
        <w:spacing w:before="100" w:beforeAutospacing="1" w:after="100" w:afterAutospacing="1"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Court of Appeals of Arkansas Division IV</w:t>
      </w:r>
    </w:p>
    <w:p w14:paraId="68011565" w14:textId="53DDEDB2" w:rsidR="00646D92" w:rsidRPr="00646D92" w:rsidRDefault="00646D92" w:rsidP="00646D92">
      <w:pPr>
        <w:shd w:val="clear" w:color="auto" w:fill="F7F7F9"/>
        <w:spacing w:before="100" w:beforeAutospacing="1" w:after="0" w:line="240" w:lineRule="auto"/>
        <w:rPr>
          <w:rFonts w:ascii="Georgia" w:eastAsia="Times New Roman" w:hAnsi="Georgia" w:cs="Times New Roman"/>
          <w:sz w:val="24"/>
          <w:szCs w:val="24"/>
          <w:lang w:eastAsia="en-GB"/>
        </w:rPr>
      </w:pPr>
      <w:r w:rsidRPr="00646D92">
        <w:rPr>
          <w:rFonts w:ascii="Georgia" w:eastAsia="Times New Roman" w:hAnsi="Georgia" w:cs="Times New Roman"/>
          <w:i/>
          <w:iCs/>
          <w:color w:val="979797"/>
          <w:sz w:val="19"/>
          <w:szCs w:val="19"/>
          <w:lang w:eastAsia="en-GB"/>
        </w:rPr>
        <w:t>*360</w:t>
      </w:r>
      <w:r w:rsidRPr="00646D92">
        <w:rPr>
          <w:rFonts w:ascii="Georgia" w:eastAsia="Times New Roman" w:hAnsi="Georgia" w:cs="Times New Roman"/>
          <w:sz w:val="24"/>
          <w:szCs w:val="24"/>
          <w:lang w:eastAsia="en-GB"/>
        </w:rPr>
        <w:t> </w:t>
      </w:r>
      <w:r w:rsidRPr="00646D92">
        <w:rPr>
          <w:rFonts w:ascii="Georgia" w:eastAsia="Times New Roman" w:hAnsi="Georgia" w:cs="Times New Roman"/>
          <w:i/>
          <w:iCs/>
          <w:sz w:val="24"/>
          <w:szCs w:val="24"/>
          <w:lang w:eastAsia="en-GB"/>
        </w:rPr>
        <w:t>McKinnon Law Firm, </w:t>
      </w:r>
      <w:r w:rsidRPr="00646D92">
        <w:rPr>
          <w:rFonts w:ascii="Georgia" w:eastAsia="Times New Roman" w:hAnsi="Georgia" w:cs="Times New Roman"/>
          <w:sz w:val="24"/>
          <w:szCs w:val="24"/>
          <w:lang w:eastAsia="en-GB"/>
        </w:rPr>
        <w:t>by: </w:t>
      </w:r>
      <w:r w:rsidRPr="00646D92">
        <w:rPr>
          <w:rFonts w:ascii="Georgia" w:eastAsia="Times New Roman" w:hAnsi="Georgia" w:cs="Times New Roman"/>
          <w:i/>
          <w:iCs/>
          <w:sz w:val="24"/>
          <w:szCs w:val="24"/>
          <w:lang w:eastAsia="en-GB"/>
        </w:rPr>
        <w:t>Laura J. McKinnon, </w:t>
      </w:r>
      <w:r w:rsidRPr="00646D92">
        <w:rPr>
          <w:rFonts w:ascii="Georgia" w:eastAsia="Times New Roman" w:hAnsi="Georgia" w:cs="Times New Roman"/>
          <w:sz w:val="24"/>
          <w:szCs w:val="24"/>
          <w:lang w:eastAsia="en-GB"/>
        </w:rPr>
        <w:t>for appellant.</w:t>
      </w:r>
    </w:p>
    <w:p w14:paraId="68011566" w14:textId="77777777" w:rsidR="00646D92" w:rsidRPr="00646D92" w:rsidRDefault="00646D92" w:rsidP="00646D92">
      <w:pPr>
        <w:shd w:val="clear" w:color="auto" w:fill="F7F7F9"/>
        <w:spacing w:after="0" w:line="240" w:lineRule="auto"/>
        <w:rPr>
          <w:rFonts w:ascii="Georgia" w:eastAsia="Times New Roman" w:hAnsi="Georgia" w:cs="Times New Roman"/>
          <w:sz w:val="24"/>
          <w:szCs w:val="24"/>
          <w:lang w:eastAsia="en-GB"/>
        </w:rPr>
      </w:pPr>
      <w:r w:rsidRPr="00646D92">
        <w:rPr>
          <w:rFonts w:ascii="Georgia" w:eastAsia="Times New Roman" w:hAnsi="Georgia" w:cs="Times New Roman"/>
          <w:i/>
          <w:iCs/>
          <w:sz w:val="24"/>
          <w:szCs w:val="24"/>
          <w:lang w:eastAsia="en-GB"/>
        </w:rPr>
        <w:t>Bassett Law Firm, </w:t>
      </w:r>
      <w:r w:rsidRPr="00646D92">
        <w:rPr>
          <w:rFonts w:ascii="Georgia" w:eastAsia="Times New Roman" w:hAnsi="Georgia" w:cs="Times New Roman"/>
          <w:sz w:val="24"/>
          <w:szCs w:val="24"/>
          <w:lang w:eastAsia="en-GB"/>
        </w:rPr>
        <w:t>by: </w:t>
      </w:r>
      <w:r w:rsidRPr="00646D92">
        <w:rPr>
          <w:rFonts w:ascii="Georgia" w:eastAsia="Times New Roman" w:hAnsi="Georgia" w:cs="Times New Roman"/>
          <w:i/>
          <w:iCs/>
          <w:sz w:val="24"/>
          <w:szCs w:val="24"/>
          <w:lang w:eastAsia="en-GB"/>
        </w:rPr>
        <w:t>Woody Bassett </w:t>
      </w:r>
      <w:r w:rsidRPr="00646D92">
        <w:rPr>
          <w:rFonts w:ascii="Georgia" w:eastAsia="Times New Roman" w:hAnsi="Georgia" w:cs="Times New Roman"/>
          <w:sz w:val="24"/>
          <w:szCs w:val="24"/>
          <w:lang w:eastAsia="en-GB"/>
        </w:rPr>
        <w:t>and </w:t>
      </w:r>
      <w:r w:rsidRPr="00646D92">
        <w:rPr>
          <w:rFonts w:ascii="Georgia" w:eastAsia="Times New Roman" w:hAnsi="Georgia" w:cs="Times New Roman"/>
          <w:i/>
          <w:iCs/>
          <w:sz w:val="24"/>
          <w:szCs w:val="24"/>
          <w:lang w:eastAsia="en-GB"/>
        </w:rPr>
        <w:t>Vince Chadick, </w:t>
      </w:r>
      <w:r w:rsidRPr="00646D92">
        <w:rPr>
          <w:rFonts w:ascii="Georgia" w:eastAsia="Times New Roman" w:hAnsi="Georgia" w:cs="Times New Roman"/>
          <w:sz w:val="24"/>
          <w:szCs w:val="24"/>
          <w:lang w:eastAsia="en-GB"/>
        </w:rPr>
        <w:t>for appellee.</w:t>
      </w:r>
    </w:p>
    <w:p w14:paraId="68011567" w14:textId="77777777" w:rsidR="00646D92" w:rsidRPr="00646D92" w:rsidRDefault="00EE733F" w:rsidP="00646D92">
      <w:pPr>
        <w:spacing w:before="100" w:beforeAutospacing="1" w:after="225" w:line="240" w:lineRule="auto"/>
        <w:rPr>
          <w:rFonts w:ascii="Georgia" w:eastAsia="Times New Roman" w:hAnsi="Georgia" w:cs="Times New Roman"/>
          <w:color w:val="E878FF"/>
          <w:sz w:val="24"/>
          <w:szCs w:val="24"/>
          <w:lang w:eastAsia="en-GB"/>
        </w:rPr>
      </w:pPr>
      <w:hyperlink r:id="rId4" w:anchor="p361" w:history="1">
        <w:r w:rsidR="00646D92" w:rsidRPr="00646D92">
          <w:rPr>
            <w:rFonts w:ascii="Georgia" w:eastAsia="Times New Roman" w:hAnsi="Georgia" w:cs="Times New Roman"/>
            <w:i/>
            <w:iCs/>
            <w:color w:val="979797"/>
            <w:sz w:val="19"/>
            <w:szCs w:val="19"/>
            <w:lang w:eastAsia="en-GB"/>
          </w:rPr>
          <w:t>*361</w:t>
        </w:r>
      </w:hyperlink>
      <w:r w:rsidR="00646D92" w:rsidRPr="00646D92">
        <w:rPr>
          <w:rFonts w:ascii="Georgia" w:eastAsia="Times New Roman" w:hAnsi="Georgia" w:cs="Times New Roman"/>
          <w:color w:val="E878FF"/>
          <w:sz w:val="24"/>
          <w:szCs w:val="24"/>
          <w:lang w:eastAsia="en-GB"/>
        </w:rPr>
        <w:t>Josephine Linker Hart, Judge.</w:t>
      </w:r>
    </w:p>
    <w:p w14:paraId="68011568" w14:textId="7777777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magenta"/>
          <w:lang w:eastAsia="en-GB"/>
        </w:rPr>
        <w:t>This appeal is brought from the trial court’s grant of summary judgment in favor of appellee.</w:t>
      </w:r>
      <w:r w:rsidRPr="00646D92">
        <w:rPr>
          <w:rFonts w:ascii="Georgia" w:eastAsia="Times New Roman" w:hAnsi="Georgia" w:cs="Times New Roman"/>
          <w:sz w:val="24"/>
          <w:szCs w:val="24"/>
          <w:lang w:eastAsia="en-GB"/>
        </w:rPr>
        <w:t xml:space="preserve"> </w:t>
      </w:r>
      <w:r w:rsidRPr="005A0946">
        <w:rPr>
          <w:rFonts w:ascii="Georgia" w:eastAsia="Times New Roman" w:hAnsi="Georgia" w:cs="Times New Roman"/>
          <w:sz w:val="24"/>
          <w:szCs w:val="24"/>
          <w:highlight w:val="green"/>
          <w:lang w:eastAsia="en-GB"/>
        </w:rPr>
        <w:t xml:space="preserve">Appellant argues that genuine issues of material fact remain to be decided, thus making summary judgment improper. We disagree and </w:t>
      </w:r>
      <w:r w:rsidRPr="005A0946">
        <w:rPr>
          <w:rFonts w:ascii="Georgia" w:eastAsia="Times New Roman" w:hAnsi="Georgia" w:cs="Times New Roman"/>
          <w:sz w:val="24"/>
          <w:szCs w:val="24"/>
          <w:highlight w:val="red"/>
          <w:lang w:eastAsia="en-GB"/>
        </w:rPr>
        <w:t>affirm.</w:t>
      </w:r>
    </w:p>
    <w:p w14:paraId="68011569" w14:textId="77777777" w:rsidR="00646D92" w:rsidRPr="005A0946" w:rsidRDefault="00646D92" w:rsidP="00646D92">
      <w:pPr>
        <w:spacing w:before="100" w:beforeAutospacing="1" w:after="225" w:line="240" w:lineRule="auto"/>
        <w:rPr>
          <w:rFonts w:ascii="Georgia" w:eastAsia="Times New Roman" w:hAnsi="Georgia" w:cs="Times New Roman"/>
          <w:sz w:val="24"/>
          <w:szCs w:val="24"/>
          <w:highlight w:val="yellow"/>
          <w:lang w:eastAsia="en-GB"/>
        </w:rPr>
      </w:pPr>
      <w:r w:rsidRPr="005A0946">
        <w:rPr>
          <w:rFonts w:ascii="Georgia" w:eastAsia="Times New Roman" w:hAnsi="Georgia" w:cs="Times New Roman"/>
          <w:sz w:val="24"/>
          <w:szCs w:val="24"/>
          <w:highlight w:val="yellow"/>
          <w:lang w:eastAsia="en-GB"/>
        </w:rPr>
        <w:t>On December 3, 1993, appellant was seriously injured and her daughter, Laurie Taffiier, was killed when their vehicle was struck by a vehicle driven by John Sargent. In the one and one-half hour to two-hour period prior to the collision, Sargent had consumed at least three to four beers at Speedy’s Sport Spot in Fayetteville. He subsequently pled guilty to negligent homicide and second-degree battery in connection with the accident. At the time Sargent left Speedy’s, two security guards, Lloyd Taylor and Timothy Sutton, were present on the premises</w:t>
      </w:r>
      <w:r w:rsidRPr="00646D92">
        <w:rPr>
          <w:rFonts w:ascii="Georgia" w:eastAsia="Times New Roman" w:hAnsi="Georgia" w:cs="Times New Roman"/>
          <w:sz w:val="24"/>
          <w:szCs w:val="24"/>
          <w:lang w:eastAsia="en-GB"/>
        </w:rPr>
        <w:t xml:space="preserve">, although they deny actually seeing Sargent that night. </w:t>
      </w:r>
      <w:r w:rsidRPr="005A0946">
        <w:rPr>
          <w:rFonts w:ascii="Georgia" w:eastAsia="Times New Roman" w:hAnsi="Georgia" w:cs="Times New Roman"/>
          <w:sz w:val="24"/>
          <w:szCs w:val="24"/>
          <w:highlight w:val="yellow"/>
          <w:lang w:eastAsia="en-GB"/>
        </w:rPr>
        <w:t>Taylor and Sutton were employees of appellee Merchant’s Security Patrol. On October 20, 1993, Merchant’s had entered into a contract with Speedy to perform certain security services, to wit:</w:t>
      </w:r>
    </w:p>
    <w:p w14:paraId="6801156A" w14:textId="77777777" w:rsidR="00646D92" w:rsidRPr="005A0946" w:rsidRDefault="00646D92" w:rsidP="00646D92">
      <w:pPr>
        <w:spacing w:after="100" w:line="240" w:lineRule="auto"/>
        <w:rPr>
          <w:rFonts w:ascii="Georgia" w:eastAsia="Times New Roman" w:hAnsi="Georgia" w:cs="Times New Roman"/>
          <w:color w:val="004FB3"/>
          <w:sz w:val="24"/>
          <w:szCs w:val="24"/>
          <w:highlight w:val="yellow"/>
          <w:lang w:eastAsia="en-GB"/>
        </w:rPr>
      </w:pPr>
      <w:r w:rsidRPr="005A0946">
        <w:rPr>
          <w:rFonts w:ascii="Georgia" w:eastAsia="Times New Roman" w:hAnsi="Georgia" w:cs="Times New Roman"/>
          <w:color w:val="004FB3"/>
          <w:sz w:val="24"/>
          <w:szCs w:val="24"/>
          <w:highlight w:val="yellow"/>
          <w:lang w:eastAsia="en-GB"/>
        </w:rPr>
        <w:t>Prevention of intrusion, entry, larceny, vandalism, abuse, fire or trespass on private property.</w:t>
      </w:r>
    </w:p>
    <w:p w14:paraId="6801156B" w14:textId="77777777" w:rsidR="00646D92" w:rsidRPr="005A0946" w:rsidRDefault="00646D92" w:rsidP="00646D92">
      <w:pPr>
        <w:spacing w:after="100" w:line="240" w:lineRule="auto"/>
        <w:rPr>
          <w:rFonts w:ascii="Georgia" w:eastAsia="Times New Roman" w:hAnsi="Georgia" w:cs="Times New Roman"/>
          <w:color w:val="004FB3"/>
          <w:sz w:val="24"/>
          <w:szCs w:val="24"/>
          <w:highlight w:val="yellow"/>
          <w:lang w:eastAsia="en-GB"/>
        </w:rPr>
      </w:pPr>
      <w:r w:rsidRPr="005A0946">
        <w:rPr>
          <w:rFonts w:ascii="Georgia" w:eastAsia="Times New Roman" w:hAnsi="Georgia" w:cs="Times New Roman"/>
          <w:color w:val="004FB3"/>
          <w:sz w:val="24"/>
          <w:szCs w:val="24"/>
          <w:highlight w:val="yellow"/>
          <w:lang w:eastAsia="en-GB"/>
        </w:rPr>
        <w:t>Prevention, observation, or detection of any unauthorized activity on private property. Control, regulation, or direction of the flow or movements of the public, whether by vehicle or otherwise, only to the extent and for the time directly and specifically required to assure protection of property.</w:t>
      </w:r>
    </w:p>
    <w:p w14:paraId="6801156C" w14:textId="77777777" w:rsidR="00646D92" w:rsidRPr="00646D92" w:rsidRDefault="00646D92" w:rsidP="00646D92">
      <w:pPr>
        <w:spacing w:after="100" w:line="240" w:lineRule="auto"/>
        <w:rPr>
          <w:rFonts w:ascii="Georgia" w:eastAsia="Times New Roman" w:hAnsi="Georgia" w:cs="Times New Roman"/>
          <w:color w:val="004FB3"/>
          <w:sz w:val="24"/>
          <w:szCs w:val="24"/>
          <w:lang w:eastAsia="en-GB"/>
        </w:rPr>
      </w:pPr>
      <w:r w:rsidRPr="005A0946">
        <w:rPr>
          <w:rFonts w:ascii="Georgia" w:eastAsia="Times New Roman" w:hAnsi="Georgia" w:cs="Times New Roman"/>
          <w:color w:val="004FB3"/>
          <w:sz w:val="24"/>
          <w:szCs w:val="24"/>
          <w:highlight w:val="yellow"/>
          <w:lang w:eastAsia="en-GB"/>
        </w:rPr>
        <w:t>Protection of individuals from bodily harm.</w:t>
      </w:r>
    </w:p>
    <w:p w14:paraId="6801156D" w14:textId="77777777" w:rsidR="00646D92" w:rsidRPr="005A0946" w:rsidRDefault="00646D92" w:rsidP="00646D92">
      <w:pPr>
        <w:spacing w:before="100" w:beforeAutospacing="1" w:after="225" w:line="240" w:lineRule="auto"/>
        <w:rPr>
          <w:rFonts w:ascii="Georgia" w:eastAsia="Times New Roman" w:hAnsi="Georgia" w:cs="Times New Roman"/>
          <w:sz w:val="24"/>
          <w:szCs w:val="24"/>
          <w:highlight w:val="yellow"/>
          <w:lang w:eastAsia="en-GB"/>
        </w:rPr>
      </w:pPr>
      <w:r w:rsidRPr="005A0946">
        <w:rPr>
          <w:rFonts w:ascii="Georgia" w:eastAsia="Times New Roman" w:hAnsi="Georgia" w:cs="Times New Roman"/>
          <w:sz w:val="24"/>
          <w:szCs w:val="24"/>
          <w:highlight w:val="yellow"/>
          <w:lang w:eastAsia="en-GB"/>
        </w:rPr>
        <w:t>Under the section of the contract enti</w:t>
      </w:r>
      <w:r w:rsidR="005A0946" w:rsidRPr="005A0946">
        <w:rPr>
          <w:rFonts w:ascii="Georgia" w:eastAsia="Times New Roman" w:hAnsi="Georgia" w:cs="Times New Roman"/>
          <w:sz w:val="24"/>
          <w:szCs w:val="24"/>
          <w:highlight w:val="yellow"/>
          <w:lang w:eastAsia="en-GB"/>
        </w:rPr>
        <w:t>tl</w:t>
      </w:r>
      <w:r w:rsidRPr="005A0946">
        <w:rPr>
          <w:rFonts w:ascii="Georgia" w:eastAsia="Times New Roman" w:hAnsi="Georgia" w:cs="Times New Roman"/>
          <w:sz w:val="24"/>
          <w:szCs w:val="24"/>
          <w:highlight w:val="yellow"/>
          <w:lang w:eastAsia="en-GB"/>
        </w:rPr>
        <w:t>ed “Details of the work to be performed,” was the following:</w:t>
      </w:r>
    </w:p>
    <w:p w14:paraId="6801156E" w14:textId="77777777" w:rsidR="00646D92" w:rsidRPr="00646D92" w:rsidRDefault="00646D92" w:rsidP="00646D92">
      <w:pPr>
        <w:spacing w:after="100" w:line="240" w:lineRule="auto"/>
        <w:rPr>
          <w:rFonts w:ascii="Georgia" w:eastAsia="Times New Roman" w:hAnsi="Georgia" w:cs="Times New Roman"/>
          <w:color w:val="004FB3"/>
          <w:sz w:val="24"/>
          <w:szCs w:val="24"/>
          <w:lang w:eastAsia="en-GB"/>
        </w:rPr>
      </w:pPr>
      <w:r w:rsidRPr="005A0946">
        <w:rPr>
          <w:rFonts w:ascii="Georgia" w:eastAsia="Times New Roman" w:hAnsi="Georgia" w:cs="Times New Roman"/>
          <w:color w:val="004FB3"/>
          <w:sz w:val="24"/>
          <w:szCs w:val="24"/>
          <w:highlight w:val="yellow"/>
          <w:lang w:eastAsia="en-GB"/>
        </w:rPr>
        <w:t>Parking Lot Patrol/with periodic walk-thrus of Bus. Mon.-Thurs. 7:00pm until 1:00am unless requested to stay longer by client. Two officers, Fri. And Sat. 7:00pm until 2:00am unless requested by client to stay longer.</w:t>
      </w:r>
    </w:p>
    <w:p w14:paraId="6801156F" w14:textId="5CAE917B"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magenta"/>
          <w:lang w:eastAsia="en-GB"/>
        </w:rPr>
        <w:t>Appellant filed suit against appellee</w:t>
      </w:r>
      <w:r w:rsidRPr="005A0946">
        <w:rPr>
          <w:rFonts w:ascii="Georgia" w:eastAsia="Times New Roman" w:hAnsi="Georgia" w:cs="Times New Roman"/>
          <w:sz w:val="24"/>
          <w:szCs w:val="24"/>
          <w:lang w:eastAsia="en-GB"/>
        </w:rPr>
        <w:t xml:space="preserve"> alleging that </w:t>
      </w:r>
      <w:r w:rsidRPr="00433C56">
        <w:rPr>
          <w:rFonts w:ascii="Georgia" w:eastAsia="Times New Roman" w:hAnsi="Georgia" w:cs="Times New Roman"/>
          <w:sz w:val="24"/>
          <w:szCs w:val="24"/>
          <w:lang w:eastAsia="en-GB"/>
        </w:rPr>
        <w:t>its security guards forcibly evicted Sargent from the premises</w:t>
      </w:r>
      <w:r w:rsidRPr="005A0946">
        <w:rPr>
          <w:rFonts w:ascii="Georgia" w:eastAsia="Times New Roman" w:hAnsi="Georgia" w:cs="Times New Roman"/>
          <w:sz w:val="24"/>
          <w:szCs w:val="24"/>
          <w:lang w:eastAsia="en-GB"/>
        </w:rPr>
        <w:t>, thus requiring him to drive while intoxicated.</w:t>
      </w:r>
      <w:r w:rsidRPr="00646D92">
        <w:rPr>
          <w:rFonts w:ascii="Georgia" w:eastAsia="Times New Roman" w:hAnsi="Georgia" w:cs="Times New Roman"/>
          <w:sz w:val="24"/>
          <w:szCs w:val="24"/>
          <w:lang w:eastAsia="en-GB"/>
        </w:rPr>
        <w:t xml:space="preserve"> However, </w:t>
      </w:r>
      <w:r w:rsidRPr="00646D92">
        <w:rPr>
          <w:rFonts w:ascii="Georgia" w:eastAsia="Times New Roman" w:hAnsi="Georgia" w:cs="Times New Roman"/>
          <w:sz w:val="24"/>
          <w:szCs w:val="24"/>
          <w:lang w:eastAsia="en-GB"/>
        </w:rPr>
        <w:lastRenderedPageBreak/>
        <w:t xml:space="preserve">in her amended complaints, </w:t>
      </w:r>
      <w:r w:rsidRPr="00433C56">
        <w:rPr>
          <w:rFonts w:ascii="Georgia" w:eastAsia="Times New Roman" w:hAnsi="Georgia" w:cs="Times New Roman"/>
          <w:sz w:val="24"/>
          <w:szCs w:val="24"/>
          <w:lang w:eastAsia="en-GB"/>
        </w:rPr>
        <w:t>appellant alleged that appellee was negligent in allowing Sargent to leave the premises while in an intoxicated state and in failing to detect that Sargent was driving while intoxicated.</w:t>
      </w:r>
      <w:r w:rsidRPr="00646D92">
        <w:rPr>
          <w:rFonts w:ascii="Georgia" w:eastAsia="Times New Roman" w:hAnsi="Georgia" w:cs="Times New Roman"/>
          <w:sz w:val="24"/>
          <w:szCs w:val="24"/>
          <w:lang w:eastAsia="en-GB"/>
        </w:rPr>
        <w:t xml:space="preserve"> </w:t>
      </w:r>
      <w:r w:rsidRPr="005A0946">
        <w:rPr>
          <w:rFonts w:ascii="Georgia" w:eastAsia="Times New Roman" w:hAnsi="Georgia" w:cs="Times New Roman"/>
          <w:sz w:val="24"/>
          <w:szCs w:val="24"/>
          <w:highlight w:val="magenta"/>
          <w:lang w:eastAsia="en-GB"/>
        </w:rPr>
        <w:t>Appel-lee moved for summary judgment alleging that it owed no duty to </w:t>
      </w:r>
      <w:r w:rsidRPr="005A0946">
        <w:rPr>
          <w:rFonts w:ascii="Georgia" w:eastAsia="Times New Roman" w:hAnsi="Georgia" w:cs="Times New Roman"/>
          <w:i/>
          <w:iCs/>
          <w:color w:val="979797"/>
          <w:sz w:val="19"/>
          <w:szCs w:val="19"/>
          <w:highlight w:val="magenta"/>
          <w:lang w:eastAsia="en-GB"/>
        </w:rPr>
        <w:t>*362</w:t>
      </w:r>
      <w:r w:rsidRPr="005A0946">
        <w:rPr>
          <w:rFonts w:ascii="Georgia" w:eastAsia="Times New Roman" w:hAnsi="Georgia" w:cs="Times New Roman"/>
          <w:sz w:val="24"/>
          <w:szCs w:val="24"/>
          <w:highlight w:val="magenta"/>
          <w:lang w:eastAsia="en-GB"/>
        </w:rPr>
        <w:t>appellant. The trial court agreed and granted summary judgment on that basis. This appeal followed.</w:t>
      </w:r>
    </w:p>
    <w:p w14:paraId="68011570" w14:textId="0B641F94"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magenta"/>
          <w:lang w:eastAsia="en-GB"/>
        </w:rPr>
        <w:t>In summary-judgment cases</w:t>
      </w:r>
      <w:r w:rsidRPr="00646D92">
        <w:rPr>
          <w:rFonts w:ascii="Georgia" w:eastAsia="Times New Roman" w:hAnsi="Georgia" w:cs="Times New Roman"/>
          <w:sz w:val="24"/>
          <w:szCs w:val="24"/>
          <w:lang w:eastAsia="en-GB"/>
        </w:rPr>
        <w:t>, we need only decide if the granting of summary judgment was appropriate based upon whether the evidentiary items presented by the moving party in support of the motion left a material question of fact unanswered. </w:t>
      </w:r>
      <w:r w:rsidRPr="00646D92">
        <w:rPr>
          <w:rFonts w:ascii="Georgia" w:eastAsia="Times New Roman" w:hAnsi="Georgia" w:cs="Times New Roman"/>
          <w:i/>
          <w:iCs/>
          <w:sz w:val="24"/>
          <w:szCs w:val="24"/>
          <w:lang w:eastAsia="en-GB"/>
        </w:rPr>
        <w:t>Inge v. Walker, </w:t>
      </w:r>
      <w:hyperlink r:id="rId5" w:history="1">
        <w:r w:rsidRPr="00646D92">
          <w:rPr>
            <w:rFonts w:ascii="Georgia" w:eastAsia="Times New Roman" w:hAnsi="Georgia" w:cs="Times New Roman"/>
            <w:i/>
            <w:iCs/>
            <w:color w:val="007BFF"/>
            <w:sz w:val="24"/>
            <w:szCs w:val="24"/>
            <w:lang w:eastAsia="en-GB"/>
          </w:rPr>
          <w:t>70 </w:t>
        </w:r>
      </w:hyperlink>
      <w:r w:rsidRPr="00646D92">
        <w:rPr>
          <w:rFonts w:ascii="Georgia" w:eastAsia="Times New Roman" w:hAnsi="Georgia" w:cs="Times New Roman"/>
          <w:color w:val="007BFF"/>
          <w:sz w:val="24"/>
          <w:szCs w:val="24"/>
          <w:lang w:eastAsia="en-GB"/>
        </w:rPr>
        <w:t>Ark. App. 114</w:t>
      </w:r>
      <w:r w:rsidRPr="00646D92">
        <w:rPr>
          <w:rFonts w:ascii="Georgia" w:eastAsia="Times New Roman" w:hAnsi="Georgia" w:cs="Times New Roman"/>
          <w:sz w:val="24"/>
          <w:szCs w:val="24"/>
          <w:lang w:eastAsia="en-GB"/>
        </w:rPr>
        <w:t>, </w:t>
      </w:r>
      <w:hyperlink r:id="rId6" w:history="1">
        <w:r w:rsidRPr="00646D92">
          <w:rPr>
            <w:rFonts w:ascii="Georgia" w:eastAsia="Times New Roman" w:hAnsi="Georgia" w:cs="Times New Roman"/>
            <w:color w:val="007BFF"/>
            <w:sz w:val="24"/>
            <w:szCs w:val="24"/>
            <w:lang w:eastAsia="en-GB"/>
          </w:rPr>
          <w:t>15 S.W.3d 348</w:t>
        </w:r>
      </w:hyperlink>
      <w:r w:rsidRPr="00646D92">
        <w:rPr>
          <w:rFonts w:ascii="Georgia" w:eastAsia="Times New Roman" w:hAnsi="Georgia" w:cs="Times New Roman"/>
          <w:sz w:val="24"/>
          <w:szCs w:val="24"/>
          <w:lang w:eastAsia="en-GB"/>
        </w:rPr>
        <w:t> (2000). Summary judgment is no longer considered a drastic remedy but is regarded simply as one of the tools in the trial court’s efficiency arsenal. </w:t>
      </w:r>
      <w:r w:rsidRPr="00646D92">
        <w:rPr>
          <w:rFonts w:ascii="Georgia" w:eastAsia="Times New Roman" w:hAnsi="Georgia" w:cs="Times New Roman"/>
          <w:i/>
          <w:iCs/>
          <w:sz w:val="24"/>
          <w:szCs w:val="24"/>
          <w:lang w:eastAsia="en-GB"/>
        </w:rPr>
        <w:t>See Wallace v. Broyles, </w:t>
      </w:r>
      <w:r w:rsidRPr="00646D92">
        <w:rPr>
          <w:rFonts w:ascii="Georgia" w:eastAsia="Times New Roman" w:hAnsi="Georgia" w:cs="Times New Roman"/>
          <w:color w:val="007BFF"/>
          <w:sz w:val="24"/>
          <w:szCs w:val="24"/>
          <w:lang w:eastAsia="en-GB"/>
        </w:rPr>
        <w:t>332 Ark. 189</w:t>
      </w:r>
      <w:r w:rsidRPr="00646D92">
        <w:rPr>
          <w:rFonts w:ascii="Georgia" w:eastAsia="Times New Roman" w:hAnsi="Georgia" w:cs="Times New Roman"/>
          <w:sz w:val="24"/>
          <w:szCs w:val="24"/>
          <w:lang w:eastAsia="en-GB"/>
        </w:rPr>
        <w:t>, </w:t>
      </w:r>
      <w:hyperlink r:id="rId7" w:history="1">
        <w:r w:rsidRPr="00646D92">
          <w:rPr>
            <w:rFonts w:ascii="Georgia" w:eastAsia="Times New Roman" w:hAnsi="Georgia" w:cs="Times New Roman"/>
            <w:color w:val="007BFF"/>
            <w:sz w:val="24"/>
            <w:szCs w:val="24"/>
            <w:lang w:eastAsia="en-GB"/>
          </w:rPr>
          <w:t>961 S.W.2d 712</w:t>
        </w:r>
      </w:hyperlink>
      <w:r w:rsidRPr="00646D92">
        <w:rPr>
          <w:rFonts w:ascii="Georgia" w:eastAsia="Times New Roman" w:hAnsi="Georgia" w:cs="Times New Roman"/>
          <w:sz w:val="24"/>
          <w:szCs w:val="24"/>
          <w:lang w:eastAsia="en-GB"/>
        </w:rPr>
        <w:t> (1998). The burden of sustaining a motion for summary judgment is always the responsibility of the moving party. </w:t>
      </w:r>
      <w:r w:rsidRPr="00646D92">
        <w:rPr>
          <w:rFonts w:ascii="Georgia" w:eastAsia="Times New Roman" w:hAnsi="Georgia" w:cs="Times New Roman"/>
          <w:i/>
          <w:iCs/>
          <w:sz w:val="24"/>
          <w:szCs w:val="24"/>
          <w:lang w:eastAsia="en-GB"/>
        </w:rPr>
        <w:t>Inge v. Walker, </w:t>
      </w:r>
      <w:r w:rsidRPr="00646D92">
        <w:rPr>
          <w:rFonts w:ascii="Georgia" w:eastAsia="Times New Roman" w:hAnsi="Georgia" w:cs="Times New Roman"/>
          <w:i/>
          <w:iCs/>
          <w:color w:val="007BFF"/>
          <w:sz w:val="24"/>
          <w:szCs w:val="24"/>
          <w:lang w:eastAsia="en-GB"/>
        </w:rPr>
        <w:t>supra.</w:t>
      </w:r>
      <w:r w:rsidRPr="00646D92">
        <w:rPr>
          <w:rFonts w:ascii="Georgia" w:eastAsia="Times New Roman" w:hAnsi="Georgia" w:cs="Times New Roman"/>
          <w:i/>
          <w:iCs/>
          <w:sz w:val="24"/>
          <w:szCs w:val="24"/>
          <w:lang w:eastAsia="en-GB"/>
        </w:rPr>
        <w:t> </w:t>
      </w:r>
      <w:r w:rsidRPr="005A0946">
        <w:rPr>
          <w:rFonts w:ascii="Georgia" w:eastAsia="Times New Roman" w:hAnsi="Georgia" w:cs="Times New Roman"/>
          <w:sz w:val="24"/>
          <w:szCs w:val="24"/>
          <w:highlight w:val="magenta"/>
          <w:lang w:eastAsia="en-GB"/>
        </w:rPr>
        <w:t>All proof submitted must be viewed in a light most favorable to the party resisting the motion, and any doubts and inferences must be resolved against the moving party. </w:t>
      </w:r>
      <w:hyperlink r:id="rId8" w:history="1">
        <w:r w:rsidRPr="005A0946">
          <w:rPr>
            <w:rFonts w:ascii="Georgia" w:eastAsia="Times New Roman" w:hAnsi="Georgia" w:cs="Times New Roman"/>
            <w:i/>
            <w:iCs/>
            <w:color w:val="007BFF"/>
            <w:sz w:val="24"/>
            <w:szCs w:val="24"/>
            <w:highlight w:val="magenta"/>
            <w:lang w:eastAsia="en-GB"/>
          </w:rPr>
          <w:t>Id.</w:t>
        </w:r>
      </w:hyperlink>
    </w:p>
    <w:p w14:paraId="68011571" w14:textId="5650C072"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The first question that must be answered in a negligence case is, what duty, if any, did the defendant owe to the plaintifi?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Maneth v. Tucker, </w:t>
      </w:r>
      <w:r w:rsidRPr="005A0946">
        <w:rPr>
          <w:rFonts w:ascii="Georgia" w:eastAsia="Times New Roman" w:hAnsi="Georgia" w:cs="Times New Roman"/>
          <w:color w:val="007BFF"/>
          <w:sz w:val="24"/>
          <w:szCs w:val="24"/>
          <w:highlight w:val="cyan"/>
          <w:lang w:eastAsia="en-GB"/>
        </w:rPr>
        <w:t>72 Ark. App. 141</w:t>
      </w:r>
      <w:r w:rsidRPr="005A0946">
        <w:rPr>
          <w:rFonts w:ascii="Georgia" w:eastAsia="Times New Roman" w:hAnsi="Georgia" w:cs="Times New Roman"/>
          <w:sz w:val="24"/>
          <w:szCs w:val="24"/>
          <w:highlight w:val="cyan"/>
          <w:lang w:eastAsia="en-GB"/>
        </w:rPr>
        <w:t>, </w:t>
      </w:r>
      <w:hyperlink r:id="rId9" w:history="1">
        <w:r w:rsidRPr="005A0946">
          <w:rPr>
            <w:rFonts w:ascii="Georgia" w:eastAsia="Times New Roman" w:hAnsi="Georgia" w:cs="Times New Roman"/>
            <w:color w:val="007BFF"/>
            <w:sz w:val="24"/>
            <w:szCs w:val="24"/>
            <w:highlight w:val="cyan"/>
            <w:lang w:eastAsia="en-GB"/>
          </w:rPr>
          <w:t>34 S.W.3d 755</w:t>
        </w:r>
      </w:hyperlink>
      <w:r w:rsidRPr="005A0946">
        <w:rPr>
          <w:rFonts w:ascii="Georgia" w:eastAsia="Times New Roman" w:hAnsi="Georgia" w:cs="Times New Roman"/>
          <w:sz w:val="24"/>
          <w:szCs w:val="24"/>
          <w:highlight w:val="cyan"/>
          <w:lang w:eastAsia="en-GB"/>
        </w:rPr>
        <w:t> (2000).</w:t>
      </w:r>
      <w:r w:rsidRPr="00646D92">
        <w:rPr>
          <w:rFonts w:ascii="Georgia" w:eastAsia="Times New Roman" w:hAnsi="Georgia" w:cs="Times New Roman"/>
          <w:sz w:val="24"/>
          <w:szCs w:val="24"/>
          <w:lang w:eastAsia="en-GB"/>
        </w:rPr>
        <w:t xml:space="preserve"> Duty is a concept that arises out of the recognition that relations between individuals may impose upon one a legal obligation for the other. </w:t>
      </w:r>
      <w:r w:rsidRPr="00646D92">
        <w:rPr>
          <w:rFonts w:ascii="Georgia" w:eastAsia="Times New Roman" w:hAnsi="Georgia" w:cs="Times New Roman"/>
          <w:i/>
          <w:iCs/>
          <w:sz w:val="24"/>
          <w:szCs w:val="24"/>
          <w:lang w:eastAsia="en-GB"/>
        </w:rPr>
        <w:t xml:space="preserve">Id.; see also </w:t>
      </w:r>
      <w:r w:rsidRPr="005A0946">
        <w:rPr>
          <w:rFonts w:ascii="Georgia" w:eastAsia="Times New Roman" w:hAnsi="Georgia" w:cs="Times New Roman"/>
          <w:i/>
          <w:iCs/>
          <w:sz w:val="24"/>
          <w:szCs w:val="24"/>
          <w:highlight w:val="cyan"/>
          <w:lang w:eastAsia="en-GB"/>
        </w:rPr>
        <w:t>Mans v. Peoples Bank of Imboden, </w:t>
      </w:r>
      <w:r w:rsidRPr="005A0946">
        <w:rPr>
          <w:rFonts w:ascii="Georgia" w:eastAsia="Times New Roman" w:hAnsi="Georgia" w:cs="Times New Roman"/>
          <w:color w:val="007BFF"/>
          <w:sz w:val="24"/>
          <w:szCs w:val="24"/>
          <w:highlight w:val="cyan"/>
          <w:lang w:eastAsia="en-GB"/>
        </w:rPr>
        <w:t>340 Ark. 518</w:t>
      </w:r>
      <w:r w:rsidRPr="005A0946">
        <w:rPr>
          <w:rFonts w:ascii="Georgia" w:eastAsia="Times New Roman" w:hAnsi="Georgia" w:cs="Times New Roman"/>
          <w:sz w:val="24"/>
          <w:szCs w:val="24"/>
          <w:highlight w:val="cyan"/>
          <w:lang w:eastAsia="en-GB"/>
        </w:rPr>
        <w:t>, </w:t>
      </w:r>
      <w:hyperlink r:id="rId10" w:history="1">
        <w:r w:rsidRPr="005A0946">
          <w:rPr>
            <w:rFonts w:ascii="Georgia" w:eastAsia="Times New Roman" w:hAnsi="Georgia" w:cs="Times New Roman"/>
            <w:color w:val="007BFF"/>
            <w:sz w:val="24"/>
            <w:szCs w:val="24"/>
            <w:highlight w:val="cyan"/>
            <w:lang w:eastAsia="en-GB"/>
          </w:rPr>
          <w:t>10 S.W.3d 885</w:t>
        </w:r>
      </w:hyperlink>
      <w:r w:rsidRPr="005A0946">
        <w:rPr>
          <w:rFonts w:ascii="Georgia" w:eastAsia="Times New Roman" w:hAnsi="Georgia" w:cs="Times New Roman"/>
          <w:sz w:val="24"/>
          <w:szCs w:val="24"/>
          <w:highlight w:val="cyan"/>
          <w:lang w:eastAsia="en-GB"/>
        </w:rPr>
        <w:t> (2000).</w:t>
      </w:r>
      <w:r w:rsidRPr="00646D92">
        <w:rPr>
          <w:rFonts w:ascii="Georgia" w:eastAsia="Times New Roman" w:hAnsi="Georgia" w:cs="Times New Roman"/>
          <w:sz w:val="24"/>
          <w:szCs w:val="24"/>
          <w:lang w:eastAsia="en-GB"/>
        </w:rPr>
        <w:t xml:space="preserve"> Ordinarily, a person is under no duty to control the actions of another person, even though he has the practical ability to do so.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Trammell v. Ramey, </w:t>
      </w:r>
      <w:r w:rsidRPr="005A0946">
        <w:rPr>
          <w:rFonts w:ascii="Georgia" w:eastAsia="Times New Roman" w:hAnsi="Georgia" w:cs="Times New Roman"/>
          <w:color w:val="007BFF"/>
          <w:sz w:val="24"/>
          <w:szCs w:val="24"/>
          <w:highlight w:val="cyan"/>
          <w:lang w:eastAsia="en-GB"/>
        </w:rPr>
        <w:t>231 Ark. 260</w:t>
      </w:r>
      <w:r w:rsidRPr="005A0946">
        <w:rPr>
          <w:rFonts w:ascii="Georgia" w:eastAsia="Times New Roman" w:hAnsi="Georgia" w:cs="Times New Roman"/>
          <w:sz w:val="24"/>
          <w:szCs w:val="24"/>
          <w:highlight w:val="cyan"/>
          <w:lang w:eastAsia="en-GB"/>
        </w:rPr>
        <w:t>, </w:t>
      </w:r>
      <w:hyperlink r:id="rId11" w:history="1">
        <w:r w:rsidRPr="005A0946">
          <w:rPr>
            <w:rFonts w:ascii="Georgia" w:eastAsia="Times New Roman" w:hAnsi="Georgia" w:cs="Times New Roman"/>
            <w:color w:val="007BFF"/>
            <w:sz w:val="24"/>
            <w:szCs w:val="24"/>
            <w:highlight w:val="cyan"/>
            <w:lang w:eastAsia="en-GB"/>
          </w:rPr>
          <w:t>329 S.W.2d 153</w:t>
        </w:r>
      </w:hyperlink>
      <w:r w:rsidRPr="005A0946">
        <w:rPr>
          <w:rFonts w:ascii="Georgia" w:eastAsia="Times New Roman" w:hAnsi="Georgia" w:cs="Times New Roman"/>
          <w:sz w:val="24"/>
          <w:szCs w:val="24"/>
          <w:highlight w:val="cyan"/>
          <w:lang w:eastAsia="en-GB"/>
        </w:rPr>
        <w:t> (1959).</w:t>
      </w:r>
      <w:r w:rsidRPr="00646D92">
        <w:rPr>
          <w:rFonts w:ascii="Georgia" w:eastAsia="Times New Roman" w:hAnsi="Georgia" w:cs="Times New Roman"/>
          <w:sz w:val="24"/>
          <w:szCs w:val="24"/>
          <w:lang w:eastAsia="en-GB"/>
        </w:rPr>
        <w:t xml:space="preserve"> One is not </w:t>
      </w:r>
      <w:r w:rsidR="005A0946">
        <w:rPr>
          <w:rFonts w:ascii="Georgia" w:eastAsia="Times New Roman" w:hAnsi="Georgia" w:cs="Times New Roman"/>
          <w:sz w:val="24"/>
          <w:szCs w:val="24"/>
          <w:lang w:eastAsia="en-GB"/>
        </w:rPr>
        <w:t>lia</w:t>
      </w:r>
      <w:r w:rsidRPr="00646D92">
        <w:rPr>
          <w:rFonts w:ascii="Georgia" w:eastAsia="Times New Roman" w:hAnsi="Georgia" w:cs="Times New Roman"/>
          <w:sz w:val="24"/>
          <w:szCs w:val="24"/>
          <w:lang w:eastAsia="en-GB"/>
        </w:rPr>
        <w:t>ble for the acts of another person unless a special relationship exists between the two, such as master and servant,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Boren v. Worthen Nat’l Bank, </w:t>
      </w:r>
      <w:r w:rsidRPr="005A0946">
        <w:rPr>
          <w:rFonts w:ascii="Georgia" w:eastAsia="Times New Roman" w:hAnsi="Georgia" w:cs="Times New Roman"/>
          <w:color w:val="007BFF"/>
          <w:sz w:val="24"/>
          <w:szCs w:val="24"/>
          <w:highlight w:val="cyan"/>
          <w:lang w:eastAsia="en-GB"/>
        </w:rPr>
        <w:t>324 Ark. 416</w:t>
      </w:r>
      <w:r w:rsidRPr="005A0946">
        <w:rPr>
          <w:rFonts w:ascii="Georgia" w:eastAsia="Times New Roman" w:hAnsi="Georgia" w:cs="Times New Roman"/>
          <w:sz w:val="24"/>
          <w:szCs w:val="24"/>
          <w:highlight w:val="cyan"/>
          <w:lang w:eastAsia="en-GB"/>
        </w:rPr>
        <w:t>, </w:t>
      </w:r>
      <w:hyperlink r:id="rId12" w:history="1">
        <w:r w:rsidRPr="005A0946">
          <w:rPr>
            <w:rFonts w:ascii="Georgia" w:eastAsia="Times New Roman" w:hAnsi="Georgia" w:cs="Times New Roman"/>
            <w:color w:val="007BFF"/>
            <w:sz w:val="24"/>
            <w:szCs w:val="24"/>
            <w:highlight w:val="cyan"/>
            <w:lang w:eastAsia="en-GB"/>
          </w:rPr>
          <w:t>921 S.W.2d 934</w:t>
        </w:r>
      </w:hyperlink>
      <w:r w:rsidRPr="005A0946">
        <w:rPr>
          <w:rFonts w:ascii="Georgia" w:eastAsia="Times New Roman" w:hAnsi="Georgia" w:cs="Times New Roman"/>
          <w:sz w:val="24"/>
          <w:szCs w:val="24"/>
          <w:highlight w:val="cyan"/>
          <w:lang w:eastAsia="en-GB"/>
        </w:rPr>
        <w:t> (1996)</w:t>
      </w:r>
      <w:r w:rsidRPr="00646D92">
        <w:rPr>
          <w:rFonts w:ascii="Georgia" w:eastAsia="Times New Roman" w:hAnsi="Georgia" w:cs="Times New Roman"/>
          <w:sz w:val="24"/>
          <w:szCs w:val="24"/>
          <w:lang w:eastAsia="en-GB"/>
        </w:rPr>
        <w:t>, or unless a special relationship exists between him and the victim which gives the victim the right to protection.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Smith v. Hansen, </w:t>
      </w:r>
      <w:r w:rsidRPr="005A0946">
        <w:rPr>
          <w:rFonts w:ascii="Georgia" w:eastAsia="Times New Roman" w:hAnsi="Georgia" w:cs="Times New Roman"/>
          <w:color w:val="007BFF"/>
          <w:sz w:val="24"/>
          <w:szCs w:val="24"/>
          <w:highlight w:val="cyan"/>
          <w:lang w:eastAsia="en-GB"/>
        </w:rPr>
        <w:t>323 Ark. 188</w:t>
      </w:r>
      <w:r w:rsidRPr="005A0946">
        <w:rPr>
          <w:rFonts w:ascii="Georgia" w:eastAsia="Times New Roman" w:hAnsi="Georgia" w:cs="Times New Roman"/>
          <w:sz w:val="24"/>
          <w:szCs w:val="24"/>
          <w:highlight w:val="cyan"/>
          <w:lang w:eastAsia="en-GB"/>
        </w:rPr>
        <w:t>, </w:t>
      </w:r>
      <w:hyperlink r:id="rId13" w:history="1">
        <w:r w:rsidRPr="005A0946">
          <w:rPr>
            <w:rFonts w:ascii="Georgia" w:eastAsia="Times New Roman" w:hAnsi="Georgia" w:cs="Times New Roman"/>
            <w:color w:val="007BFF"/>
            <w:sz w:val="24"/>
            <w:szCs w:val="24"/>
            <w:highlight w:val="cyan"/>
            <w:lang w:eastAsia="en-GB"/>
          </w:rPr>
          <w:t>914 S.W.2d 285</w:t>
        </w:r>
      </w:hyperlink>
      <w:r w:rsidRPr="005A0946">
        <w:rPr>
          <w:rFonts w:ascii="Georgia" w:eastAsia="Times New Roman" w:hAnsi="Georgia" w:cs="Times New Roman"/>
          <w:sz w:val="24"/>
          <w:szCs w:val="24"/>
          <w:highlight w:val="cyan"/>
          <w:lang w:eastAsia="en-GB"/>
        </w:rPr>
        <w:t> (1996).</w:t>
      </w:r>
      <w:r w:rsidRPr="00646D92">
        <w:rPr>
          <w:rFonts w:ascii="Georgia" w:eastAsia="Times New Roman" w:hAnsi="Georgia" w:cs="Times New Roman"/>
          <w:sz w:val="24"/>
          <w:szCs w:val="24"/>
          <w:lang w:eastAsia="en-GB"/>
        </w:rPr>
        <w:t xml:space="preserve"> The question of what duty is owed to the plaintiff is always one of law. </w:t>
      </w:r>
      <w:r w:rsidRPr="005A0946">
        <w:rPr>
          <w:rFonts w:ascii="Georgia" w:eastAsia="Times New Roman" w:hAnsi="Georgia" w:cs="Times New Roman"/>
          <w:i/>
          <w:iCs/>
          <w:sz w:val="24"/>
          <w:szCs w:val="24"/>
          <w:highlight w:val="cyan"/>
          <w:lang w:eastAsia="en-GB"/>
        </w:rPr>
        <w:t>Mans v. Peoples Bank of Imboden, </w:t>
      </w:r>
      <w:r w:rsidRPr="005A0946">
        <w:rPr>
          <w:rFonts w:ascii="Georgia" w:eastAsia="Times New Roman" w:hAnsi="Georgia" w:cs="Times New Roman"/>
          <w:i/>
          <w:iCs/>
          <w:color w:val="007BFF"/>
          <w:sz w:val="24"/>
          <w:szCs w:val="24"/>
          <w:highlight w:val="cyan"/>
          <w:lang w:eastAsia="en-GB"/>
        </w:rPr>
        <w:t>supra.</w:t>
      </w:r>
    </w:p>
    <w:p w14:paraId="68011572" w14:textId="0D939FD8" w:rsidR="00646D92" w:rsidRPr="00646D92" w:rsidRDefault="00646D92" w:rsidP="00646D92">
      <w:pPr>
        <w:spacing w:before="100" w:beforeAutospacing="1" w:after="0"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green"/>
          <w:lang w:eastAsia="en-GB"/>
        </w:rPr>
        <w:t>Appellant argues that appellee owed a common-law duty of reasonable care to her to train its employees to detect and observe intoxicated persons and to employ more security guards on the night the accident occurred.</w:t>
      </w:r>
      <w:hyperlink r:id="rId14" w:anchor="footnote_1_1" w:history="1">
        <w:r w:rsidRPr="005A0946">
          <w:rPr>
            <w:rFonts w:ascii="Georgia" w:eastAsia="Times New Roman" w:hAnsi="Georgia" w:cs="Times New Roman"/>
            <w:b/>
            <w:bCs/>
            <w:color w:val="E878FF"/>
            <w:sz w:val="24"/>
            <w:szCs w:val="24"/>
            <w:highlight w:val="green"/>
            <w:vertAlign w:val="superscript"/>
            <w:lang w:eastAsia="en-GB"/>
          </w:rPr>
          <w:t>1</w:t>
        </w:r>
      </w:hyperlink>
      <w:r w:rsidRPr="005A0946">
        <w:rPr>
          <w:rFonts w:ascii="Georgia" w:eastAsia="Times New Roman" w:hAnsi="Georgia" w:cs="Times New Roman"/>
          <w:sz w:val="24"/>
          <w:szCs w:val="24"/>
          <w:highlight w:val="green"/>
          <w:lang w:eastAsia="en-GB"/>
        </w:rPr>
        <w:t> However, she does not demonstrate that any special relationship existed between either appellee and </w:t>
      </w:r>
      <w:r w:rsidRPr="005A0946">
        <w:rPr>
          <w:rFonts w:ascii="Georgia" w:eastAsia="Times New Roman" w:hAnsi="Georgia" w:cs="Times New Roman"/>
          <w:i/>
          <w:iCs/>
          <w:color w:val="979797"/>
          <w:sz w:val="19"/>
          <w:szCs w:val="19"/>
          <w:highlight w:val="green"/>
          <w:lang w:eastAsia="en-GB"/>
        </w:rPr>
        <w:t>*363</w:t>
      </w:r>
      <w:r w:rsidRPr="005A0946">
        <w:rPr>
          <w:rFonts w:ascii="Georgia" w:eastAsia="Times New Roman" w:hAnsi="Georgia" w:cs="Times New Roman"/>
          <w:sz w:val="24"/>
          <w:szCs w:val="24"/>
          <w:highlight w:val="green"/>
          <w:lang w:eastAsia="en-GB"/>
        </w:rPr>
        <w:t>Sargent or appellee and herself. In the absence of such a relationship, no duty is owed by appellee to appellant under traditional tort law.</w:t>
      </w:r>
    </w:p>
    <w:p w14:paraId="68011573" w14:textId="3F64CFA5"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 xml:space="preserve">However, </w:t>
      </w:r>
      <w:r w:rsidRPr="005A0946">
        <w:rPr>
          <w:rFonts w:ascii="Georgia" w:eastAsia="Times New Roman" w:hAnsi="Georgia" w:cs="Times New Roman"/>
          <w:sz w:val="24"/>
          <w:szCs w:val="24"/>
          <w:highlight w:val="green"/>
          <w:lang w:eastAsia="en-GB"/>
        </w:rPr>
        <w:t>a duty exists to protect persons from the acts of other persons in connection with the operation of a tavern.</w:t>
      </w:r>
      <w:r w:rsidRPr="00646D92">
        <w:rPr>
          <w:rFonts w:ascii="Georgia" w:eastAsia="Times New Roman" w:hAnsi="Georgia" w:cs="Times New Roman"/>
          <w:sz w:val="24"/>
          <w:szCs w:val="24"/>
          <w:lang w:eastAsia="en-GB"/>
        </w:rPr>
        <w:t>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Industrial Park Businessmen’s Club v. Buck, </w:t>
      </w:r>
      <w:hyperlink r:id="rId15" w:history="1">
        <w:r w:rsidRPr="005A0946">
          <w:rPr>
            <w:rFonts w:ascii="Georgia" w:eastAsia="Times New Roman" w:hAnsi="Georgia" w:cs="Times New Roman"/>
            <w:color w:val="007BFF"/>
            <w:sz w:val="24"/>
            <w:szCs w:val="24"/>
            <w:highlight w:val="cyan"/>
            <w:lang w:eastAsia="en-GB"/>
          </w:rPr>
          <w:t>252 Ark. 513</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479 S.W.2d 842</w:t>
      </w:r>
      <w:r w:rsidRPr="005A0946">
        <w:rPr>
          <w:rFonts w:ascii="Georgia" w:eastAsia="Times New Roman" w:hAnsi="Georgia" w:cs="Times New Roman"/>
          <w:sz w:val="24"/>
          <w:szCs w:val="24"/>
          <w:highlight w:val="cyan"/>
          <w:lang w:eastAsia="en-GB"/>
        </w:rPr>
        <w:t> (1972)</w:t>
      </w:r>
      <w:r w:rsidRPr="00646D92">
        <w:rPr>
          <w:rFonts w:ascii="Georgia" w:eastAsia="Times New Roman" w:hAnsi="Georgia" w:cs="Times New Roman"/>
          <w:sz w:val="24"/>
          <w:szCs w:val="24"/>
          <w:lang w:eastAsia="en-GB"/>
        </w:rPr>
        <w:t>, and </w:t>
      </w:r>
      <w:r w:rsidRPr="005A0946">
        <w:rPr>
          <w:rFonts w:ascii="Georgia" w:eastAsia="Times New Roman" w:hAnsi="Georgia" w:cs="Times New Roman"/>
          <w:i/>
          <w:iCs/>
          <w:sz w:val="24"/>
          <w:szCs w:val="24"/>
          <w:highlight w:val="cyan"/>
          <w:lang w:eastAsia="en-GB"/>
        </w:rPr>
        <w:t>Burns v. Boot Scooters, Inc., </w:t>
      </w:r>
      <w:hyperlink r:id="rId16" w:history="1">
        <w:r w:rsidRPr="005A0946">
          <w:rPr>
            <w:rFonts w:ascii="Georgia" w:eastAsia="Times New Roman" w:hAnsi="Georgia" w:cs="Times New Roman"/>
            <w:color w:val="007BFF"/>
            <w:sz w:val="24"/>
            <w:szCs w:val="24"/>
            <w:highlight w:val="cyan"/>
            <w:lang w:eastAsia="en-GB"/>
          </w:rPr>
          <w:t>61 Ark. App. 124</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965 S.W.2d 798</w:t>
      </w:r>
      <w:r w:rsidRPr="005A0946">
        <w:rPr>
          <w:rFonts w:ascii="Georgia" w:eastAsia="Times New Roman" w:hAnsi="Georgia" w:cs="Times New Roman"/>
          <w:sz w:val="24"/>
          <w:szCs w:val="24"/>
          <w:highlight w:val="cyan"/>
          <w:lang w:eastAsia="en-GB"/>
        </w:rPr>
        <w:t> (1998)</w:t>
      </w:r>
      <w:r w:rsidRPr="00646D92">
        <w:rPr>
          <w:rFonts w:ascii="Georgia" w:eastAsia="Times New Roman" w:hAnsi="Georgia" w:cs="Times New Roman"/>
          <w:sz w:val="24"/>
          <w:szCs w:val="24"/>
          <w:lang w:eastAsia="en-GB"/>
        </w:rPr>
        <w:t xml:space="preserve">. In those cases, it was held that a tavern owner had a duty to protect its own patrons from injury at the hands of others. </w:t>
      </w:r>
      <w:r w:rsidRPr="005A0946">
        <w:rPr>
          <w:rFonts w:ascii="Georgia" w:eastAsia="Times New Roman" w:hAnsi="Georgia" w:cs="Times New Roman"/>
          <w:sz w:val="24"/>
          <w:szCs w:val="24"/>
          <w:highlight w:val="green"/>
          <w:lang w:eastAsia="en-GB"/>
        </w:rPr>
        <w:t>Here, we are not concerned with the question of the liability of a tavern owner, nor with injury to a patron of the tavern. Instead, we address the duty owed by a security company to a person who was not present on the premises the company was guarding. We have found no case, and appellant has cited us to none, imposing a common-law duty in such a situation.</w:t>
      </w:r>
    </w:p>
    <w:p w14:paraId="68011574" w14:textId="3051D02F"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green"/>
          <w:lang w:eastAsia="en-GB"/>
        </w:rPr>
        <w:lastRenderedPageBreak/>
        <w:t>Although appellant relies on </w:t>
      </w:r>
      <w:r w:rsidRPr="005A0946">
        <w:rPr>
          <w:rFonts w:ascii="Georgia" w:eastAsia="Times New Roman" w:hAnsi="Georgia" w:cs="Times New Roman"/>
          <w:i/>
          <w:iCs/>
          <w:sz w:val="24"/>
          <w:szCs w:val="24"/>
          <w:highlight w:val="cyan"/>
          <w:lang w:eastAsia="en-GB"/>
        </w:rPr>
        <w:t>Cobb v. Indian Springs, Inc., </w:t>
      </w:r>
      <w:hyperlink r:id="rId17" w:history="1">
        <w:r w:rsidRPr="005A0946">
          <w:rPr>
            <w:rFonts w:ascii="Georgia" w:eastAsia="Times New Roman" w:hAnsi="Georgia" w:cs="Times New Roman"/>
            <w:color w:val="007BFF"/>
            <w:sz w:val="24"/>
            <w:szCs w:val="24"/>
            <w:highlight w:val="cyan"/>
            <w:lang w:eastAsia="en-GB"/>
          </w:rPr>
          <w:t>258 Ark. 9</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522 S.W.2d 383</w:t>
      </w:r>
      <w:r w:rsidRPr="005A0946">
        <w:rPr>
          <w:rFonts w:ascii="Georgia" w:eastAsia="Times New Roman" w:hAnsi="Georgia" w:cs="Times New Roman"/>
          <w:sz w:val="24"/>
          <w:szCs w:val="24"/>
          <w:highlight w:val="cyan"/>
          <w:lang w:eastAsia="en-GB"/>
        </w:rPr>
        <w:t> (1975)</w:t>
      </w:r>
      <w:r w:rsidRPr="005A0946">
        <w:rPr>
          <w:rFonts w:ascii="Georgia" w:eastAsia="Times New Roman" w:hAnsi="Georgia" w:cs="Times New Roman"/>
          <w:sz w:val="24"/>
          <w:szCs w:val="24"/>
          <w:highlight w:val="green"/>
          <w:lang w:eastAsia="en-GB"/>
        </w:rPr>
        <w:t>, it is distinguishable. In </w:t>
      </w:r>
      <w:r w:rsidRPr="005A0946">
        <w:rPr>
          <w:rFonts w:ascii="Georgia" w:eastAsia="Times New Roman" w:hAnsi="Georgia" w:cs="Times New Roman"/>
          <w:i/>
          <w:iCs/>
          <w:sz w:val="24"/>
          <w:szCs w:val="24"/>
          <w:highlight w:val="cyan"/>
          <w:lang w:eastAsia="en-GB"/>
        </w:rPr>
        <w:t>Cobb</w:t>
      </w:r>
      <w:r w:rsidRPr="005A0946">
        <w:rPr>
          <w:rFonts w:ascii="Georgia" w:eastAsia="Times New Roman" w:hAnsi="Georgia" w:cs="Times New Roman"/>
          <w:i/>
          <w:iCs/>
          <w:sz w:val="24"/>
          <w:szCs w:val="24"/>
          <w:highlight w:val="green"/>
          <w:lang w:eastAsia="en-GB"/>
        </w:rPr>
        <w:t>, </w:t>
      </w:r>
      <w:r w:rsidRPr="005A0946">
        <w:rPr>
          <w:rFonts w:ascii="Georgia" w:eastAsia="Times New Roman" w:hAnsi="Georgia" w:cs="Times New Roman"/>
          <w:sz w:val="24"/>
          <w:szCs w:val="24"/>
          <w:highlight w:val="green"/>
          <w:lang w:eastAsia="en-GB"/>
        </w:rPr>
        <w:t>a security guard encouraged a driver to engage in unreasonable conduct that later resulted in an accident. There is no evidence in this case that appellee’s security guards encouraged Sargent to drive while intoxicated.</w:t>
      </w:r>
    </w:p>
    <w:p w14:paraId="68011575" w14:textId="7777777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green"/>
          <w:lang w:eastAsia="en-GB"/>
        </w:rPr>
        <w:t>Appellant argues next that the contract between appellee and Speedy’s Sport Spot created a duty on the part of appellee to “prevent, detect, and observe unauthorized activity.”</w:t>
      </w:r>
      <w:r w:rsidRPr="00646D92">
        <w:rPr>
          <w:rFonts w:ascii="Georgia" w:eastAsia="Times New Roman" w:hAnsi="Georgia" w:cs="Times New Roman"/>
          <w:sz w:val="24"/>
          <w:szCs w:val="24"/>
          <w:lang w:eastAsia="en-GB"/>
        </w:rPr>
        <w:t xml:space="preserve"> She points not only to this contractual language, but to the deposition testimony of </w:t>
      </w:r>
      <w:r w:rsidRPr="005A0946">
        <w:rPr>
          <w:rFonts w:ascii="Georgia" w:eastAsia="Times New Roman" w:hAnsi="Georgia" w:cs="Times New Roman"/>
          <w:sz w:val="24"/>
          <w:szCs w:val="24"/>
          <w:highlight w:val="yellow"/>
          <w:lang w:eastAsia="en-GB"/>
        </w:rPr>
        <w:t>Lloyd Taylor and Timothy Sutton</w:t>
      </w:r>
      <w:r w:rsidRPr="00646D92">
        <w:rPr>
          <w:rFonts w:ascii="Georgia" w:eastAsia="Times New Roman" w:hAnsi="Georgia" w:cs="Times New Roman"/>
          <w:sz w:val="24"/>
          <w:szCs w:val="24"/>
          <w:lang w:eastAsia="en-GB"/>
        </w:rPr>
        <w:t xml:space="preserve"> that they </w:t>
      </w:r>
      <w:r w:rsidRPr="005A0946">
        <w:rPr>
          <w:rFonts w:ascii="Georgia" w:eastAsia="Times New Roman" w:hAnsi="Georgia" w:cs="Times New Roman"/>
          <w:sz w:val="24"/>
          <w:szCs w:val="24"/>
          <w:highlight w:val="yellow"/>
          <w:lang w:eastAsia="en-GB"/>
        </w:rPr>
        <w:t>felt they would have a general duty to call the police if they saw an intoxicated person getting into his vehicle, although they denied that such a duty was part of their job description.</w:t>
      </w:r>
    </w:p>
    <w:p w14:paraId="68011576" w14:textId="7589C1F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lang w:eastAsia="en-GB"/>
        </w:rPr>
        <w:t>A duty of care may arise out of a contractual relationship between two parties.</w:t>
      </w:r>
      <w:r w:rsidRPr="00646D92">
        <w:rPr>
          <w:rFonts w:ascii="Georgia" w:eastAsia="Times New Roman" w:hAnsi="Georgia" w:cs="Times New Roman"/>
          <w:sz w:val="24"/>
          <w:szCs w:val="24"/>
          <w:lang w:eastAsia="en-GB"/>
        </w:rPr>
        <w:t> </w:t>
      </w:r>
      <w:r w:rsidRPr="00646D92">
        <w:rPr>
          <w:rFonts w:ascii="Georgia" w:eastAsia="Times New Roman" w:hAnsi="Georgia" w:cs="Times New Roman"/>
          <w:i/>
          <w:iCs/>
          <w:sz w:val="24"/>
          <w:szCs w:val="24"/>
          <w:lang w:eastAsia="en-GB"/>
        </w:rPr>
        <w:t xml:space="preserve">See </w:t>
      </w:r>
      <w:r w:rsidRPr="005A0946">
        <w:rPr>
          <w:rFonts w:ascii="Georgia" w:eastAsia="Times New Roman" w:hAnsi="Georgia" w:cs="Times New Roman"/>
          <w:i/>
          <w:iCs/>
          <w:sz w:val="24"/>
          <w:szCs w:val="24"/>
          <w:highlight w:val="cyan"/>
          <w:lang w:eastAsia="en-GB"/>
        </w:rPr>
        <w:t>Keck v. American Employment Agency, Inc., </w:t>
      </w:r>
      <w:hyperlink r:id="rId18" w:history="1">
        <w:r w:rsidRPr="005A0946">
          <w:rPr>
            <w:rFonts w:ascii="Georgia" w:eastAsia="Times New Roman" w:hAnsi="Georgia" w:cs="Times New Roman"/>
            <w:color w:val="007BFF"/>
            <w:sz w:val="24"/>
            <w:szCs w:val="24"/>
            <w:highlight w:val="cyan"/>
            <w:lang w:eastAsia="en-GB"/>
          </w:rPr>
          <w:t>279 Ark. 294</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652 S.W.2d 2</w:t>
      </w:r>
      <w:r w:rsidRPr="005A0946">
        <w:rPr>
          <w:rFonts w:ascii="Georgia" w:eastAsia="Times New Roman" w:hAnsi="Georgia" w:cs="Times New Roman"/>
          <w:sz w:val="24"/>
          <w:szCs w:val="24"/>
          <w:highlight w:val="cyan"/>
          <w:lang w:eastAsia="en-GB"/>
        </w:rPr>
        <w:t> (1983).</w:t>
      </w:r>
      <w:r w:rsidRPr="00646D92">
        <w:rPr>
          <w:rFonts w:ascii="Georgia" w:eastAsia="Times New Roman" w:hAnsi="Georgia" w:cs="Times New Roman"/>
          <w:sz w:val="24"/>
          <w:szCs w:val="24"/>
          <w:lang w:eastAsia="en-GB"/>
        </w:rPr>
        <w:t xml:space="preserve"> In that case, appellant had a contract with appellee, an employment agency. She claimed that the agency was negligent in directing her to a prospective employer who abducted and raped her. Our supreme court reversed a directed verdict in favor of the agency and recognized that appellant’s negligence action was based on the agency’s duty of care created by the contractual relationship between the agency and appellant. </w:t>
      </w:r>
      <w:r w:rsidRPr="005A0946">
        <w:rPr>
          <w:rFonts w:ascii="Georgia" w:eastAsia="Times New Roman" w:hAnsi="Georgia" w:cs="Times New Roman"/>
          <w:sz w:val="24"/>
          <w:szCs w:val="24"/>
          <w:highlight w:val="green"/>
          <w:lang w:eastAsia="en-GB"/>
        </w:rPr>
        <w:t>In the case before us, it is clear that appellee had certain duties under its contract with Speedy’s, among them, the “prevention, observation, or detection of any unauthorized activity on </w:t>
      </w:r>
      <w:hyperlink r:id="rId19" w:anchor="p364" w:history="1">
        <w:r w:rsidRPr="005A0946">
          <w:rPr>
            <w:rFonts w:ascii="Georgia" w:eastAsia="Times New Roman" w:hAnsi="Georgia" w:cs="Times New Roman"/>
            <w:i/>
            <w:iCs/>
            <w:color w:val="979797"/>
            <w:sz w:val="19"/>
            <w:szCs w:val="19"/>
            <w:highlight w:val="green"/>
            <w:lang w:eastAsia="en-GB"/>
          </w:rPr>
          <w:t>*364</w:t>
        </w:r>
      </w:hyperlink>
      <w:r w:rsidRPr="005A0946">
        <w:rPr>
          <w:rFonts w:ascii="Georgia" w:eastAsia="Times New Roman" w:hAnsi="Georgia" w:cs="Times New Roman"/>
          <w:sz w:val="24"/>
          <w:szCs w:val="24"/>
          <w:highlight w:val="green"/>
          <w:lang w:eastAsia="en-GB"/>
        </w:rPr>
        <w:t>private property” and the “protection of individuals from bodily harm.” However, while the contract imposed such duties on appel-lee, there is nothing to indicate that the duties were owed to anyone other than Speedy’s or perhaps Speedy’s patrons, </w:t>
      </w:r>
      <w:r w:rsidRPr="005A0946">
        <w:rPr>
          <w:rFonts w:ascii="Georgia" w:eastAsia="Times New Roman" w:hAnsi="Georgia" w:cs="Times New Roman"/>
          <w:i/>
          <w:iCs/>
          <w:sz w:val="24"/>
          <w:szCs w:val="24"/>
          <w:highlight w:val="green"/>
          <w:lang w:eastAsia="en-GB"/>
        </w:rPr>
        <w:t>i.e., </w:t>
      </w:r>
      <w:r w:rsidRPr="005A0946">
        <w:rPr>
          <w:rFonts w:ascii="Georgia" w:eastAsia="Times New Roman" w:hAnsi="Georgia" w:cs="Times New Roman"/>
          <w:sz w:val="24"/>
          <w:szCs w:val="24"/>
          <w:highlight w:val="green"/>
          <w:lang w:eastAsia="en-GB"/>
        </w:rPr>
        <w:t>persons and property on Speedy’s premises.</w:t>
      </w:r>
      <w:r w:rsidRPr="00646D92">
        <w:rPr>
          <w:rFonts w:ascii="Georgia" w:eastAsia="Times New Roman" w:hAnsi="Georgia" w:cs="Times New Roman"/>
          <w:sz w:val="24"/>
          <w:szCs w:val="24"/>
          <w:lang w:eastAsia="en-GB"/>
        </w:rPr>
        <w:t xml:space="preserve"> It is presumed that parties contract only for themselves. </w:t>
      </w:r>
      <w:r w:rsidRPr="005A0946">
        <w:rPr>
          <w:rFonts w:ascii="Georgia" w:eastAsia="Times New Roman" w:hAnsi="Georgia" w:cs="Times New Roman"/>
          <w:i/>
          <w:iCs/>
          <w:sz w:val="24"/>
          <w:szCs w:val="24"/>
          <w:highlight w:val="cyan"/>
          <w:lang w:eastAsia="en-GB"/>
        </w:rPr>
        <w:t>Little Rock Utility v. Larry Moyer Rucking, Inc., </w:t>
      </w:r>
      <w:r w:rsidRPr="005A0946">
        <w:rPr>
          <w:rFonts w:ascii="Georgia" w:eastAsia="Times New Roman" w:hAnsi="Georgia" w:cs="Times New Roman"/>
          <w:color w:val="007BFF"/>
          <w:sz w:val="24"/>
          <w:szCs w:val="24"/>
          <w:highlight w:val="cyan"/>
          <w:lang w:eastAsia="en-GB"/>
        </w:rPr>
        <w:t>321 Ark. 303</w:t>
      </w:r>
      <w:r w:rsidRPr="005A0946">
        <w:rPr>
          <w:rFonts w:ascii="Georgia" w:eastAsia="Times New Roman" w:hAnsi="Georgia" w:cs="Times New Roman"/>
          <w:sz w:val="24"/>
          <w:szCs w:val="24"/>
          <w:highlight w:val="cyan"/>
          <w:lang w:eastAsia="en-GB"/>
        </w:rPr>
        <w:t>, </w:t>
      </w:r>
      <w:hyperlink r:id="rId20" w:history="1">
        <w:r w:rsidRPr="005A0946">
          <w:rPr>
            <w:rFonts w:ascii="Georgia" w:eastAsia="Times New Roman" w:hAnsi="Georgia" w:cs="Times New Roman"/>
            <w:color w:val="007BFF"/>
            <w:sz w:val="24"/>
            <w:szCs w:val="24"/>
            <w:highlight w:val="cyan"/>
            <w:lang w:eastAsia="en-GB"/>
          </w:rPr>
          <w:t>902 S.W.2d 760</w:t>
        </w:r>
      </w:hyperlink>
      <w:r w:rsidRPr="005A0946">
        <w:rPr>
          <w:rFonts w:ascii="Georgia" w:eastAsia="Times New Roman" w:hAnsi="Georgia" w:cs="Times New Roman"/>
          <w:sz w:val="24"/>
          <w:szCs w:val="24"/>
          <w:highlight w:val="cyan"/>
          <w:lang w:eastAsia="en-GB"/>
        </w:rPr>
        <w:t> (1995).</w:t>
      </w:r>
      <w:r w:rsidRPr="00646D92">
        <w:rPr>
          <w:rFonts w:ascii="Georgia" w:eastAsia="Times New Roman" w:hAnsi="Georgia" w:cs="Times New Roman"/>
          <w:sz w:val="24"/>
          <w:szCs w:val="24"/>
          <w:lang w:eastAsia="en-GB"/>
        </w:rPr>
        <w:t xml:space="preserve"> A contract will not be construed as having been made for the benefit of third parties unless it clearly appears that such was the intention of the parties. </w:t>
      </w:r>
      <w:r w:rsidRPr="00646D92">
        <w:rPr>
          <w:rFonts w:ascii="Georgia" w:eastAsia="Times New Roman" w:hAnsi="Georgia" w:cs="Times New Roman"/>
          <w:i/>
          <w:iCs/>
          <w:color w:val="007BFF"/>
          <w:sz w:val="24"/>
          <w:szCs w:val="24"/>
          <w:lang w:eastAsia="en-GB"/>
        </w:rPr>
        <w:t>Id.</w:t>
      </w:r>
      <w:r w:rsidRPr="00646D92">
        <w:rPr>
          <w:rFonts w:ascii="Georgia" w:eastAsia="Times New Roman" w:hAnsi="Georgia" w:cs="Times New Roman"/>
          <w:i/>
          <w:iCs/>
          <w:sz w:val="24"/>
          <w:szCs w:val="24"/>
          <w:lang w:eastAsia="en-GB"/>
        </w:rPr>
        <w:t> </w:t>
      </w:r>
      <w:r w:rsidRPr="005A0946">
        <w:rPr>
          <w:rFonts w:ascii="Georgia" w:eastAsia="Times New Roman" w:hAnsi="Georgia" w:cs="Times New Roman"/>
          <w:sz w:val="24"/>
          <w:szCs w:val="24"/>
          <w:highlight w:val="green"/>
          <w:lang w:eastAsia="en-GB"/>
        </w:rPr>
        <w:t>Even viewing the evidence in a fight most favorable to appellant, there is nothing in the contract between Speedy’s and appellee to indicate that it was intended to benefit appellant. Thus, we agree with the trial court that the contract created no duty upon which appellant could premise a negligence action.</w:t>
      </w:r>
    </w:p>
    <w:p w14:paraId="68011577" w14:textId="49457D0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We turn now to appellant’s argument that security companies should be held to the same standard of liability as alcoholic beverage retailers, as set forth in </w:t>
      </w:r>
      <w:r w:rsidRPr="005A0946">
        <w:rPr>
          <w:rFonts w:ascii="Georgia" w:eastAsia="Times New Roman" w:hAnsi="Georgia" w:cs="Times New Roman"/>
          <w:i/>
          <w:iCs/>
          <w:sz w:val="24"/>
          <w:szCs w:val="24"/>
          <w:highlight w:val="cyan"/>
          <w:lang w:eastAsia="en-GB"/>
        </w:rPr>
        <w:t>Jackson v. Cadillac Club, Inc., </w:t>
      </w:r>
      <w:hyperlink r:id="rId21" w:history="1">
        <w:r w:rsidRPr="005A0946">
          <w:rPr>
            <w:rFonts w:ascii="Georgia" w:eastAsia="Times New Roman" w:hAnsi="Georgia" w:cs="Times New Roman"/>
            <w:color w:val="007BFF"/>
            <w:sz w:val="24"/>
            <w:szCs w:val="24"/>
            <w:highlight w:val="cyan"/>
            <w:lang w:eastAsia="en-GB"/>
          </w:rPr>
          <w:t>337 Ark. 24</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986 S.W.2d 410</w:t>
      </w:r>
      <w:r w:rsidRPr="005A0946">
        <w:rPr>
          <w:rFonts w:ascii="Georgia" w:eastAsia="Times New Roman" w:hAnsi="Georgia" w:cs="Times New Roman"/>
          <w:sz w:val="24"/>
          <w:szCs w:val="24"/>
          <w:highlight w:val="cyan"/>
          <w:lang w:eastAsia="en-GB"/>
        </w:rPr>
        <w:t> (1999),</w:t>
      </w:r>
      <w:r w:rsidRPr="00646D92">
        <w:rPr>
          <w:rFonts w:ascii="Georgia" w:eastAsia="Times New Roman" w:hAnsi="Georgia" w:cs="Times New Roman"/>
          <w:sz w:val="24"/>
          <w:szCs w:val="24"/>
          <w:lang w:eastAsia="en-GB"/>
        </w:rPr>
        <w:t xml:space="preserve"> and </w:t>
      </w:r>
      <w:r w:rsidRPr="005A0946">
        <w:rPr>
          <w:rFonts w:ascii="Georgia" w:eastAsia="Times New Roman" w:hAnsi="Georgia" w:cs="Times New Roman"/>
          <w:i/>
          <w:iCs/>
          <w:sz w:val="24"/>
          <w:szCs w:val="24"/>
          <w:highlight w:val="cyan"/>
          <w:lang w:eastAsia="en-GB"/>
        </w:rPr>
        <w:t>Shannon v. Wilson, </w:t>
      </w:r>
      <w:hyperlink r:id="rId22" w:history="1">
        <w:r w:rsidRPr="005A0946">
          <w:rPr>
            <w:rFonts w:ascii="Georgia" w:eastAsia="Times New Roman" w:hAnsi="Georgia" w:cs="Times New Roman"/>
            <w:color w:val="007BFF"/>
            <w:sz w:val="24"/>
            <w:szCs w:val="24"/>
            <w:highlight w:val="cyan"/>
            <w:lang w:eastAsia="en-GB"/>
          </w:rPr>
          <w:t>329 Ark. 143</w:t>
        </w:r>
      </w:hyperlink>
      <w:r w:rsidRPr="005A0946">
        <w:rPr>
          <w:rFonts w:ascii="Georgia" w:eastAsia="Times New Roman" w:hAnsi="Georgia" w:cs="Times New Roman"/>
          <w:sz w:val="24"/>
          <w:szCs w:val="24"/>
          <w:highlight w:val="cyan"/>
          <w:lang w:eastAsia="en-GB"/>
        </w:rPr>
        <w:t>, </w:t>
      </w:r>
      <w:r w:rsidRPr="005A0946">
        <w:rPr>
          <w:rFonts w:ascii="Georgia" w:eastAsia="Times New Roman" w:hAnsi="Georgia" w:cs="Times New Roman"/>
          <w:color w:val="007BFF"/>
          <w:sz w:val="24"/>
          <w:szCs w:val="24"/>
          <w:highlight w:val="cyan"/>
          <w:lang w:eastAsia="en-GB"/>
        </w:rPr>
        <w:t>947 S.W.2d 349</w:t>
      </w:r>
      <w:r w:rsidRPr="005A0946">
        <w:rPr>
          <w:rFonts w:ascii="Georgia" w:eastAsia="Times New Roman" w:hAnsi="Georgia" w:cs="Times New Roman"/>
          <w:sz w:val="24"/>
          <w:szCs w:val="24"/>
          <w:highlight w:val="cyan"/>
          <w:lang w:eastAsia="en-GB"/>
        </w:rPr>
        <w:t> (1997)</w:t>
      </w:r>
      <w:r w:rsidRPr="00646D92">
        <w:rPr>
          <w:rFonts w:ascii="Georgia" w:eastAsia="Times New Roman" w:hAnsi="Georgia" w:cs="Times New Roman"/>
          <w:sz w:val="24"/>
          <w:szCs w:val="24"/>
          <w:lang w:eastAsia="en-GB"/>
        </w:rPr>
        <w:t>. In </w:t>
      </w:r>
      <w:r w:rsidRPr="005A0946">
        <w:rPr>
          <w:rFonts w:ascii="Georgia" w:eastAsia="Times New Roman" w:hAnsi="Georgia" w:cs="Times New Roman"/>
          <w:i/>
          <w:iCs/>
          <w:sz w:val="24"/>
          <w:szCs w:val="24"/>
          <w:highlight w:val="cyan"/>
          <w:lang w:eastAsia="en-GB"/>
        </w:rPr>
        <w:t>Shannon</w:t>
      </w:r>
      <w:r w:rsidRPr="00646D92">
        <w:rPr>
          <w:rFonts w:ascii="Georgia" w:eastAsia="Times New Roman" w:hAnsi="Georgia" w:cs="Times New Roman"/>
          <w:i/>
          <w:iCs/>
          <w:sz w:val="24"/>
          <w:szCs w:val="24"/>
          <w:lang w:eastAsia="en-GB"/>
        </w:rPr>
        <w:t>, </w:t>
      </w:r>
      <w:r w:rsidRPr="00646D92">
        <w:rPr>
          <w:rFonts w:ascii="Georgia" w:eastAsia="Times New Roman" w:hAnsi="Georgia" w:cs="Times New Roman"/>
          <w:sz w:val="24"/>
          <w:szCs w:val="24"/>
          <w:lang w:eastAsia="en-GB"/>
        </w:rPr>
        <w:t>our supreme court broke with years of precedent and recognized that a vendor who sells alcohol to a minor might incur tort liability if the minor subsequently causes injuries to others while intoxicated. In </w:t>
      </w:r>
      <w:r w:rsidRPr="005A0946">
        <w:rPr>
          <w:rFonts w:ascii="Georgia" w:eastAsia="Times New Roman" w:hAnsi="Georgia" w:cs="Times New Roman"/>
          <w:i/>
          <w:iCs/>
          <w:sz w:val="24"/>
          <w:szCs w:val="24"/>
          <w:highlight w:val="cyan"/>
          <w:lang w:eastAsia="en-GB"/>
        </w:rPr>
        <w:t>Jackson v. Cadillac Club</w:t>
      </w:r>
      <w:r w:rsidRPr="00646D92">
        <w:rPr>
          <w:rFonts w:ascii="Georgia" w:eastAsia="Times New Roman" w:hAnsi="Georgia" w:cs="Times New Roman"/>
          <w:i/>
          <w:iCs/>
          <w:sz w:val="24"/>
          <w:szCs w:val="24"/>
          <w:lang w:eastAsia="en-GB"/>
        </w:rPr>
        <w:t>, </w:t>
      </w:r>
      <w:r w:rsidRPr="00646D92">
        <w:rPr>
          <w:rFonts w:ascii="Georgia" w:eastAsia="Times New Roman" w:hAnsi="Georgia" w:cs="Times New Roman"/>
          <w:sz w:val="24"/>
          <w:szCs w:val="24"/>
          <w:lang w:eastAsia="en-GB"/>
        </w:rPr>
        <w:t>that holding was extended to encompass a vendor selling alcohol to an already-intoxicated person. Appellant states, correctly, that the holdings in those cases were based in part on the idea that the Arkansas legislature established a high duty of care to be observed by those who are licensed to sell alcohol. The legislation, codified at </w:t>
      </w:r>
      <w:hyperlink r:id="rId23" w:history="1">
        <w:r w:rsidRPr="005A0946">
          <w:rPr>
            <w:rFonts w:ascii="Georgia" w:eastAsia="Times New Roman" w:hAnsi="Georgia" w:cs="Times New Roman"/>
            <w:color w:val="007BFF"/>
            <w:sz w:val="24"/>
            <w:szCs w:val="24"/>
            <w:highlight w:val="cyan"/>
            <w:lang w:eastAsia="en-GB"/>
          </w:rPr>
          <w:t>Ark. Code Ann. § 3-3-218</w:t>
        </w:r>
      </w:hyperlink>
      <w:r w:rsidRPr="005A0946">
        <w:rPr>
          <w:rFonts w:ascii="Georgia" w:eastAsia="Times New Roman" w:hAnsi="Georgia" w:cs="Times New Roman"/>
          <w:sz w:val="24"/>
          <w:szCs w:val="24"/>
          <w:highlight w:val="cyan"/>
          <w:lang w:eastAsia="en-GB"/>
        </w:rPr>
        <w:t>(a) and (b) (Repl. 1996)</w:t>
      </w:r>
      <w:r w:rsidRPr="00646D92">
        <w:rPr>
          <w:rFonts w:ascii="Georgia" w:eastAsia="Times New Roman" w:hAnsi="Georgia" w:cs="Times New Roman"/>
          <w:sz w:val="24"/>
          <w:szCs w:val="24"/>
          <w:lang w:eastAsia="en-GB"/>
        </w:rPr>
        <w:t>, states in pertinent part:</w:t>
      </w:r>
    </w:p>
    <w:p w14:paraId="68011578" w14:textId="77777777" w:rsidR="00646D92" w:rsidRPr="00646D92" w:rsidRDefault="00646D92" w:rsidP="00646D92">
      <w:pPr>
        <w:spacing w:after="100" w:line="240" w:lineRule="auto"/>
        <w:rPr>
          <w:rFonts w:ascii="Georgia" w:eastAsia="Times New Roman" w:hAnsi="Georgia" w:cs="Times New Roman"/>
          <w:color w:val="004FB3"/>
          <w:sz w:val="24"/>
          <w:szCs w:val="24"/>
          <w:lang w:eastAsia="en-GB"/>
        </w:rPr>
      </w:pPr>
      <w:r w:rsidRPr="00646D92">
        <w:rPr>
          <w:rFonts w:ascii="Georgia" w:eastAsia="Times New Roman" w:hAnsi="Georgia" w:cs="Times New Roman"/>
          <w:color w:val="004FB3"/>
          <w:sz w:val="24"/>
          <w:szCs w:val="24"/>
          <w:lang w:eastAsia="en-GB"/>
        </w:rPr>
        <w:t>(a) It is the specifically declared policy of the General Assembly that all licenses issued to establishments for the sale or dispensing of alcoholic beverages are privilege licenses, and the holder of such privilege license is to be held to a high duty of care in the operation of the licensed establishment.</w:t>
      </w:r>
    </w:p>
    <w:p w14:paraId="68011579" w14:textId="77777777" w:rsidR="00646D92" w:rsidRPr="00646D92" w:rsidRDefault="00646D92" w:rsidP="00646D92">
      <w:pPr>
        <w:spacing w:after="100" w:line="240" w:lineRule="auto"/>
        <w:rPr>
          <w:rFonts w:ascii="Georgia" w:eastAsia="Times New Roman" w:hAnsi="Georgia" w:cs="Times New Roman"/>
          <w:color w:val="004FB3"/>
          <w:sz w:val="24"/>
          <w:szCs w:val="24"/>
          <w:lang w:eastAsia="en-GB"/>
        </w:rPr>
      </w:pPr>
      <w:r w:rsidRPr="00646D92">
        <w:rPr>
          <w:rFonts w:ascii="Georgia" w:eastAsia="Times New Roman" w:hAnsi="Georgia" w:cs="Times New Roman"/>
          <w:color w:val="004FB3"/>
          <w:sz w:val="24"/>
          <w:szCs w:val="24"/>
          <w:lang w:eastAsia="en-GB"/>
        </w:rPr>
        <w:t>(b) It is the duty of every holder of an alcoholic beverage permit issued by the State of Arkansas to operate the business wherein alcoholic beverages are sold or dispensed in a manner which is in the public interest, and does not endanger the pubhc, health, welfare or safety.</w:t>
      </w:r>
    </w:p>
    <w:p w14:paraId="6801157A" w14:textId="1566A852"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 xml:space="preserve">Appellant argues that the legislature, by passage of the </w:t>
      </w:r>
      <w:r w:rsidRPr="005A0946">
        <w:rPr>
          <w:rFonts w:ascii="Georgia" w:eastAsia="Times New Roman" w:hAnsi="Georgia" w:cs="Times New Roman"/>
          <w:sz w:val="24"/>
          <w:szCs w:val="24"/>
          <w:highlight w:val="cyan"/>
          <w:lang w:eastAsia="en-GB"/>
        </w:rPr>
        <w:t>Private Investigators and Private Security Agencies Act</w:t>
      </w:r>
      <w:r w:rsidRPr="00646D92">
        <w:rPr>
          <w:rFonts w:ascii="Georgia" w:eastAsia="Times New Roman" w:hAnsi="Georgia" w:cs="Times New Roman"/>
          <w:sz w:val="24"/>
          <w:szCs w:val="24"/>
          <w:lang w:eastAsia="en-GB"/>
        </w:rPr>
        <w:t>, has imposed on security </w:t>
      </w:r>
      <w:r w:rsidRPr="00646D92">
        <w:rPr>
          <w:rFonts w:ascii="Georgia" w:eastAsia="Times New Roman" w:hAnsi="Georgia" w:cs="Times New Roman"/>
          <w:i/>
          <w:iCs/>
          <w:color w:val="979797"/>
          <w:sz w:val="19"/>
          <w:szCs w:val="19"/>
          <w:lang w:eastAsia="en-GB"/>
        </w:rPr>
        <w:t>*365</w:t>
      </w:r>
      <w:r w:rsidRPr="00646D92">
        <w:rPr>
          <w:rFonts w:ascii="Georgia" w:eastAsia="Times New Roman" w:hAnsi="Georgia" w:cs="Times New Roman"/>
          <w:sz w:val="24"/>
          <w:szCs w:val="24"/>
          <w:lang w:eastAsia="en-GB"/>
        </w:rPr>
        <w:t>guard companies a similar duty to refrain from endangering the public health, welfare, and safety. </w:t>
      </w:r>
      <w:r w:rsidRPr="00646D92">
        <w:rPr>
          <w:rFonts w:ascii="Georgia" w:eastAsia="Times New Roman" w:hAnsi="Georgia" w:cs="Times New Roman"/>
          <w:i/>
          <w:iCs/>
          <w:sz w:val="24"/>
          <w:szCs w:val="24"/>
          <w:lang w:eastAsia="en-GB"/>
        </w:rPr>
        <w:t>See </w:t>
      </w:r>
      <w:hyperlink r:id="rId24" w:history="1">
        <w:r w:rsidRPr="005A0946">
          <w:rPr>
            <w:rFonts w:ascii="Georgia" w:eastAsia="Times New Roman" w:hAnsi="Georgia" w:cs="Times New Roman"/>
            <w:color w:val="007BFF"/>
            <w:sz w:val="24"/>
            <w:szCs w:val="24"/>
            <w:highlight w:val="cyan"/>
            <w:lang w:eastAsia="en-GB"/>
          </w:rPr>
          <w:t>Ark. Code Ann. §§ 17-40-101</w:t>
        </w:r>
      </w:hyperlink>
      <w:r w:rsidRPr="005A0946">
        <w:rPr>
          <w:rFonts w:ascii="Georgia" w:eastAsia="Times New Roman" w:hAnsi="Georgia" w:cs="Times New Roman"/>
          <w:sz w:val="24"/>
          <w:szCs w:val="24"/>
          <w:highlight w:val="cyan"/>
          <w:lang w:eastAsia="en-GB"/>
        </w:rPr>
        <w:t> to 353 (Repl. 1995 and Supp. 1999).</w:t>
      </w:r>
    </w:p>
    <w:p w14:paraId="6801157B" w14:textId="77777777" w:rsidR="00646D92" w:rsidRPr="005A0946" w:rsidRDefault="00646D92" w:rsidP="00646D92">
      <w:pPr>
        <w:spacing w:before="100" w:beforeAutospacing="1" w:after="225" w:line="240" w:lineRule="auto"/>
        <w:rPr>
          <w:rFonts w:ascii="Georgia" w:eastAsia="Times New Roman" w:hAnsi="Georgia" w:cs="Times New Roman"/>
          <w:color w:val="FF0000"/>
          <w:sz w:val="24"/>
          <w:szCs w:val="24"/>
          <w:lang w:eastAsia="en-GB"/>
        </w:rPr>
      </w:pPr>
      <w:r w:rsidRPr="00646D92">
        <w:rPr>
          <w:rFonts w:ascii="Georgia" w:eastAsia="Times New Roman" w:hAnsi="Georgia" w:cs="Times New Roman"/>
          <w:sz w:val="24"/>
          <w:szCs w:val="24"/>
          <w:lang w:eastAsia="en-GB"/>
        </w:rPr>
        <w:t xml:space="preserve">Appellant’s argument fails to recognize that the </w:t>
      </w:r>
      <w:r w:rsidRPr="005A0946">
        <w:rPr>
          <w:rFonts w:ascii="Georgia" w:eastAsia="Times New Roman" w:hAnsi="Georgia" w:cs="Times New Roman"/>
          <w:sz w:val="24"/>
          <w:szCs w:val="24"/>
          <w:highlight w:val="green"/>
          <w:lang w:eastAsia="en-GB"/>
        </w:rPr>
        <w:t xml:space="preserve">legislature has not expressly imposed upon security guard agencies the same “high duty of care” required of alcoholic beverage vendors. Appellant points out that </w:t>
      </w:r>
      <w:r w:rsidRPr="005A0946">
        <w:rPr>
          <w:rFonts w:ascii="Georgia" w:eastAsia="Times New Roman" w:hAnsi="Georgia" w:cs="Times New Roman"/>
          <w:sz w:val="24"/>
          <w:szCs w:val="24"/>
          <w:highlight w:val="cyan"/>
          <w:lang w:eastAsia="en-GB"/>
        </w:rPr>
        <w:t xml:space="preserve">Act 429 of 1977 </w:t>
      </w:r>
      <w:r w:rsidRPr="005A0946">
        <w:rPr>
          <w:rFonts w:ascii="Georgia" w:eastAsia="Times New Roman" w:hAnsi="Georgia" w:cs="Times New Roman"/>
          <w:sz w:val="24"/>
          <w:szCs w:val="24"/>
          <w:highlight w:val="green"/>
          <w:lang w:eastAsia="en-GB"/>
        </w:rPr>
        <w:t xml:space="preserve">and </w:t>
      </w:r>
      <w:r w:rsidRPr="005A0946">
        <w:rPr>
          <w:rFonts w:ascii="Georgia" w:eastAsia="Times New Roman" w:hAnsi="Georgia" w:cs="Times New Roman"/>
          <w:sz w:val="24"/>
          <w:szCs w:val="24"/>
          <w:highlight w:val="cyan"/>
          <w:lang w:eastAsia="en-GB"/>
        </w:rPr>
        <w:t>Act 792 of 1981</w:t>
      </w:r>
      <w:r w:rsidRPr="005A0946">
        <w:rPr>
          <w:rFonts w:ascii="Georgia" w:eastAsia="Times New Roman" w:hAnsi="Georgia" w:cs="Times New Roman"/>
          <w:sz w:val="24"/>
          <w:szCs w:val="24"/>
          <w:highlight w:val="green"/>
          <w:lang w:eastAsia="en-GB"/>
        </w:rPr>
        <w:t>, which concern the licensing of security agencies, refer to the need to “protect the public” and to the “public peace, health, [and] safety.” However, such language is contained in the emergency clauses of both acts, not in directives toward the security agencies. We have found no language in the Act, and appellant has cited us to none, that compares with the language the legislature used to impose an enhanced duty of care on the vendor of alcoholic beverages. Thus, we decline to extend the rationale in </w:t>
      </w:r>
      <w:r w:rsidRPr="005A0946">
        <w:rPr>
          <w:rFonts w:ascii="Georgia" w:eastAsia="Times New Roman" w:hAnsi="Georgia" w:cs="Times New Roman"/>
          <w:i/>
          <w:iCs/>
          <w:sz w:val="24"/>
          <w:szCs w:val="24"/>
          <w:highlight w:val="cyan"/>
          <w:lang w:eastAsia="en-GB"/>
        </w:rPr>
        <w:t>Shannon</w:t>
      </w:r>
      <w:r w:rsidRPr="005A0946">
        <w:rPr>
          <w:rFonts w:ascii="Georgia" w:eastAsia="Times New Roman" w:hAnsi="Georgia" w:cs="Times New Roman"/>
          <w:i/>
          <w:iCs/>
          <w:sz w:val="24"/>
          <w:szCs w:val="24"/>
          <w:highlight w:val="green"/>
          <w:lang w:eastAsia="en-GB"/>
        </w:rPr>
        <w:t> </w:t>
      </w:r>
      <w:r w:rsidRPr="005A0946">
        <w:rPr>
          <w:rFonts w:ascii="Georgia" w:eastAsia="Times New Roman" w:hAnsi="Georgia" w:cs="Times New Roman"/>
          <w:sz w:val="24"/>
          <w:szCs w:val="24"/>
          <w:highlight w:val="green"/>
          <w:lang w:eastAsia="en-GB"/>
        </w:rPr>
        <w:t>and </w:t>
      </w:r>
      <w:r w:rsidRPr="005A0946">
        <w:rPr>
          <w:rFonts w:ascii="Georgia" w:eastAsia="Times New Roman" w:hAnsi="Georgia" w:cs="Times New Roman"/>
          <w:i/>
          <w:iCs/>
          <w:sz w:val="24"/>
          <w:szCs w:val="24"/>
          <w:highlight w:val="cyan"/>
          <w:lang w:eastAsia="en-GB"/>
        </w:rPr>
        <w:t>Jackson </w:t>
      </w:r>
      <w:r w:rsidRPr="005A0946">
        <w:rPr>
          <w:rFonts w:ascii="Georgia" w:eastAsia="Times New Roman" w:hAnsi="Georgia" w:cs="Times New Roman"/>
          <w:sz w:val="24"/>
          <w:szCs w:val="24"/>
          <w:highlight w:val="green"/>
          <w:lang w:eastAsia="en-GB"/>
        </w:rPr>
        <w:t>to this case.</w:t>
      </w:r>
    </w:p>
    <w:p w14:paraId="6801157C" w14:textId="1C06C91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green"/>
          <w:lang w:eastAsia="en-GB"/>
        </w:rPr>
        <w:t>Finally, we consider appellant’s argument that appellee should be held “to a professional standard of care.” She claims that liability might be imposed on appellee as it is on other professionals in connection with </w:t>
      </w:r>
      <w:r w:rsidRPr="005A0946">
        <w:rPr>
          <w:rFonts w:ascii="Georgia" w:eastAsia="Times New Roman" w:hAnsi="Georgia" w:cs="Times New Roman"/>
          <w:color w:val="007BFF"/>
          <w:sz w:val="24"/>
          <w:szCs w:val="24"/>
          <w:highlight w:val="cyan"/>
          <w:lang w:eastAsia="en-GB"/>
        </w:rPr>
        <w:t>Ark. Code Ann. §§ 16-114-301</w:t>
      </w:r>
      <w:r w:rsidRPr="005A0946">
        <w:rPr>
          <w:rFonts w:ascii="Georgia" w:eastAsia="Times New Roman" w:hAnsi="Georgia" w:cs="Times New Roman"/>
          <w:sz w:val="24"/>
          <w:szCs w:val="24"/>
          <w:highlight w:val="cyan"/>
          <w:lang w:eastAsia="en-GB"/>
        </w:rPr>
        <w:t> to -303 (Supp. 1999)</w:t>
      </w:r>
      <w:r w:rsidRPr="005A0946">
        <w:rPr>
          <w:rFonts w:ascii="Georgia" w:eastAsia="Times New Roman" w:hAnsi="Georgia" w:cs="Times New Roman"/>
          <w:sz w:val="24"/>
          <w:szCs w:val="24"/>
          <w:highlight w:val="green"/>
          <w:lang w:eastAsia="en-GB"/>
        </w:rPr>
        <w:t>. We are unable to determine how these statutes might be used to create a duty on the part of appellee. These statutes apply only to accountants and attorneys, and appellant offers no convincing argument as to why they should apply to security companies.</w:t>
      </w:r>
    </w:p>
    <w:p w14:paraId="6801157D" w14:textId="7777777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5A0946">
        <w:rPr>
          <w:rFonts w:ascii="Georgia" w:eastAsia="Times New Roman" w:hAnsi="Georgia" w:cs="Times New Roman"/>
          <w:sz w:val="24"/>
          <w:szCs w:val="24"/>
          <w:highlight w:val="red"/>
          <w:lang w:eastAsia="en-GB"/>
        </w:rPr>
        <w:t>Affirmed.</w:t>
      </w:r>
    </w:p>
    <w:p w14:paraId="6801157E" w14:textId="77777777" w:rsidR="00646D92" w:rsidRPr="00646D92" w:rsidRDefault="00646D92" w:rsidP="00646D92">
      <w:pPr>
        <w:spacing w:before="100" w:beforeAutospacing="1" w:after="225"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Neal and Baker, JJ., agree.</w:t>
      </w:r>
    </w:p>
    <w:p w14:paraId="6801157F" w14:textId="77777777" w:rsidR="00646D92" w:rsidRPr="00646D92" w:rsidRDefault="00EE733F" w:rsidP="00646D92">
      <w:pPr>
        <w:spacing w:after="0" w:line="240" w:lineRule="auto"/>
        <w:rPr>
          <w:rFonts w:ascii="Times New Roman" w:eastAsia="Times New Roman" w:hAnsi="Times New Roman" w:cs="Times New Roman"/>
          <w:sz w:val="24"/>
          <w:szCs w:val="24"/>
          <w:lang w:eastAsia="en-GB"/>
        </w:rPr>
      </w:pPr>
      <w:hyperlink r:id="rId25" w:anchor="ref_footnote_1_1" w:history="1">
        <w:r w:rsidR="00646D92" w:rsidRPr="00646D92">
          <w:rPr>
            <w:rFonts w:ascii="Georgia" w:eastAsia="Times New Roman" w:hAnsi="Georgia" w:cs="Times New Roman"/>
            <w:b/>
            <w:bCs/>
            <w:color w:val="E878FF"/>
            <w:sz w:val="24"/>
            <w:szCs w:val="24"/>
            <w:lang w:eastAsia="en-GB"/>
          </w:rPr>
          <w:t>1</w:t>
        </w:r>
      </w:hyperlink>
    </w:p>
    <w:p w14:paraId="68011580" w14:textId="77777777" w:rsidR="00646D92" w:rsidRPr="00646D92" w:rsidRDefault="00646D92" w:rsidP="00646D92">
      <w:pPr>
        <w:spacing w:after="120" w:line="240" w:lineRule="auto"/>
        <w:rPr>
          <w:rFonts w:ascii="Georgia" w:eastAsia="Times New Roman" w:hAnsi="Georgia" w:cs="Times New Roman"/>
          <w:sz w:val="24"/>
          <w:szCs w:val="24"/>
          <w:lang w:eastAsia="en-GB"/>
        </w:rPr>
      </w:pPr>
      <w:r w:rsidRPr="00646D92">
        <w:rPr>
          <w:rFonts w:ascii="Georgia" w:eastAsia="Times New Roman" w:hAnsi="Georgia" w:cs="Times New Roman"/>
          <w:sz w:val="24"/>
          <w:szCs w:val="24"/>
          <w:lang w:eastAsia="en-GB"/>
        </w:rPr>
        <w:t>Although appellant alleged in her first complaint that appellee’s guards forcibly evicted Sargent from the premises, she does not urge this theory on appeal. We note that she presented no proof in her response to appellee’s motion for summary judgment to rebut the guards’ testimony that they did not see Sargent on the night in question.</w:t>
      </w:r>
    </w:p>
    <w:p w14:paraId="68011581" w14:textId="77777777" w:rsidR="003C7770" w:rsidRDefault="003C7770"/>
    <w:p w14:paraId="68011582" w14:textId="77777777" w:rsidR="005A0946" w:rsidRDefault="005A0946">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68011583"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8011584" w14:textId="77777777" w:rsidR="005A0946" w:rsidRPr="00433C56" w:rsidRDefault="005A0946" w:rsidP="00433C56">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was seriously injured and her daughter was killed when </w:t>
      </w:r>
      <w:r w:rsidRPr="00433C56">
        <w:rPr>
          <w:rFonts w:ascii="Georgia" w:eastAsia="Times New Roman" w:hAnsi="Georgia" w:cs="Times New Roman"/>
          <w:sz w:val="28"/>
          <w:szCs w:val="24"/>
          <w:lang w:eastAsia="en-GB"/>
        </w:rPr>
        <w:t xml:space="preserve">their vehicle was struck by a vehicle driven by John Sargent. Sargent had been drinking at </w:t>
      </w:r>
      <w:r w:rsidR="00B10790" w:rsidRPr="00B10790">
        <w:rPr>
          <w:rFonts w:ascii="Georgia" w:eastAsia="Times New Roman" w:hAnsi="Georgia" w:cs="Times New Roman"/>
          <w:sz w:val="28"/>
          <w:szCs w:val="24"/>
          <w:lang w:eastAsia="en-GB"/>
        </w:rPr>
        <w:t>Speedy’s Sport Spot</w:t>
      </w:r>
      <w:r w:rsidRPr="00433C56">
        <w:rPr>
          <w:rFonts w:ascii="Georgia" w:eastAsia="Times New Roman" w:hAnsi="Georgia" w:cs="Times New Roman"/>
          <w:sz w:val="28"/>
          <w:szCs w:val="24"/>
          <w:lang w:eastAsia="en-GB"/>
        </w:rPr>
        <w:t xml:space="preserve">. </w:t>
      </w:r>
      <w:r w:rsidR="00433C56" w:rsidRPr="00433C56">
        <w:rPr>
          <w:rFonts w:ascii="Georgia" w:eastAsia="Times New Roman" w:hAnsi="Georgia" w:cs="Times New Roman"/>
          <w:sz w:val="28"/>
          <w:szCs w:val="24"/>
          <w:lang w:eastAsia="en-GB"/>
        </w:rPr>
        <w:t>Plaintiff sued t</w:t>
      </w:r>
      <w:r w:rsidRPr="00433C56">
        <w:rPr>
          <w:rFonts w:ascii="Georgia" w:eastAsia="Times New Roman" w:hAnsi="Georgia" w:cs="Times New Roman"/>
          <w:sz w:val="28"/>
          <w:szCs w:val="24"/>
          <w:lang w:eastAsia="en-GB"/>
        </w:rPr>
        <w:t>wo security</w:t>
      </w:r>
      <w:r w:rsidR="00433C56" w:rsidRPr="00433C56">
        <w:rPr>
          <w:rFonts w:ascii="Georgia" w:eastAsia="Times New Roman" w:hAnsi="Georgia" w:cs="Times New Roman"/>
          <w:sz w:val="28"/>
          <w:szCs w:val="24"/>
          <w:lang w:eastAsia="en-GB"/>
        </w:rPr>
        <w:t xml:space="preserve"> guards </w:t>
      </w:r>
      <w:r w:rsidR="00B10790">
        <w:rPr>
          <w:rFonts w:ascii="Georgia" w:eastAsia="Times New Roman" w:hAnsi="Georgia" w:cs="Times New Roman"/>
          <w:sz w:val="28"/>
          <w:szCs w:val="24"/>
          <w:lang w:eastAsia="en-GB"/>
        </w:rPr>
        <w:t xml:space="preserve">(defendants) </w:t>
      </w:r>
      <w:r w:rsidR="00433C56" w:rsidRPr="00433C56">
        <w:rPr>
          <w:rFonts w:ascii="Georgia" w:eastAsia="Times New Roman" w:hAnsi="Georgia" w:cs="Times New Roman"/>
          <w:sz w:val="28"/>
          <w:szCs w:val="24"/>
          <w:lang w:eastAsia="en-GB"/>
        </w:rPr>
        <w:t xml:space="preserve">present on the </w:t>
      </w:r>
      <w:r w:rsidR="00B10790" w:rsidRPr="00B10790">
        <w:rPr>
          <w:rFonts w:ascii="Georgia" w:eastAsia="Times New Roman" w:hAnsi="Georgia" w:cs="Times New Roman"/>
          <w:sz w:val="28"/>
          <w:szCs w:val="24"/>
          <w:lang w:eastAsia="en-GB"/>
        </w:rPr>
        <w:t>Speedy’s Sport Spot</w:t>
      </w:r>
      <w:r w:rsidR="00B10790">
        <w:t xml:space="preserve"> </w:t>
      </w:r>
      <w:r w:rsidR="00B10790" w:rsidRPr="00433C56">
        <w:rPr>
          <w:rFonts w:ascii="Georgia" w:eastAsia="Times New Roman" w:hAnsi="Georgia" w:cs="Times New Roman"/>
          <w:sz w:val="28"/>
          <w:szCs w:val="24"/>
          <w:lang w:eastAsia="en-GB"/>
        </w:rPr>
        <w:t>premises</w:t>
      </w:r>
      <w:r w:rsidR="00433C56" w:rsidRPr="00433C56">
        <w:rPr>
          <w:rFonts w:ascii="Georgia" w:eastAsia="Times New Roman" w:hAnsi="Georgia" w:cs="Times New Roman"/>
          <w:sz w:val="28"/>
          <w:szCs w:val="24"/>
          <w:lang w:eastAsia="en-GB"/>
        </w:rPr>
        <w:t xml:space="preserve">, claiming that </w:t>
      </w:r>
      <w:r w:rsidR="00B10790">
        <w:rPr>
          <w:rFonts w:ascii="Georgia" w:eastAsia="Times New Roman" w:hAnsi="Georgia" w:cs="Times New Roman"/>
          <w:sz w:val="28"/>
          <w:szCs w:val="24"/>
          <w:lang w:eastAsia="en-GB"/>
        </w:rPr>
        <w:t xml:space="preserve">defendants </w:t>
      </w:r>
      <w:r w:rsidR="00433C56" w:rsidRPr="00433C56">
        <w:rPr>
          <w:rFonts w:ascii="Georgia" w:eastAsia="Times New Roman" w:hAnsi="Georgia" w:cs="Times New Roman"/>
          <w:sz w:val="28"/>
          <w:szCs w:val="24"/>
          <w:lang w:eastAsia="en-GB"/>
        </w:rPr>
        <w:t>negligently failed to stop Sargent driving while intoxicated. The trail court granted summary judgment to defendants, finding that they did not owe plaintiff a duty of care. The appellate court affirmed.</w:t>
      </w:r>
    </w:p>
    <w:p w14:paraId="68011585"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36748D"/>
    <w:rsid w:val="003C7770"/>
    <w:rsid w:val="00433C56"/>
    <w:rsid w:val="005A0946"/>
    <w:rsid w:val="00646D92"/>
    <w:rsid w:val="00B10790"/>
    <w:rsid w:val="00D270D0"/>
    <w:rsid w:val="00EE7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155F"/>
  <w15:docId w15:val="{352CDE5F-411E-4D9D-9CF8-690EF4E3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app/70/114/" TargetMode="External"/><Relationship Id="rId13" Type="http://schemas.openxmlformats.org/officeDocument/2006/relationships/hyperlink" Target="https://cite.case.law/ark/323/188/" TargetMode="External"/><Relationship Id="rId18" Type="http://schemas.openxmlformats.org/officeDocument/2006/relationships/hyperlink" Target="https://cite.case.law/ark/279/29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ite.case.law/ark/337/24/" TargetMode="External"/><Relationship Id="rId7" Type="http://schemas.openxmlformats.org/officeDocument/2006/relationships/hyperlink" Target="https://cite.case.law/sw2d/961/712/" TargetMode="External"/><Relationship Id="rId12" Type="http://schemas.openxmlformats.org/officeDocument/2006/relationships/hyperlink" Target="https://cite.case.law/ark/324/416/" TargetMode="External"/><Relationship Id="rId17" Type="http://schemas.openxmlformats.org/officeDocument/2006/relationships/hyperlink" Target="https://cite.case.law/ark/258/9/" TargetMode="External"/><Relationship Id="rId25" Type="http://schemas.openxmlformats.org/officeDocument/2006/relationships/hyperlink" Target="https://cite.case.law/ark-app/73/358/" TargetMode="External"/><Relationship Id="rId2" Type="http://schemas.openxmlformats.org/officeDocument/2006/relationships/settings" Target="settings.xml"/><Relationship Id="rId16" Type="http://schemas.openxmlformats.org/officeDocument/2006/relationships/hyperlink" Target="https://cite.case.law/ark-app/61/124/" TargetMode="External"/><Relationship Id="rId20" Type="http://schemas.openxmlformats.org/officeDocument/2006/relationships/hyperlink" Target="https://cite.case.law/ark/321/303/" TargetMode="External"/><Relationship Id="rId1" Type="http://schemas.openxmlformats.org/officeDocument/2006/relationships/styles" Target="styles.xml"/><Relationship Id="rId6" Type="http://schemas.openxmlformats.org/officeDocument/2006/relationships/hyperlink" Target="https://cite.case.law/ark-app/70/114/" TargetMode="External"/><Relationship Id="rId11" Type="http://schemas.openxmlformats.org/officeDocument/2006/relationships/hyperlink" Target="https://cite.case.law/ark/231/260/" TargetMode="External"/><Relationship Id="rId24" Type="http://schemas.openxmlformats.org/officeDocument/2006/relationships/hyperlink" Target="https://cite.case.law/citations/?q=Ark.%20Code%20Ann.%20%C2%A7%C2%A7%2017-40-101" TargetMode="External"/><Relationship Id="rId5" Type="http://schemas.openxmlformats.org/officeDocument/2006/relationships/hyperlink" Target="https://cite.case.law/ark-app/70/114/" TargetMode="External"/><Relationship Id="rId15" Type="http://schemas.openxmlformats.org/officeDocument/2006/relationships/hyperlink" Target="https://cite.case.law/ark/252/513/" TargetMode="External"/><Relationship Id="rId23" Type="http://schemas.openxmlformats.org/officeDocument/2006/relationships/hyperlink" Target="https://cite.case.law/citations/?q=Ark.%20Code%20Ann.%20%C2%A7%203-3-218" TargetMode="External"/><Relationship Id="rId10" Type="http://schemas.openxmlformats.org/officeDocument/2006/relationships/hyperlink" Target="https://cite.case.law/ark/340/518/" TargetMode="External"/><Relationship Id="rId19" Type="http://schemas.openxmlformats.org/officeDocument/2006/relationships/hyperlink" Target="https://cite.case.law/ark-app/73/358/" TargetMode="External"/><Relationship Id="rId4" Type="http://schemas.openxmlformats.org/officeDocument/2006/relationships/hyperlink" Target="https://cite.case.law/ark-app/73/358/" TargetMode="External"/><Relationship Id="rId9" Type="http://schemas.openxmlformats.org/officeDocument/2006/relationships/hyperlink" Target="https://cite.case.law/ark-app/72/141/" TargetMode="External"/><Relationship Id="rId14" Type="http://schemas.openxmlformats.org/officeDocument/2006/relationships/hyperlink" Target="https://cite.case.law/ark-app/73/358/" TargetMode="External"/><Relationship Id="rId22" Type="http://schemas.openxmlformats.org/officeDocument/2006/relationships/hyperlink" Target="https://cite.case.law/ark/329/14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