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F01AC" w14:textId="77777777" w:rsidR="00AE7B05" w:rsidRPr="00AE7B05" w:rsidRDefault="00AE7B05" w:rsidP="00AE7B0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E7B05">
        <w:rPr>
          <w:rFonts w:ascii="Times New Roman" w:eastAsia="Times New Roman" w:hAnsi="Times New Roman" w:cs="Times New Roman"/>
          <w:b/>
          <w:bCs/>
          <w:color w:val="2F2F2F"/>
          <w:spacing w:val="3"/>
          <w:kern w:val="36"/>
          <w:sz w:val="35"/>
          <w:szCs w:val="35"/>
          <w:lang w:eastAsia="en-GB"/>
        </w:rPr>
        <w:t>R&amp;L Carriers Shared Services, LLC v. Markley, 520 S.W.3d 268, 2017 Ark. App. 240 (2017)</w:t>
      </w:r>
    </w:p>
    <w:p w14:paraId="447F01AD" w14:textId="77777777" w:rsidR="00AE7B05" w:rsidRPr="00AE7B05" w:rsidRDefault="00AE7B05" w:rsidP="00AE7B0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E7B05">
        <w:rPr>
          <w:rFonts w:ascii="Times New Roman" w:eastAsia="Times New Roman" w:hAnsi="Times New Roman" w:cs="Times New Roman"/>
          <w:color w:val="2F2F2F"/>
          <w:spacing w:val="3"/>
          <w:sz w:val="27"/>
          <w:szCs w:val="27"/>
          <w:lang w:eastAsia="en-GB"/>
        </w:rPr>
        <w:t>April 19, 2017 · Arkansas Court of Appeals · No. CV-16-39</w:t>
      </w:r>
    </w:p>
    <w:p w14:paraId="447F01AE" w14:textId="77777777" w:rsidR="00AE7B05" w:rsidRPr="00AE7B05" w:rsidRDefault="00AE7B05" w:rsidP="00AE7B0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E7B05">
        <w:rPr>
          <w:rFonts w:ascii="Times New Roman" w:eastAsia="Times New Roman" w:hAnsi="Times New Roman" w:cs="Times New Roman"/>
          <w:color w:val="2F2F2F"/>
          <w:spacing w:val="3"/>
          <w:sz w:val="27"/>
          <w:szCs w:val="27"/>
          <w:lang w:eastAsia="en-GB"/>
        </w:rPr>
        <w:t>520 S.W.3d 268, 2017 Ark. App. 240</w:t>
      </w:r>
    </w:p>
    <w:p w14:paraId="447F01AF" w14:textId="77777777" w:rsidR="00AE7B05" w:rsidRPr="00AE7B05" w:rsidRDefault="00AE7B05" w:rsidP="00AE7B05">
      <w:pPr>
        <w:shd w:val="clear" w:color="auto" w:fill="FFFFFF"/>
        <w:spacing w:after="0" w:line="240" w:lineRule="auto"/>
        <w:rPr>
          <w:rFonts w:ascii="Georgia" w:eastAsia="Times New Roman" w:hAnsi="Georgia" w:cs="Arial"/>
          <w:color w:val="2F2F2F"/>
          <w:spacing w:val="3"/>
          <w:sz w:val="30"/>
          <w:szCs w:val="30"/>
          <w:lang w:eastAsia="en-GB"/>
        </w:rPr>
      </w:pPr>
      <w:r w:rsidRPr="00AE7B05">
        <w:rPr>
          <w:rFonts w:ascii="Georgia" w:eastAsia="Times New Roman" w:hAnsi="Georgia" w:cs="Arial"/>
          <w:color w:val="2F2F2F"/>
          <w:spacing w:val="3"/>
          <w:sz w:val="30"/>
          <w:szCs w:val="30"/>
          <w:lang w:eastAsia="en-GB"/>
        </w:rPr>
        <w:t>R&amp;L CARRIERS SHARED SERVICES, LLC and Dean Wethington, Appellants</w:t>
      </w:r>
      <w:r w:rsidRPr="00AE7B05">
        <w:rPr>
          <w:rFonts w:ascii="Georgia" w:eastAsia="Times New Roman" w:hAnsi="Georgia" w:cs="Arial"/>
          <w:i/>
          <w:iCs/>
          <w:color w:val="2F2F2F"/>
          <w:spacing w:val="3"/>
          <w:sz w:val="30"/>
          <w:szCs w:val="30"/>
          <w:lang w:eastAsia="en-GB"/>
        </w:rPr>
        <w:t>v.</w:t>
      </w:r>
      <w:r w:rsidRPr="00AE7B05">
        <w:rPr>
          <w:rFonts w:ascii="Georgia" w:eastAsia="Times New Roman" w:hAnsi="Georgia" w:cs="Arial"/>
          <w:color w:val="2F2F2F"/>
          <w:spacing w:val="3"/>
          <w:sz w:val="30"/>
          <w:szCs w:val="30"/>
          <w:lang w:eastAsia="en-GB"/>
        </w:rPr>
        <w:t>Stuart MARKLEY and Madison County Telephone Company, Inc., Appellees</w:t>
      </w:r>
    </w:p>
    <w:p w14:paraId="447F01B0" w14:textId="77777777" w:rsidR="00AE7B05" w:rsidRPr="00AE7B05" w:rsidRDefault="00AE7B05" w:rsidP="00AE7B05">
      <w:pPr>
        <w:spacing w:before="100" w:beforeAutospacing="1" w:after="100" w:afterAutospacing="1"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2017 Ark. App. 240</w:t>
      </w:r>
    </w:p>
    <w:p w14:paraId="447F01B1" w14:textId="77777777" w:rsidR="00AE7B05" w:rsidRPr="00AE7B05" w:rsidRDefault="00AE7B05" w:rsidP="00AE7B05">
      <w:pPr>
        <w:spacing w:before="100" w:beforeAutospacing="1" w:after="100" w:afterAutospacing="1"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Court of Appeals of Arkansas, DIVISION IV.</w:t>
      </w:r>
    </w:p>
    <w:p w14:paraId="447F01B2" w14:textId="1B1D58C3" w:rsidR="00AE7B05" w:rsidRPr="00AE7B05" w:rsidRDefault="00AE7B05" w:rsidP="00AE7B05">
      <w:pPr>
        <w:shd w:val="clear" w:color="auto" w:fill="F7F7F9"/>
        <w:spacing w:before="100" w:beforeAutospacing="1" w:after="0" w:line="240" w:lineRule="auto"/>
        <w:rPr>
          <w:rFonts w:ascii="Georgia" w:eastAsia="Times New Roman" w:hAnsi="Georgia" w:cs="Times New Roman"/>
          <w:sz w:val="24"/>
          <w:szCs w:val="24"/>
          <w:lang w:eastAsia="en-GB"/>
        </w:rPr>
      </w:pPr>
      <w:r w:rsidRPr="00AE7B05">
        <w:rPr>
          <w:rFonts w:ascii="Georgia" w:eastAsia="Times New Roman" w:hAnsi="Georgia" w:cs="Times New Roman"/>
          <w:i/>
          <w:iCs/>
          <w:color w:val="979797"/>
          <w:sz w:val="19"/>
          <w:szCs w:val="19"/>
          <w:lang w:eastAsia="en-GB"/>
        </w:rPr>
        <w:t>*271</w:t>
      </w:r>
      <w:r w:rsidRPr="00AE7B05">
        <w:rPr>
          <w:rFonts w:ascii="Georgia" w:eastAsia="Times New Roman" w:hAnsi="Georgia" w:cs="Times New Roman"/>
          <w:sz w:val="24"/>
          <w:szCs w:val="24"/>
          <w:lang w:eastAsia="en-GB"/>
        </w:rPr>
        <w:t>Kutak Rock LLP, by: Niki Cung, Fay-etteville and Ashley Welch Hudson, Little Rock, for appellants.</w:t>
      </w:r>
    </w:p>
    <w:p w14:paraId="447F01B3" w14:textId="77777777" w:rsidR="00AE7B05" w:rsidRPr="00AE7B05" w:rsidRDefault="00AE7B05" w:rsidP="00AE7B05">
      <w:pPr>
        <w:shd w:val="clear" w:color="auto" w:fill="F7F7F9"/>
        <w:spacing w:after="0"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Mason Law Firm, PLC, Fayetteville, by: G. Chadd Mason; and Gunn Kieklak Dennis LLP, by: Jennifer Lloyd, for appellee Stuart Markley.</w:t>
      </w:r>
    </w:p>
    <w:p w14:paraId="447F01B4" w14:textId="77777777" w:rsidR="00AE7B05" w:rsidRPr="00AE7B05" w:rsidRDefault="00AE7B05" w:rsidP="00AE7B05">
      <w:pPr>
        <w:shd w:val="clear" w:color="auto" w:fill="F7F7F9"/>
        <w:spacing w:after="0"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Munson, Rowlett, Moore and Boone, PA, by: Mark S. Breeding, Little Rock and Beverly A. Rowlett, for appellee Madison County Telephone, Inc.</w:t>
      </w:r>
    </w:p>
    <w:p w14:paraId="447F01B5" w14:textId="77777777" w:rsidR="00AE7B05" w:rsidRPr="00AE7B05" w:rsidRDefault="00AE7B05" w:rsidP="00AE7B05">
      <w:pPr>
        <w:spacing w:before="100" w:beforeAutospacing="1" w:after="225" w:line="240" w:lineRule="auto"/>
        <w:rPr>
          <w:rFonts w:ascii="Georgia" w:eastAsia="Times New Roman" w:hAnsi="Georgia" w:cs="Times New Roman"/>
          <w:color w:val="E878FF"/>
          <w:sz w:val="24"/>
          <w:szCs w:val="24"/>
          <w:lang w:eastAsia="en-GB"/>
        </w:rPr>
      </w:pPr>
      <w:r w:rsidRPr="00AE7B05">
        <w:rPr>
          <w:rFonts w:ascii="Georgia" w:eastAsia="Times New Roman" w:hAnsi="Georgia" w:cs="Times New Roman"/>
          <w:color w:val="E878FF"/>
          <w:sz w:val="24"/>
          <w:szCs w:val="24"/>
          <w:lang w:eastAsia="en-GB"/>
        </w:rPr>
        <w:t>Larry D. Vaught, Judge</w:t>
      </w:r>
    </w:p>
    <w:p w14:paraId="447F01B6"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magenta"/>
          <w:lang w:eastAsia="en-GB"/>
        </w:rPr>
        <w:t>This is an appeal from a negligence action involving an eighteen-wheeler that hit a telephone line and injured a worker repairing the line.</w:t>
      </w:r>
      <w:r w:rsidRPr="00AE7B05">
        <w:rPr>
          <w:rFonts w:ascii="Georgia" w:eastAsia="Times New Roman" w:hAnsi="Georgia" w:cs="Times New Roman"/>
          <w:sz w:val="24"/>
          <w:szCs w:val="24"/>
          <w:lang w:eastAsia="en-GB"/>
        </w:rPr>
        <w:t xml:space="preserve"> In this appeal, we consider whether the worker’s employer can be liable for negligence under the theory of implied indemnity. We also review several alleged evidentiary errors and decide whether the circuit court erred by refusing to grant a motion for judgment notwithstanding the verdict (JNOV) or alternatively for a new trial. </w:t>
      </w:r>
      <w:r w:rsidRPr="007F65FE">
        <w:rPr>
          <w:rFonts w:ascii="Georgia" w:eastAsia="Times New Roman" w:hAnsi="Georgia" w:cs="Times New Roman"/>
          <w:sz w:val="24"/>
          <w:szCs w:val="24"/>
          <w:highlight w:val="red"/>
          <w:lang w:eastAsia="en-GB"/>
        </w:rPr>
        <w:t>We affirm.</w:t>
      </w:r>
    </w:p>
    <w:p w14:paraId="447F01B7"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I. </w:t>
      </w:r>
      <w:r w:rsidRPr="00AE7B05">
        <w:rPr>
          <w:rFonts w:ascii="Georgia" w:eastAsia="Times New Roman" w:hAnsi="Georgia" w:cs="Times New Roman"/>
          <w:i/>
          <w:iCs/>
          <w:sz w:val="24"/>
          <w:szCs w:val="24"/>
          <w:lang w:eastAsia="en-GB"/>
        </w:rPr>
        <w:t>Background</w:t>
      </w:r>
    </w:p>
    <w:p w14:paraId="447F01B8"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yellow"/>
          <w:lang w:eastAsia="en-GB"/>
        </w:rPr>
        <w:t>This case begins with a low-hanging telephone line that stretched across the entry to Roy’s Body Shop in Madison County, Arkansas. Madison County Telephone Company, Inc. (MCTC), dispatched its employee Stuart Markley to repair the low-hanging line. Markley worked from the raised bucket of a work truck to repair the line.</w:t>
      </w:r>
      <w:r w:rsidR="007F65FE" w:rsidRPr="007F65FE">
        <w:rPr>
          <w:rFonts w:ascii="Georgia" w:eastAsia="Times New Roman" w:hAnsi="Georgia" w:cs="Times New Roman"/>
          <w:sz w:val="24"/>
          <w:szCs w:val="24"/>
          <w:highlight w:val="yellow"/>
          <w:lang w:eastAsia="en-GB"/>
        </w:rPr>
        <w:t xml:space="preserve"> He was not </w:t>
      </w:r>
      <w:r w:rsidRPr="007F65FE">
        <w:rPr>
          <w:rFonts w:ascii="Georgia" w:eastAsia="Times New Roman" w:hAnsi="Georgia" w:cs="Times New Roman"/>
          <w:sz w:val="24"/>
          <w:szCs w:val="24"/>
          <w:highlight w:val="yellow"/>
          <w:lang w:eastAsia="en-GB"/>
        </w:rPr>
        <w:t>wearing a safety harness, and he did not put out any warning cones to alert others to his presence.</w:t>
      </w:r>
    </w:p>
    <w:p w14:paraId="447F01B9"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yellow"/>
          <w:lang w:eastAsia="en-GB"/>
        </w:rPr>
        <w:t>During this time, Dean Wethington, in the scope of his employment with R&amp;L Carriers Shared Services, LLC (R&amp;L), was making a delivery to Roy’s Body Shop in an eighteen-wheeler. While driving the eighteen-wheeler into the entrance of Roy’s Body Shop, Wethington’s truck snagged the low-hanging telephone line that Markley was repairing. This set off a chain of events that left Markley severely injured.</w:t>
      </w:r>
    </w:p>
    <w:p w14:paraId="447F01BA" w14:textId="77777777" w:rsidR="00AE7B05" w:rsidRPr="007F65FE" w:rsidRDefault="00AE7B05" w:rsidP="00AE7B05">
      <w:pPr>
        <w:spacing w:before="100" w:beforeAutospacing="1" w:after="0"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magenta"/>
          <w:lang w:eastAsia="en-GB"/>
        </w:rPr>
        <w:t>Markley sued Wethington and R&amp;L for negligence and recklessness. R&amp;L and Wethington responded and alleged comparative fault by Markley.</w:t>
      </w:r>
      <w:r w:rsidRPr="00AE7B05">
        <w:rPr>
          <w:rFonts w:ascii="Georgia" w:eastAsia="Times New Roman" w:hAnsi="Georgia" w:cs="Times New Roman"/>
          <w:sz w:val="24"/>
          <w:szCs w:val="24"/>
          <w:lang w:eastAsia="en-GB"/>
        </w:rPr>
        <w:t xml:space="preserve"> Specifically, they emphasized Markley’s failure to abide by certain National Electric Safety Code (NESC) and Occupational Safety and Health Administration (OSHA) regulations as </w:t>
      </w:r>
      <w:r w:rsidRPr="00AE7B05">
        <w:rPr>
          <w:rFonts w:ascii="Georgia" w:eastAsia="Times New Roman" w:hAnsi="Georgia" w:cs="Times New Roman"/>
          <w:sz w:val="24"/>
          <w:szCs w:val="24"/>
          <w:lang w:eastAsia="en-GB"/>
        </w:rPr>
        <w:lastRenderedPageBreak/>
        <w:t xml:space="preserve">well as Arkansas statutes. </w:t>
      </w:r>
      <w:r w:rsidRPr="007F65FE">
        <w:rPr>
          <w:rFonts w:ascii="Georgia" w:eastAsia="Times New Roman" w:hAnsi="Georgia" w:cs="Times New Roman"/>
          <w:sz w:val="24"/>
          <w:szCs w:val="24"/>
          <w:lang w:eastAsia="en-GB"/>
        </w:rPr>
        <w:t>R&amp;L also filed a third-party complaint against MCTC, Roy’s Body Shop, and its owner, Roy Elsey.</w:t>
      </w:r>
      <w:hyperlink r:id="rId4" w:anchor="footnote_1_1" w:history="1">
        <w:r w:rsidRPr="007F65FE">
          <w:rPr>
            <w:rFonts w:ascii="Georgia" w:eastAsia="Times New Roman" w:hAnsi="Georgia" w:cs="Times New Roman"/>
            <w:b/>
            <w:bCs/>
            <w:color w:val="E878FF"/>
            <w:sz w:val="24"/>
            <w:szCs w:val="24"/>
            <w:vertAlign w:val="superscript"/>
            <w:lang w:eastAsia="en-GB"/>
          </w:rPr>
          <w:t>1</w:t>
        </w:r>
      </w:hyperlink>
    </w:p>
    <w:p w14:paraId="447F01BB" w14:textId="4DB430BA"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lang w:eastAsia="en-GB"/>
        </w:rPr>
        <w:t>In its third-party complaint against MCTC, R</w:t>
      </w:r>
      <w:r w:rsidRPr="00AE7B05">
        <w:rPr>
          <w:rFonts w:ascii="Georgia" w:eastAsia="Times New Roman" w:hAnsi="Georgia" w:cs="Times New Roman"/>
          <w:sz w:val="24"/>
          <w:szCs w:val="24"/>
          <w:lang w:eastAsia="en-GB"/>
        </w:rPr>
        <w:t xml:space="preserve">&amp;L claimed that MCTC’s negligent supervision and training of Markley contributed to Markley’s injuries and that MCTC failed to </w:t>
      </w:r>
      <w:r w:rsidR="007F65FE">
        <w:rPr>
          <w:rFonts w:ascii="Georgia" w:eastAsia="Times New Roman" w:hAnsi="Georgia" w:cs="Times New Roman"/>
          <w:sz w:val="24"/>
          <w:szCs w:val="24"/>
          <w:lang w:eastAsia="en-GB"/>
        </w:rPr>
        <w:t xml:space="preserve">perform some of its statutory </w:t>
      </w:r>
      <w:r w:rsidRPr="00AE7B05">
        <w:rPr>
          <w:rFonts w:ascii="Georgia" w:eastAsia="Times New Roman" w:hAnsi="Georgia" w:cs="Times New Roman"/>
          <w:sz w:val="24"/>
          <w:szCs w:val="24"/>
          <w:lang w:eastAsia="en-GB"/>
        </w:rPr>
        <w:t>and regulatory responsibilities. MCTC filed a motion to dismiss R&amp;L’s complaint against it on the basis that, because it had paid workers’-compensation benefits to Markley, it could not be liable for negligence. R&amp;L responded by arguing that MCTC could be held liable under the </w:t>
      </w:r>
      <w:r w:rsidRPr="00AE7B05">
        <w:rPr>
          <w:rFonts w:ascii="Georgia" w:eastAsia="Times New Roman" w:hAnsi="Georgia" w:cs="Times New Roman"/>
          <w:i/>
          <w:iCs/>
          <w:color w:val="979797"/>
          <w:sz w:val="19"/>
          <w:szCs w:val="19"/>
          <w:lang w:eastAsia="en-GB"/>
        </w:rPr>
        <w:t>*272</w:t>
      </w:r>
      <w:r w:rsidRPr="00AE7B05">
        <w:rPr>
          <w:rFonts w:ascii="Georgia" w:eastAsia="Times New Roman" w:hAnsi="Georgia" w:cs="Times New Roman"/>
          <w:sz w:val="24"/>
          <w:szCs w:val="24"/>
          <w:lang w:eastAsia="en-GB"/>
        </w:rPr>
        <w:t>theory of implied indemnity. The circuit court denied MCTC’s motion to dismiss. At this juncture, MCTC and R&amp;L filed competing motions for summary judgment on the issue of whether MCTC had an implied [¡¡duty to indemnify R&amp;L. The circuit court denied MCTC’s motion and took R&amp;L’s motion under advisement. It also severed the negligence and indemnity claims and bifurcated the trial.</w:t>
      </w:r>
    </w:p>
    <w:p w14:paraId="447F01BC"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magenta"/>
          <w:lang w:eastAsia="en-GB"/>
        </w:rPr>
        <w:t xml:space="preserve">The issues </w:t>
      </w:r>
      <w:r w:rsidRPr="009A64D5">
        <w:rPr>
          <w:rFonts w:ascii="Georgia" w:eastAsia="Times New Roman" w:hAnsi="Georgia" w:cs="Times New Roman"/>
          <w:sz w:val="24"/>
          <w:szCs w:val="24"/>
          <w:lang w:eastAsia="en-GB"/>
        </w:rPr>
        <w:t xml:space="preserve">between R&amp;L, Wethington, and Markley </w:t>
      </w:r>
      <w:r w:rsidRPr="007F65FE">
        <w:rPr>
          <w:rFonts w:ascii="Georgia" w:eastAsia="Times New Roman" w:hAnsi="Georgia" w:cs="Times New Roman"/>
          <w:sz w:val="24"/>
          <w:szCs w:val="24"/>
          <w:highlight w:val="magenta"/>
          <w:lang w:eastAsia="en-GB"/>
        </w:rPr>
        <w:t>were tried to a jury in July 2015. The jury returned a verdict in favor of Markley, finding that he was 35 percent negligent and that R&amp;L and Wethington were 65 percent negligent. It found that Markley’s damages were $570,000, resulting in a judgment against R&amp;L and We-thington in the amount of $370,500.</w:t>
      </w:r>
    </w:p>
    <w:p w14:paraId="447F01BD"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magenta"/>
          <w:lang w:eastAsia="en-GB"/>
        </w:rPr>
        <w:t>Following the entry of the judgment, R&amp;L and Wethington filed a motion for JNOV or alternatively for a new trial.</w:t>
      </w:r>
      <w:r w:rsidRPr="00AE7B05">
        <w:rPr>
          <w:rFonts w:ascii="Georgia" w:eastAsia="Times New Roman" w:hAnsi="Georgia" w:cs="Times New Roman"/>
          <w:sz w:val="24"/>
          <w:szCs w:val="24"/>
          <w:lang w:eastAsia="en-GB"/>
        </w:rPr>
        <w:t xml:space="preserve"> The motion was based on the premise that the jury’s verdict was not based on substantial evidence and that the circuit court committed evidentiary errors. </w:t>
      </w:r>
      <w:r w:rsidRPr="007F65FE">
        <w:rPr>
          <w:rFonts w:ascii="Georgia" w:eastAsia="Times New Roman" w:hAnsi="Georgia" w:cs="Times New Roman"/>
          <w:sz w:val="24"/>
          <w:szCs w:val="24"/>
          <w:highlight w:val="magenta"/>
          <w:lang w:eastAsia="en-GB"/>
        </w:rPr>
        <w:t>The motion was deemed denied.</w:t>
      </w:r>
    </w:p>
    <w:p w14:paraId="447F01BE"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MCTC also filed a second motion for summary judgment on the issue of implied indemnity. R&amp;L’s competing motion was still under advisement. After a hearing, the circuit court granted MCTC’s motion and found that MCTC did not have a duty to indemnify R&amp;L. The circuit court also denied R&amp;L’s motion for summary judgment. The circuit court entered an order and certification of final judgment, and this appeal by R&amp;L and Wethington followed.</w:t>
      </w:r>
    </w:p>
    <w:p w14:paraId="447F01BF"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On appeal, R&amp;L and Wethington argue that the circuit court (1) erroneously granted summary judgment to MCTC, (2) erred in denying them motion for JNOV or a new trial, and (3) committed evidentiary errors.</w:t>
      </w:r>
    </w:p>
    <w:p w14:paraId="447F01C0"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14II. </w:t>
      </w:r>
      <w:r w:rsidRPr="00AE7B05">
        <w:rPr>
          <w:rFonts w:ascii="Georgia" w:eastAsia="Times New Roman" w:hAnsi="Georgia" w:cs="Times New Roman"/>
          <w:i/>
          <w:iCs/>
          <w:sz w:val="24"/>
          <w:szCs w:val="24"/>
          <w:lang w:eastAsia="en-GB"/>
        </w:rPr>
        <w:t>Summary Judgment</w:t>
      </w:r>
    </w:p>
    <w:p w14:paraId="447F01C1" w14:textId="02916484"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Summary judgment is appropriate where “the pleadings, depositions, answers to interrogatories and admissions on file, together with the affidavits, if any, show that there is no genuine issue as to any material fact and that the moving party is entitled to judgment as a matter of law.” Ark. R. Civ. P. 56(c). A circuit court’s conclusion on a question of law is reviewed de novo and is given no deference on appeal. </w:t>
      </w:r>
      <w:r w:rsidRPr="00AE7B05">
        <w:rPr>
          <w:rFonts w:ascii="Georgia" w:eastAsia="Times New Roman" w:hAnsi="Georgia" w:cs="Times New Roman"/>
          <w:i/>
          <w:iCs/>
          <w:sz w:val="24"/>
          <w:szCs w:val="24"/>
          <w:lang w:eastAsia="en-GB"/>
        </w:rPr>
        <w:t>Crafton, Tull, Sparks &amp; Assocs. v. Ruskin Heights, LLC, </w:t>
      </w:r>
      <w:hyperlink r:id="rId5" w:history="1">
        <w:r w:rsidRPr="00AE7B05">
          <w:rPr>
            <w:rFonts w:ascii="Georgia" w:eastAsia="Times New Roman" w:hAnsi="Georgia" w:cs="Times New Roman"/>
            <w:color w:val="007BFF"/>
            <w:sz w:val="24"/>
            <w:szCs w:val="24"/>
            <w:lang w:eastAsia="en-GB"/>
          </w:rPr>
          <w:t>2015 Ark. 1</w:t>
        </w:r>
      </w:hyperlink>
      <w:r w:rsidRPr="00AE7B05">
        <w:rPr>
          <w:rFonts w:ascii="Georgia" w:eastAsia="Times New Roman" w:hAnsi="Georgia" w:cs="Times New Roman"/>
          <w:sz w:val="24"/>
          <w:szCs w:val="24"/>
          <w:lang w:eastAsia="en-GB"/>
        </w:rPr>
        <w:t>, </w:t>
      </w:r>
      <w:r w:rsidRPr="00AE7B05">
        <w:rPr>
          <w:rFonts w:ascii="Georgia" w:eastAsia="Times New Roman" w:hAnsi="Georgia" w:cs="Times New Roman"/>
          <w:color w:val="007BFF"/>
          <w:sz w:val="24"/>
          <w:szCs w:val="24"/>
          <w:lang w:eastAsia="en-GB"/>
        </w:rPr>
        <w:t>453 S.W.3d 667</w:t>
      </w:r>
      <w:r w:rsidRPr="00AE7B05">
        <w:rPr>
          <w:rFonts w:ascii="Georgia" w:eastAsia="Times New Roman" w:hAnsi="Georgia" w:cs="Times New Roman"/>
          <w:sz w:val="24"/>
          <w:szCs w:val="24"/>
          <w:lang w:eastAsia="en-GB"/>
        </w:rPr>
        <w:t>. And when the parties agree on the facts, the appellate court simply determines whether the appellee was entitled to judgment as a matter of law. </w:t>
      </w:r>
      <w:hyperlink r:id="rId6" w:history="1">
        <w:r w:rsidRPr="00AE7B05">
          <w:rPr>
            <w:rFonts w:ascii="Georgia" w:eastAsia="Times New Roman" w:hAnsi="Georgia" w:cs="Times New Roman"/>
            <w:i/>
            <w:iCs/>
            <w:color w:val="007BFF"/>
            <w:sz w:val="24"/>
            <w:szCs w:val="24"/>
            <w:lang w:eastAsia="en-GB"/>
          </w:rPr>
          <w:t>Id.</w:t>
        </w:r>
      </w:hyperlink>
      <w:r w:rsidRPr="00AE7B05">
        <w:rPr>
          <w:rFonts w:ascii="Georgia" w:eastAsia="Times New Roman" w:hAnsi="Georgia" w:cs="Times New Roman"/>
          <w:i/>
          <w:iCs/>
          <w:sz w:val="24"/>
          <w:szCs w:val="24"/>
          <w:lang w:eastAsia="en-GB"/>
        </w:rPr>
        <w:t> </w:t>
      </w:r>
      <w:r w:rsidRPr="00AE7B05">
        <w:rPr>
          <w:rFonts w:ascii="Georgia" w:eastAsia="Times New Roman" w:hAnsi="Georgia" w:cs="Times New Roman"/>
          <w:sz w:val="24"/>
          <w:szCs w:val="24"/>
          <w:lang w:eastAsia="en-GB"/>
        </w:rPr>
        <w:t>When parties file cross-motions for summary judgment, as they did in this appeal, they essentially agree that there are no material facts remaining, and summary judgment is an appropriate means of resolving this case. </w:t>
      </w:r>
      <w:r w:rsidRPr="00AE7B05">
        <w:rPr>
          <w:rFonts w:ascii="Georgia" w:eastAsia="Times New Roman" w:hAnsi="Georgia" w:cs="Times New Roman"/>
          <w:i/>
          <w:iCs/>
          <w:color w:val="007BFF"/>
          <w:sz w:val="24"/>
          <w:szCs w:val="24"/>
          <w:lang w:eastAsia="en-GB"/>
        </w:rPr>
        <w:t>Id.</w:t>
      </w:r>
    </w:p>
    <w:p w14:paraId="447F01C2"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lastRenderedPageBreak/>
        <w:t>Our charge is to determine whether the circuit court erred in ruling that MCTC was not liable to R&amp;L on the basis of implied indemnity. In seeking resolution of this issue, the parties posed two overarching questions to the circuit court. First, the circuit court must consider whether there was a special relationship between MCTC and R&amp;L to give rise to a duty of implied indemnity. If a special relationship exists, the circuit court considers whether an indemnitee can recover from an indemnitor for the indemnitee’s own negligence. We focus our review on whether a special relationship existed. Because we conclude that MCTC did not have a special relationship with R&amp;L, we affirm without reaching the merits of the second argument raised by the parties.</w:t>
      </w:r>
    </w:p>
    <w:p w14:paraId="447F01C3" w14:textId="47B8769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The. Arkansas Workers’ Compensation Act, codified at Arkansas Code Annotated sections 11-9-101 et seq. (Repl. 2012 &amp; Supp. 2015), provides for the pay</w:t>
      </w:r>
      <w:hyperlink r:id="rId7" w:anchor="p273" w:history="1">
        <w:r w:rsidRPr="00AE7B05">
          <w:rPr>
            <w:rFonts w:ascii="Georgia" w:eastAsia="Times New Roman" w:hAnsi="Georgia" w:cs="Times New Roman"/>
            <w:i/>
            <w:iCs/>
            <w:color w:val="979797"/>
            <w:sz w:val="19"/>
            <w:szCs w:val="19"/>
            <w:lang w:eastAsia="en-GB"/>
          </w:rPr>
          <w:t>*273</w:t>
        </w:r>
      </w:hyperlink>
      <w:r w:rsidRPr="00AE7B05">
        <w:rPr>
          <w:rFonts w:ascii="Georgia" w:eastAsia="Times New Roman" w:hAnsi="Georgia" w:cs="Times New Roman"/>
          <w:sz w:val="24"/>
          <w:szCs w:val="24"/>
          <w:lang w:eastAsia="en-GB"/>
        </w:rPr>
        <w:t>ment of disability ^benefits to workers who suffer an injury in the course of their employment. The Act provides that an employer cannot be sued or joined by a third party as a joint tortfeasor. </w:t>
      </w:r>
      <w:r w:rsidRPr="00AE7B05">
        <w:rPr>
          <w:rFonts w:ascii="Georgia" w:eastAsia="Times New Roman" w:hAnsi="Georgia" w:cs="Times New Roman"/>
          <w:color w:val="007BFF"/>
          <w:sz w:val="24"/>
          <w:szCs w:val="24"/>
          <w:lang w:eastAsia="en-GB"/>
        </w:rPr>
        <w:t>Ark. Code Ann. § 11-9-105</w:t>
      </w:r>
      <w:r w:rsidRPr="00AE7B05">
        <w:rPr>
          <w:rFonts w:ascii="Georgia" w:eastAsia="Times New Roman" w:hAnsi="Georgia" w:cs="Times New Roman"/>
          <w:sz w:val="24"/>
          <w:szCs w:val="24"/>
          <w:lang w:eastAsia="en-GB"/>
        </w:rPr>
        <w:t>. However, there is a recognized exception to the exclusivity of the workers’-compensation remedy when there is a contract or special relationship capable of carrying with it an implied obligation to indemnify. </w:t>
      </w:r>
      <w:r w:rsidRPr="00AE7B05">
        <w:rPr>
          <w:rFonts w:ascii="Georgia" w:eastAsia="Times New Roman" w:hAnsi="Georgia" w:cs="Times New Roman"/>
          <w:i/>
          <w:iCs/>
          <w:sz w:val="24"/>
          <w:szCs w:val="24"/>
          <w:lang w:eastAsia="en-GB"/>
        </w:rPr>
        <w:t>Mosley Mach. Co., Inc. v. Gray Supply Co., </w:t>
      </w:r>
      <w:hyperlink r:id="rId8" w:history="1">
        <w:r w:rsidRPr="00AE7B05">
          <w:rPr>
            <w:rFonts w:ascii="Georgia" w:eastAsia="Times New Roman" w:hAnsi="Georgia" w:cs="Times New Roman"/>
            <w:color w:val="007BFF"/>
            <w:sz w:val="24"/>
            <w:szCs w:val="24"/>
            <w:lang w:eastAsia="en-GB"/>
          </w:rPr>
          <w:t>310 Ark. 214</w:t>
        </w:r>
      </w:hyperlink>
      <w:r w:rsidRPr="00AE7B05">
        <w:rPr>
          <w:rFonts w:ascii="Georgia" w:eastAsia="Times New Roman" w:hAnsi="Georgia" w:cs="Times New Roman"/>
          <w:sz w:val="24"/>
          <w:szCs w:val="24"/>
          <w:lang w:eastAsia="en-GB"/>
        </w:rPr>
        <w:t>, </w:t>
      </w:r>
      <w:r w:rsidRPr="00AE7B05">
        <w:rPr>
          <w:rFonts w:ascii="Georgia" w:eastAsia="Times New Roman" w:hAnsi="Georgia" w:cs="Times New Roman"/>
          <w:color w:val="007BFF"/>
          <w:sz w:val="24"/>
          <w:szCs w:val="24"/>
          <w:lang w:eastAsia="en-GB"/>
        </w:rPr>
        <w:t>833 S.W.2d 772</w:t>
      </w:r>
      <w:r w:rsidRPr="00AE7B05">
        <w:rPr>
          <w:rFonts w:ascii="Georgia" w:eastAsia="Times New Roman" w:hAnsi="Georgia" w:cs="Times New Roman"/>
          <w:sz w:val="24"/>
          <w:szCs w:val="24"/>
          <w:lang w:eastAsia="en-GB"/>
        </w:rPr>
        <w:t> (1992). Implied indemnity is an equitable remedy. </w:t>
      </w:r>
      <w:hyperlink r:id="rId9" w:history="1">
        <w:r w:rsidRPr="00AE7B05">
          <w:rPr>
            <w:rFonts w:ascii="Georgia" w:eastAsia="Times New Roman" w:hAnsi="Georgia" w:cs="Times New Roman"/>
            <w:i/>
            <w:iCs/>
            <w:color w:val="007BFF"/>
            <w:sz w:val="24"/>
            <w:szCs w:val="24"/>
            <w:lang w:eastAsia="en-GB"/>
          </w:rPr>
          <w:t>Id.</w:t>
        </w:r>
      </w:hyperlink>
      <w:r w:rsidRPr="00AE7B05">
        <w:rPr>
          <w:rFonts w:ascii="Georgia" w:eastAsia="Times New Roman" w:hAnsi="Georgia" w:cs="Times New Roman"/>
          <w:i/>
          <w:iCs/>
          <w:sz w:val="24"/>
          <w:szCs w:val="24"/>
          <w:lang w:eastAsia="en-GB"/>
        </w:rPr>
        <w:t> </w:t>
      </w:r>
      <w:r w:rsidRPr="00AE7B05">
        <w:rPr>
          <w:rFonts w:ascii="Georgia" w:eastAsia="Times New Roman" w:hAnsi="Georgia" w:cs="Times New Roman"/>
          <w:sz w:val="24"/>
          <w:szCs w:val="24"/>
          <w:lang w:eastAsia="en-GB"/>
        </w:rPr>
        <w:t>A special relationship may be created by operation of law when statutes or regulations govern an' employer’s conduct. </w:t>
      </w:r>
      <w:r w:rsidRPr="00AE7B05">
        <w:rPr>
          <w:rFonts w:ascii="Georgia" w:eastAsia="Times New Roman" w:hAnsi="Georgia" w:cs="Times New Roman"/>
          <w:i/>
          <w:iCs/>
          <w:sz w:val="24"/>
          <w:szCs w:val="24"/>
          <w:lang w:eastAsia="en-GB"/>
        </w:rPr>
        <w:t>Smith v. Paragould Light &amp; Water Comm’n, </w:t>
      </w:r>
      <w:r w:rsidRPr="00AE7B05">
        <w:rPr>
          <w:rFonts w:ascii="Georgia" w:eastAsia="Times New Roman" w:hAnsi="Georgia" w:cs="Times New Roman"/>
          <w:color w:val="007BFF"/>
          <w:sz w:val="24"/>
          <w:szCs w:val="24"/>
          <w:lang w:eastAsia="en-GB"/>
        </w:rPr>
        <w:t>303 Ark. 109</w:t>
      </w:r>
      <w:r w:rsidRPr="00AE7B05">
        <w:rPr>
          <w:rFonts w:ascii="Georgia" w:eastAsia="Times New Roman" w:hAnsi="Georgia" w:cs="Times New Roman"/>
          <w:sz w:val="24"/>
          <w:szCs w:val="24"/>
          <w:lang w:eastAsia="en-GB"/>
        </w:rPr>
        <w:t>, </w:t>
      </w:r>
      <w:hyperlink r:id="rId10" w:history="1">
        <w:r w:rsidRPr="00AE7B05">
          <w:rPr>
            <w:rFonts w:ascii="Georgia" w:eastAsia="Times New Roman" w:hAnsi="Georgia" w:cs="Times New Roman"/>
            <w:color w:val="007BFF"/>
            <w:sz w:val="24"/>
            <w:szCs w:val="24"/>
            <w:lang w:eastAsia="en-GB"/>
          </w:rPr>
          <w:t>793 S.W.2d 341</w:t>
        </w:r>
      </w:hyperlink>
      <w:r w:rsidRPr="00AE7B05">
        <w:rPr>
          <w:rFonts w:ascii="Georgia" w:eastAsia="Times New Roman" w:hAnsi="Georgia" w:cs="Times New Roman"/>
          <w:sz w:val="24"/>
          <w:szCs w:val="24"/>
          <w:lang w:eastAsia="en-GB"/>
        </w:rPr>
        <w:t> (1990).</w:t>
      </w:r>
    </w:p>
    <w:p w14:paraId="447F01C4"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R&amp;L argues that OSHA and NESC regulations as well as Arkansas statutes give rise to a special relationship between it and MCTC. The relevant statutes and regulations placed several obligations on MCTC. MCTC is required to construct, operate, and maintain its telephone lines in a safe and reasonable condition. MCTC must also keep its lines free and clear of roadways and public areas over which they hang. Additionally, MCTC has a duty to properly supervise and train its employees. However, these statutory and regulatory duties differ from the duties imposed in cases where our supreme court has held that there is a special relationship giving rise to an implied duty to indemnify.</w:t>
      </w:r>
    </w:p>
    <w:p w14:paraId="447F01C5" w14:textId="24CFC6ED"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i/>
          <w:iCs/>
          <w:sz w:val="24"/>
          <w:szCs w:val="24"/>
          <w:lang w:eastAsia="en-GB"/>
        </w:rPr>
        <w:t>Smith v. Paragould Light &amp; Water Commission, </w:t>
      </w:r>
      <w:r w:rsidRPr="00AE7B05">
        <w:rPr>
          <w:rFonts w:ascii="Georgia" w:eastAsia="Times New Roman" w:hAnsi="Georgia" w:cs="Times New Roman"/>
          <w:color w:val="007BFF"/>
          <w:sz w:val="24"/>
          <w:szCs w:val="24"/>
          <w:lang w:eastAsia="en-GB"/>
        </w:rPr>
        <w:t>303 Ark. 109</w:t>
      </w:r>
      <w:r w:rsidRPr="00AE7B05">
        <w:rPr>
          <w:rFonts w:ascii="Georgia" w:eastAsia="Times New Roman" w:hAnsi="Georgia" w:cs="Times New Roman"/>
          <w:sz w:val="24"/>
          <w:szCs w:val="24"/>
          <w:lang w:eastAsia="en-GB"/>
        </w:rPr>
        <w:t>, </w:t>
      </w:r>
      <w:hyperlink r:id="rId11" w:history="1">
        <w:r w:rsidRPr="00AE7B05">
          <w:rPr>
            <w:rFonts w:ascii="Georgia" w:eastAsia="Times New Roman" w:hAnsi="Georgia" w:cs="Times New Roman"/>
            <w:color w:val="007BFF"/>
            <w:sz w:val="24"/>
            <w:szCs w:val="24"/>
            <w:lang w:eastAsia="en-GB"/>
          </w:rPr>
          <w:t>793 S.W.2d 341</w:t>
        </w:r>
      </w:hyperlink>
      <w:r w:rsidRPr="00AE7B05">
        <w:rPr>
          <w:rFonts w:ascii="Georgia" w:eastAsia="Times New Roman" w:hAnsi="Georgia" w:cs="Times New Roman"/>
          <w:sz w:val="24"/>
          <w:szCs w:val="24"/>
          <w:lang w:eastAsia="en-GB"/>
        </w:rPr>
        <w:t> (1990) and </w:t>
      </w:r>
      <w:r w:rsidRPr="00AE7B05">
        <w:rPr>
          <w:rFonts w:ascii="Georgia" w:eastAsia="Times New Roman" w:hAnsi="Georgia" w:cs="Times New Roman"/>
          <w:i/>
          <w:iCs/>
          <w:sz w:val="24"/>
          <w:szCs w:val="24"/>
          <w:lang w:eastAsia="en-GB"/>
        </w:rPr>
        <w:t>Intents, Inc. v. Southwestern Electric Power Co., </w:t>
      </w:r>
      <w:r w:rsidRPr="00AE7B05">
        <w:rPr>
          <w:rFonts w:ascii="Georgia" w:eastAsia="Times New Roman" w:hAnsi="Georgia" w:cs="Times New Roman"/>
          <w:color w:val="007BFF"/>
          <w:sz w:val="24"/>
          <w:szCs w:val="24"/>
          <w:lang w:eastAsia="en-GB"/>
        </w:rPr>
        <w:t>2011 Ark. 32</w:t>
      </w:r>
      <w:r w:rsidRPr="00AE7B05">
        <w:rPr>
          <w:rFonts w:ascii="Georgia" w:eastAsia="Times New Roman" w:hAnsi="Georgia" w:cs="Times New Roman"/>
          <w:sz w:val="24"/>
          <w:szCs w:val="24"/>
          <w:lang w:eastAsia="en-GB"/>
        </w:rPr>
        <w:t>, </w:t>
      </w:r>
      <w:hyperlink r:id="rId12" w:history="1">
        <w:r w:rsidRPr="00AE7B05">
          <w:rPr>
            <w:rFonts w:ascii="Georgia" w:eastAsia="Times New Roman" w:hAnsi="Georgia" w:cs="Times New Roman"/>
            <w:color w:val="007BFF"/>
            <w:sz w:val="24"/>
            <w:szCs w:val="24"/>
            <w:lang w:eastAsia="en-GB"/>
          </w:rPr>
          <w:t>376 S.W.3d 435</w:t>
        </w:r>
      </w:hyperlink>
      <w:r w:rsidRPr="00AE7B05">
        <w:rPr>
          <w:rFonts w:ascii="Georgia" w:eastAsia="Times New Roman" w:hAnsi="Georgia" w:cs="Times New Roman"/>
          <w:sz w:val="24"/>
          <w:szCs w:val="24"/>
          <w:lang w:eastAsia="en-GB"/>
        </w:rPr>
        <w:t> are particularly instructive in highlighting the distinction. In </w:t>
      </w:r>
      <w:r w:rsidRPr="00AE7B05">
        <w:rPr>
          <w:rFonts w:ascii="Georgia" w:eastAsia="Times New Roman" w:hAnsi="Georgia" w:cs="Times New Roman"/>
          <w:i/>
          <w:iCs/>
          <w:sz w:val="24"/>
          <w:szCs w:val="24"/>
          <w:lang w:eastAsia="en-GB"/>
        </w:rPr>
        <w:t>Smith, </w:t>
      </w:r>
      <w:r w:rsidRPr="00AE7B05">
        <w:rPr>
          <w:rFonts w:ascii="Georgia" w:eastAsia="Times New Roman" w:hAnsi="Georgia" w:cs="Times New Roman"/>
          <w:sz w:val="24"/>
          <w:szCs w:val="24"/>
          <w:lang w:eastAsia="en-GB"/>
        </w:rPr>
        <w:t>a contractor sought indemnity from a water commission after an employee had been killed digging a trench to connect a sewer line. Our supreme court held that the “Tapping of Sewers” statute, codified Rat Arkansas Code Annotated section 14-235-305 (Repl. 1998), which provides that a municipality shall regulate the terms, time, and manner with which parties may tap sewers, created a special relationship between the contractor and the water commission. </w:t>
      </w:r>
      <w:r w:rsidRPr="00AE7B05">
        <w:rPr>
          <w:rFonts w:ascii="Georgia" w:eastAsia="Times New Roman" w:hAnsi="Georgia" w:cs="Times New Roman"/>
          <w:i/>
          <w:iCs/>
          <w:sz w:val="24"/>
          <w:szCs w:val="24"/>
          <w:lang w:eastAsia="en-GB"/>
        </w:rPr>
        <w:t>Smith, </w:t>
      </w:r>
      <w:r w:rsidRPr="00AE7B05">
        <w:rPr>
          <w:rFonts w:ascii="Georgia" w:eastAsia="Times New Roman" w:hAnsi="Georgia" w:cs="Times New Roman"/>
          <w:color w:val="007BFF"/>
          <w:sz w:val="24"/>
          <w:szCs w:val="24"/>
          <w:lang w:eastAsia="en-GB"/>
        </w:rPr>
        <w:t>303 Ark. at 113</w:t>
      </w:r>
      <w:r w:rsidRPr="00AE7B05">
        <w:rPr>
          <w:rFonts w:ascii="Georgia" w:eastAsia="Times New Roman" w:hAnsi="Georgia" w:cs="Times New Roman"/>
          <w:sz w:val="24"/>
          <w:szCs w:val="24"/>
          <w:lang w:eastAsia="en-GB"/>
        </w:rPr>
        <w:t>, </w:t>
      </w:r>
      <w:hyperlink r:id="rId13" w:history="1">
        <w:r w:rsidRPr="00AE7B05">
          <w:rPr>
            <w:rFonts w:ascii="Georgia" w:eastAsia="Times New Roman" w:hAnsi="Georgia" w:cs="Times New Roman"/>
            <w:color w:val="007BFF"/>
            <w:sz w:val="24"/>
            <w:szCs w:val="24"/>
            <w:lang w:eastAsia="en-GB"/>
          </w:rPr>
          <w:t>793 S.W.2d at 343</w:t>
        </w:r>
      </w:hyperlink>
      <w:r w:rsidRPr="00AE7B05">
        <w:rPr>
          <w:rFonts w:ascii="Georgia" w:eastAsia="Times New Roman" w:hAnsi="Georgia" w:cs="Times New Roman"/>
          <w:sz w:val="24"/>
          <w:szCs w:val="24"/>
          <w:lang w:eastAsia="en-GB"/>
        </w:rPr>
        <w:t>. In </w:t>
      </w:r>
      <w:r w:rsidRPr="00AE7B05">
        <w:rPr>
          <w:rFonts w:ascii="Georgia" w:eastAsia="Times New Roman" w:hAnsi="Georgia" w:cs="Times New Roman"/>
          <w:i/>
          <w:iCs/>
          <w:sz w:val="24"/>
          <w:szCs w:val="24"/>
          <w:lang w:eastAsia="en-GB"/>
        </w:rPr>
        <w:t>Intents, </w:t>
      </w:r>
      <w:r w:rsidRPr="00AE7B05">
        <w:rPr>
          <w:rFonts w:ascii="Georgia" w:eastAsia="Times New Roman" w:hAnsi="Georgia" w:cs="Times New Roman"/>
          <w:sz w:val="24"/>
          <w:szCs w:val="24"/>
          <w:lang w:eastAsia="en-GB"/>
        </w:rPr>
        <w:t>employees injured by voltage from a utility line sued the utility company, and the utility company sought recovery from the employer of the injured workers under a theory of implied indemnity. Our supreme court held that the Work Near High Voltage Lines Act, an act codified at Arkansas Code Annotated section 11-5-307 that requires anyone working near high-voltage lines to notify the utility company of the work, created a special relationship giving rise to an employer’s implied duty to indemnify. </w:t>
      </w:r>
      <w:r w:rsidRPr="00AE7B05">
        <w:rPr>
          <w:rFonts w:ascii="Georgia" w:eastAsia="Times New Roman" w:hAnsi="Georgia" w:cs="Times New Roman"/>
          <w:i/>
          <w:iCs/>
          <w:sz w:val="24"/>
          <w:szCs w:val="24"/>
          <w:lang w:eastAsia="en-GB"/>
        </w:rPr>
        <w:t>Intents, </w:t>
      </w:r>
      <w:r w:rsidRPr="00AE7B05">
        <w:rPr>
          <w:rFonts w:ascii="Georgia" w:eastAsia="Times New Roman" w:hAnsi="Georgia" w:cs="Times New Roman"/>
          <w:color w:val="007BFF"/>
          <w:sz w:val="24"/>
          <w:szCs w:val="24"/>
          <w:lang w:eastAsia="en-GB"/>
        </w:rPr>
        <w:t>2011 Ark. at 12</w:t>
      </w:r>
      <w:r w:rsidRPr="00AE7B05">
        <w:rPr>
          <w:rFonts w:ascii="Georgia" w:eastAsia="Times New Roman" w:hAnsi="Georgia" w:cs="Times New Roman"/>
          <w:sz w:val="24"/>
          <w:szCs w:val="24"/>
          <w:lang w:eastAsia="en-GB"/>
        </w:rPr>
        <w:t>, </w:t>
      </w:r>
      <w:hyperlink r:id="rId14" w:history="1">
        <w:r w:rsidRPr="00AE7B05">
          <w:rPr>
            <w:rFonts w:ascii="Georgia" w:eastAsia="Times New Roman" w:hAnsi="Georgia" w:cs="Times New Roman"/>
            <w:color w:val="007BFF"/>
            <w:sz w:val="24"/>
            <w:szCs w:val="24"/>
            <w:lang w:eastAsia="en-GB"/>
          </w:rPr>
          <w:t>376 S.W.3d at 442</w:t>
        </w:r>
      </w:hyperlink>
      <w:r w:rsidRPr="00AE7B05">
        <w:rPr>
          <w:rFonts w:ascii="Georgia" w:eastAsia="Times New Roman" w:hAnsi="Georgia" w:cs="Times New Roman"/>
          <w:sz w:val="24"/>
          <w:szCs w:val="24"/>
          <w:lang w:eastAsia="en-GB"/>
        </w:rPr>
        <w:t>.</w:t>
      </w:r>
    </w:p>
    <w:p w14:paraId="447F01C6"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In each of these cases, the statutes or regulations imposed on the indemnitor a specific and supervisory duty over the in-demnitee. No such relationship exists here. The relevant statutes and safety regulations that MCTC is said to have violated merely create a duty of safety to the public and MCTC’s employees. Assuming </w:t>
      </w:r>
      <w:r w:rsidRPr="00AE7B05">
        <w:rPr>
          <w:rFonts w:ascii="Georgia" w:eastAsia="Times New Roman" w:hAnsi="Georgia" w:cs="Times New Roman"/>
          <w:i/>
          <w:iCs/>
          <w:sz w:val="24"/>
          <w:szCs w:val="24"/>
          <w:lang w:eastAsia="en-GB"/>
        </w:rPr>
        <w:t>ar-guendo </w:t>
      </w:r>
      <w:r w:rsidRPr="00AE7B05">
        <w:rPr>
          <w:rFonts w:ascii="Georgia" w:eastAsia="Times New Roman" w:hAnsi="Georgia" w:cs="Times New Roman"/>
          <w:sz w:val="24"/>
          <w:szCs w:val="24"/>
          <w:lang w:eastAsia="en-GB"/>
        </w:rPr>
        <w:t>that a duty of safety to the public gave rise to a special relationship between R&amp;L and MCTC, MCTC could potentially be liable to every member of the public for implied indemnity. Accordingly, we affirm the circuit court’s grant of summary judgment to MCTC and hold that there was no special relationship between MCTC and R&amp;L that gave rise to an implied duty to indemnify.</w:t>
      </w:r>
    </w:p>
    <w:p w14:paraId="447F01C7"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|7III. </w:t>
      </w:r>
      <w:r w:rsidRPr="00AE7B05">
        <w:rPr>
          <w:rFonts w:ascii="Georgia" w:eastAsia="Times New Roman" w:hAnsi="Georgia" w:cs="Times New Roman"/>
          <w:i/>
          <w:iCs/>
          <w:sz w:val="24"/>
          <w:szCs w:val="24"/>
          <w:lang w:eastAsia="en-GB"/>
        </w:rPr>
        <w:t>The JNOV and Motion for New Trial</w:t>
      </w:r>
    </w:p>
    <w:p w14:paraId="447F01C8" w14:textId="2E379B00" w:rsidR="00AE7B05" w:rsidRPr="00AE7B05" w:rsidRDefault="00AE7B05" w:rsidP="00AE7B05">
      <w:pPr>
        <w:spacing w:before="100" w:beforeAutospacing="1" w:after="0" w:line="240" w:lineRule="auto"/>
        <w:rPr>
          <w:rFonts w:ascii="Georgia" w:eastAsia="Times New Roman" w:hAnsi="Georgia" w:cs="Times New Roman"/>
          <w:sz w:val="24"/>
          <w:szCs w:val="24"/>
          <w:lang w:eastAsia="en-GB"/>
        </w:rPr>
      </w:pPr>
      <w:r w:rsidRPr="00AE7B05">
        <w:rPr>
          <w:rFonts w:ascii="Georgia" w:eastAsia="Times New Roman" w:hAnsi="Georgia" w:cs="Times New Roman"/>
          <w:i/>
          <w:iCs/>
          <w:color w:val="979797"/>
          <w:sz w:val="19"/>
          <w:szCs w:val="19"/>
          <w:lang w:eastAsia="en-GB"/>
        </w:rPr>
        <w:t>*274</w:t>
      </w:r>
      <w:r w:rsidRPr="00AE7B05">
        <w:rPr>
          <w:rFonts w:ascii="Georgia" w:eastAsia="Times New Roman" w:hAnsi="Georgia" w:cs="Times New Roman"/>
          <w:sz w:val="24"/>
          <w:szCs w:val="24"/>
          <w:lang w:eastAsia="en-GB"/>
        </w:rPr>
        <w:t>Here, R&amp;L and Wethington</w:t>
      </w:r>
      <w:hyperlink r:id="rId15" w:anchor="footnote_1_2" w:history="1">
        <w:r w:rsidRPr="00AE7B05">
          <w:rPr>
            <w:rFonts w:ascii="Georgia" w:eastAsia="Times New Roman" w:hAnsi="Georgia" w:cs="Times New Roman"/>
            <w:b/>
            <w:bCs/>
            <w:color w:val="E878FF"/>
            <w:sz w:val="24"/>
            <w:szCs w:val="24"/>
            <w:vertAlign w:val="superscript"/>
            <w:lang w:eastAsia="en-GB"/>
          </w:rPr>
          <w:t>2</w:t>
        </w:r>
      </w:hyperlink>
      <w:r w:rsidRPr="00AE7B05">
        <w:rPr>
          <w:rFonts w:ascii="Georgia" w:eastAsia="Times New Roman" w:hAnsi="Georgia" w:cs="Times New Roman"/>
          <w:sz w:val="24"/>
          <w:szCs w:val="24"/>
          <w:lang w:eastAsia="en-GB"/>
        </w:rPr>
        <w:t> challenge the circuit court’s denial of their motion for JNOV or alternatively for a new trial. The crux of appellants’ argument is that because Markley’s damages were not foreseeable, appellants could not have been negligent.</w:t>
      </w:r>
    </w:p>
    <w:p w14:paraId="447F01C9" w14:textId="50907F79"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magenta"/>
          <w:lang w:eastAsia="en-GB"/>
        </w:rPr>
        <w:t>The standard of review of the denial of a motion for JNOV is whether the jury’s verdict is supported by substantial evidence.</w:t>
      </w:r>
      <w:r w:rsidRPr="00AE7B05">
        <w:rPr>
          <w:rFonts w:ascii="Georgia" w:eastAsia="Times New Roman" w:hAnsi="Georgia" w:cs="Times New Roman"/>
          <w:sz w:val="24"/>
          <w:szCs w:val="24"/>
          <w:lang w:eastAsia="en-GB"/>
        </w:rPr>
        <w:t> </w:t>
      </w:r>
      <w:r w:rsidRPr="00AE7B05">
        <w:rPr>
          <w:rFonts w:ascii="Georgia" w:eastAsia="Times New Roman" w:hAnsi="Georgia" w:cs="Times New Roman"/>
          <w:i/>
          <w:iCs/>
          <w:sz w:val="24"/>
          <w:szCs w:val="24"/>
          <w:lang w:eastAsia="en-GB"/>
        </w:rPr>
        <w:t>Stewart Title Guar. Co. v. Am. Abstract &amp; Title Co., </w:t>
      </w:r>
      <w:r w:rsidRPr="00AE7B05">
        <w:rPr>
          <w:rFonts w:ascii="Georgia" w:eastAsia="Times New Roman" w:hAnsi="Georgia" w:cs="Times New Roman"/>
          <w:color w:val="007BFF"/>
          <w:sz w:val="24"/>
          <w:szCs w:val="24"/>
          <w:lang w:eastAsia="en-GB"/>
        </w:rPr>
        <w:t>363 Ark. 530</w:t>
      </w:r>
      <w:r w:rsidRPr="00AE7B05">
        <w:rPr>
          <w:rFonts w:ascii="Georgia" w:eastAsia="Times New Roman" w:hAnsi="Georgia" w:cs="Times New Roman"/>
          <w:sz w:val="24"/>
          <w:szCs w:val="24"/>
          <w:lang w:eastAsia="en-GB"/>
        </w:rPr>
        <w:t>, 537, </w:t>
      </w:r>
      <w:hyperlink r:id="rId16" w:anchor="p537" w:history="1">
        <w:r w:rsidRPr="00AE7B05">
          <w:rPr>
            <w:rFonts w:ascii="Georgia" w:eastAsia="Times New Roman" w:hAnsi="Georgia" w:cs="Times New Roman"/>
            <w:color w:val="007BFF"/>
            <w:sz w:val="24"/>
            <w:szCs w:val="24"/>
            <w:lang w:eastAsia="en-GB"/>
          </w:rPr>
          <w:t>215 S.W.3d 596</w:t>
        </w:r>
      </w:hyperlink>
      <w:r w:rsidRPr="00AE7B05">
        <w:rPr>
          <w:rFonts w:ascii="Georgia" w:eastAsia="Times New Roman" w:hAnsi="Georgia" w:cs="Times New Roman"/>
          <w:sz w:val="24"/>
          <w:szCs w:val="24"/>
          <w:lang w:eastAsia="en-GB"/>
        </w:rPr>
        <w:t>, 601 (2005). Similarly, the standard of review of the denial of a motion for new trial on the issue of liability is whether the jury’s verdict is supported by substantial evidence. </w:t>
      </w:r>
      <w:r w:rsidRPr="00AE7B05">
        <w:rPr>
          <w:rFonts w:ascii="Georgia" w:eastAsia="Times New Roman" w:hAnsi="Georgia" w:cs="Times New Roman"/>
          <w:i/>
          <w:iCs/>
          <w:sz w:val="24"/>
          <w:szCs w:val="24"/>
          <w:lang w:eastAsia="en-GB"/>
        </w:rPr>
        <w:t>Pearson v. Henrickson, </w:t>
      </w:r>
      <w:r w:rsidRPr="00AE7B05">
        <w:rPr>
          <w:rFonts w:ascii="Georgia" w:eastAsia="Times New Roman" w:hAnsi="Georgia" w:cs="Times New Roman"/>
          <w:color w:val="007BFF"/>
          <w:sz w:val="24"/>
          <w:szCs w:val="24"/>
          <w:lang w:eastAsia="en-GB"/>
        </w:rPr>
        <w:t>336 Ark. 12</w:t>
      </w:r>
      <w:r w:rsidRPr="00AE7B05">
        <w:rPr>
          <w:rFonts w:ascii="Georgia" w:eastAsia="Times New Roman" w:hAnsi="Georgia" w:cs="Times New Roman"/>
          <w:sz w:val="24"/>
          <w:szCs w:val="24"/>
          <w:lang w:eastAsia="en-GB"/>
        </w:rPr>
        <w:t>, </w:t>
      </w:r>
      <w:hyperlink r:id="rId17" w:history="1">
        <w:r w:rsidRPr="00AE7B05">
          <w:rPr>
            <w:rFonts w:ascii="Georgia" w:eastAsia="Times New Roman" w:hAnsi="Georgia" w:cs="Times New Roman"/>
            <w:color w:val="007BFF"/>
            <w:sz w:val="24"/>
            <w:szCs w:val="24"/>
            <w:lang w:eastAsia="en-GB"/>
          </w:rPr>
          <w:t>983 S.W.2d 419</w:t>
        </w:r>
      </w:hyperlink>
      <w:r w:rsidRPr="00AE7B05">
        <w:rPr>
          <w:rFonts w:ascii="Georgia" w:eastAsia="Times New Roman" w:hAnsi="Georgia" w:cs="Times New Roman"/>
          <w:sz w:val="24"/>
          <w:szCs w:val="24"/>
          <w:lang w:eastAsia="en-GB"/>
        </w:rPr>
        <w:t> (1999). Substantial evidence goes beyond suspicion or conjecture and is sufficient to compel a conclusion one way or the other. </w:t>
      </w:r>
      <w:r w:rsidRPr="00AE7B05">
        <w:rPr>
          <w:rFonts w:ascii="Georgia" w:eastAsia="Times New Roman" w:hAnsi="Georgia" w:cs="Times New Roman"/>
          <w:i/>
          <w:iCs/>
          <w:sz w:val="24"/>
          <w:szCs w:val="24"/>
          <w:lang w:eastAsia="en-GB"/>
        </w:rPr>
        <w:t>Ethyl Corp. v. Johnson, </w:t>
      </w:r>
      <w:r w:rsidRPr="00AE7B05">
        <w:rPr>
          <w:rFonts w:ascii="Georgia" w:eastAsia="Times New Roman" w:hAnsi="Georgia" w:cs="Times New Roman"/>
          <w:color w:val="007BFF"/>
          <w:sz w:val="24"/>
          <w:szCs w:val="24"/>
          <w:lang w:eastAsia="en-GB"/>
        </w:rPr>
        <w:t>345 Ark. 476</w:t>
      </w:r>
      <w:r w:rsidRPr="00AE7B05">
        <w:rPr>
          <w:rFonts w:ascii="Georgia" w:eastAsia="Times New Roman" w:hAnsi="Georgia" w:cs="Times New Roman"/>
          <w:sz w:val="24"/>
          <w:szCs w:val="24"/>
          <w:lang w:eastAsia="en-GB"/>
        </w:rPr>
        <w:t>, </w:t>
      </w:r>
      <w:hyperlink r:id="rId18" w:history="1">
        <w:r w:rsidRPr="00AE7B05">
          <w:rPr>
            <w:rFonts w:ascii="Georgia" w:eastAsia="Times New Roman" w:hAnsi="Georgia" w:cs="Times New Roman"/>
            <w:color w:val="007BFF"/>
            <w:sz w:val="24"/>
            <w:szCs w:val="24"/>
            <w:lang w:eastAsia="en-GB"/>
          </w:rPr>
          <w:t>49 S.W.3d 644</w:t>
        </w:r>
      </w:hyperlink>
      <w:r w:rsidRPr="00AE7B05">
        <w:rPr>
          <w:rFonts w:ascii="Georgia" w:eastAsia="Times New Roman" w:hAnsi="Georgia" w:cs="Times New Roman"/>
          <w:sz w:val="24"/>
          <w:szCs w:val="24"/>
          <w:lang w:eastAsia="en-GB"/>
        </w:rPr>
        <w:t> (2001).</w:t>
      </w:r>
    </w:p>
    <w:p w14:paraId="447F01CA" w14:textId="393C3E4D"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To sustain an action for negligence, there must be proof “that the defendant owed a duty to the plaintiff, that the defendant breached that duty, and that the breach was the proximate cause of the plaintiffs damages.” </w:t>
      </w:r>
      <w:r w:rsidRPr="007F65FE">
        <w:rPr>
          <w:rFonts w:ascii="Georgia" w:eastAsia="Times New Roman" w:hAnsi="Georgia" w:cs="Times New Roman"/>
          <w:i/>
          <w:iCs/>
          <w:sz w:val="24"/>
          <w:szCs w:val="24"/>
          <w:highlight w:val="cyan"/>
          <w:lang w:eastAsia="en-GB"/>
        </w:rPr>
        <w:t>Lloyd v. Pier W. Prop. Owners Ass’n, </w:t>
      </w:r>
      <w:r w:rsidRPr="007F65FE">
        <w:rPr>
          <w:rFonts w:ascii="Georgia" w:eastAsia="Times New Roman" w:hAnsi="Georgia" w:cs="Times New Roman"/>
          <w:color w:val="007BFF"/>
          <w:sz w:val="24"/>
          <w:szCs w:val="24"/>
          <w:highlight w:val="cyan"/>
          <w:lang w:eastAsia="en-GB"/>
        </w:rPr>
        <w:t>2015 Ark. App. 487</w:t>
      </w:r>
      <w:r w:rsidRPr="007F65FE">
        <w:rPr>
          <w:rFonts w:ascii="Georgia" w:eastAsia="Times New Roman" w:hAnsi="Georgia" w:cs="Times New Roman"/>
          <w:sz w:val="24"/>
          <w:szCs w:val="24"/>
          <w:highlight w:val="cyan"/>
          <w:lang w:eastAsia="en-GB"/>
        </w:rPr>
        <w:t>, at 4, </w:t>
      </w:r>
      <w:hyperlink r:id="rId19" w:history="1">
        <w:r w:rsidRPr="007F65FE">
          <w:rPr>
            <w:rFonts w:ascii="Georgia" w:eastAsia="Times New Roman" w:hAnsi="Georgia" w:cs="Times New Roman"/>
            <w:color w:val="007BFF"/>
            <w:sz w:val="24"/>
            <w:szCs w:val="24"/>
            <w:highlight w:val="cyan"/>
            <w:lang w:eastAsia="en-GB"/>
          </w:rPr>
          <w:t>470 S.W.3d 293</w:t>
        </w:r>
      </w:hyperlink>
      <w:r w:rsidRPr="007F65FE">
        <w:rPr>
          <w:rFonts w:ascii="Georgia" w:eastAsia="Times New Roman" w:hAnsi="Georgia" w:cs="Times New Roman"/>
          <w:sz w:val="24"/>
          <w:szCs w:val="24"/>
          <w:highlight w:val="cyan"/>
          <w:lang w:eastAsia="en-GB"/>
        </w:rPr>
        <w:t>, 297.</w:t>
      </w:r>
      <w:r w:rsidRPr="00AE7B05">
        <w:rPr>
          <w:rFonts w:ascii="Georgia" w:eastAsia="Times New Roman" w:hAnsi="Georgia" w:cs="Times New Roman"/>
          <w:sz w:val="24"/>
          <w:szCs w:val="24"/>
          <w:lang w:eastAsia="en-GB"/>
        </w:rPr>
        <w:t xml:space="preserve"> Negligence occurs “where an ordinarily prudent person in the same situation would foresee such an appreciable risk of harm to others that he would not act or at least would act in a more careful manner.” </w:t>
      </w:r>
      <w:r w:rsidRPr="007F65FE">
        <w:rPr>
          <w:rFonts w:ascii="Georgia" w:eastAsia="Times New Roman" w:hAnsi="Georgia" w:cs="Times New Roman"/>
          <w:i/>
          <w:iCs/>
          <w:sz w:val="24"/>
          <w:szCs w:val="24"/>
          <w:highlight w:val="cyan"/>
          <w:lang w:eastAsia="en-GB"/>
        </w:rPr>
        <w:t>White River Rural Water Dist. v. Moon, </w:t>
      </w:r>
      <w:r w:rsidRPr="007F65FE">
        <w:rPr>
          <w:rFonts w:ascii="Georgia" w:eastAsia="Times New Roman" w:hAnsi="Georgia" w:cs="Times New Roman"/>
          <w:color w:val="007BFF"/>
          <w:sz w:val="24"/>
          <w:szCs w:val="24"/>
          <w:highlight w:val="cyan"/>
          <w:lang w:eastAsia="en-GB"/>
        </w:rPr>
        <w:t>310 Ark. 624</w:t>
      </w:r>
      <w:r w:rsidRPr="007F65FE">
        <w:rPr>
          <w:rFonts w:ascii="Georgia" w:eastAsia="Times New Roman" w:hAnsi="Georgia" w:cs="Times New Roman"/>
          <w:sz w:val="24"/>
          <w:szCs w:val="24"/>
          <w:highlight w:val="cyan"/>
          <w:lang w:eastAsia="en-GB"/>
        </w:rPr>
        <w:t>, 626, </w:t>
      </w:r>
      <w:hyperlink r:id="rId20" w:anchor="p626" w:history="1">
        <w:r w:rsidRPr="007F65FE">
          <w:rPr>
            <w:rFonts w:ascii="Georgia" w:eastAsia="Times New Roman" w:hAnsi="Georgia" w:cs="Times New Roman"/>
            <w:color w:val="007BFF"/>
            <w:sz w:val="24"/>
            <w:szCs w:val="24"/>
            <w:highlight w:val="cyan"/>
            <w:lang w:eastAsia="en-GB"/>
          </w:rPr>
          <w:t>839 S.W.2d 211</w:t>
        </w:r>
      </w:hyperlink>
      <w:r w:rsidRPr="007F65FE">
        <w:rPr>
          <w:rFonts w:ascii="Georgia" w:eastAsia="Times New Roman" w:hAnsi="Georgia" w:cs="Times New Roman"/>
          <w:sz w:val="24"/>
          <w:szCs w:val="24"/>
          <w:highlight w:val="cyan"/>
          <w:lang w:eastAsia="en-GB"/>
        </w:rPr>
        <w:t>, 212 (1992).</w:t>
      </w:r>
      <w:r w:rsidRPr="00AE7B05">
        <w:rPr>
          <w:rFonts w:ascii="Georgia" w:eastAsia="Times New Roman" w:hAnsi="Georgia" w:cs="Times New Roman"/>
          <w:sz w:val="24"/>
          <w:szCs w:val="24"/>
          <w:lang w:eastAsia="en-GB"/>
        </w:rPr>
        <w:t xml:space="preserve"> Foreseeability is a necessary component of negligence. </w:t>
      </w:r>
      <w:r w:rsidRPr="007F65FE">
        <w:rPr>
          <w:rFonts w:ascii="Georgia" w:eastAsia="Times New Roman" w:hAnsi="Georgia" w:cs="Times New Roman"/>
          <w:i/>
          <w:iCs/>
          <w:sz w:val="24"/>
          <w:szCs w:val="24"/>
          <w:highlight w:val="cyan"/>
          <w:lang w:eastAsia="en-GB"/>
        </w:rPr>
        <w:t>Ethyl Corp., </w:t>
      </w:r>
      <w:r w:rsidRPr="007F65FE">
        <w:rPr>
          <w:rFonts w:ascii="Georgia" w:eastAsia="Times New Roman" w:hAnsi="Georgia" w:cs="Times New Roman"/>
          <w:i/>
          <w:iCs/>
          <w:color w:val="007BFF"/>
          <w:sz w:val="24"/>
          <w:szCs w:val="24"/>
          <w:highlight w:val="cyan"/>
          <w:lang w:eastAsia="en-GB"/>
        </w:rPr>
        <w:t>supra.</w:t>
      </w:r>
      <w:r w:rsidRPr="00AE7B05">
        <w:rPr>
          <w:rFonts w:ascii="Georgia" w:eastAsia="Times New Roman" w:hAnsi="Georgia" w:cs="Times New Roman"/>
          <w:i/>
          <w:iCs/>
          <w:sz w:val="24"/>
          <w:szCs w:val="24"/>
          <w:lang w:eastAsia="en-GB"/>
        </w:rPr>
        <w:t> </w:t>
      </w:r>
      <w:r w:rsidRPr="00AE7B05">
        <w:rPr>
          <w:rFonts w:ascii="Georgia" w:eastAsia="Times New Roman" w:hAnsi="Georgia" w:cs="Times New Roman"/>
          <w:sz w:val="24"/>
          <w:szCs w:val="24"/>
          <w:lang w:eastAsia="en-GB"/>
        </w:rPr>
        <w:t>The actor need not foresee the particular | ^injury that occurs, but foreseeability requires that the harm be “within the range of probability as viewed by the ordinary man.” </w:t>
      </w:r>
      <w:hyperlink r:id="rId21" w:history="1">
        <w:r w:rsidRPr="007F65FE">
          <w:rPr>
            <w:rFonts w:ascii="Georgia" w:eastAsia="Times New Roman" w:hAnsi="Georgia" w:cs="Times New Roman"/>
            <w:i/>
            <w:iCs/>
            <w:color w:val="007BFF"/>
            <w:sz w:val="24"/>
            <w:szCs w:val="24"/>
            <w:highlight w:val="cyan"/>
            <w:lang w:eastAsia="en-GB"/>
          </w:rPr>
          <w:t>Id. </w:t>
        </w:r>
      </w:hyperlink>
      <w:r w:rsidRPr="007F65FE">
        <w:rPr>
          <w:rFonts w:ascii="Georgia" w:eastAsia="Times New Roman" w:hAnsi="Georgia" w:cs="Times New Roman"/>
          <w:color w:val="007BFF"/>
          <w:sz w:val="24"/>
          <w:szCs w:val="24"/>
          <w:highlight w:val="cyan"/>
          <w:lang w:eastAsia="en-GB"/>
        </w:rPr>
        <w:t>at 482</w:t>
      </w:r>
      <w:r w:rsidRPr="007F65FE">
        <w:rPr>
          <w:rFonts w:ascii="Georgia" w:eastAsia="Times New Roman" w:hAnsi="Georgia" w:cs="Times New Roman"/>
          <w:sz w:val="24"/>
          <w:szCs w:val="24"/>
          <w:highlight w:val="cyan"/>
          <w:lang w:eastAsia="en-GB"/>
        </w:rPr>
        <w:t>, </w:t>
      </w:r>
      <w:hyperlink r:id="rId22" w:history="1">
        <w:r w:rsidRPr="007F65FE">
          <w:rPr>
            <w:rFonts w:ascii="Georgia" w:eastAsia="Times New Roman" w:hAnsi="Georgia" w:cs="Times New Roman"/>
            <w:color w:val="007BFF"/>
            <w:sz w:val="24"/>
            <w:szCs w:val="24"/>
            <w:highlight w:val="cyan"/>
            <w:lang w:eastAsia="en-GB"/>
          </w:rPr>
          <w:t>49 S.W.3d at 648</w:t>
        </w:r>
      </w:hyperlink>
      <w:r w:rsidRPr="007F65FE">
        <w:rPr>
          <w:rFonts w:ascii="Georgia" w:eastAsia="Times New Roman" w:hAnsi="Georgia" w:cs="Times New Roman"/>
          <w:sz w:val="24"/>
          <w:szCs w:val="24"/>
          <w:highlight w:val="cyan"/>
          <w:lang w:eastAsia="en-GB"/>
        </w:rPr>
        <w:t>.</w:t>
      </w:r>
    </w:p>
    <w:p w14:paraId="447F01CB"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7F65FE">
        <w:rPr>
          <w:rFonts w:ascii="Georgia" w:eastAsia="Times New Roman" w:hAnsi="Georgia" w:cs="Times New Roman"/>
          <w:sz w:val="24"/>
          <w:szCs w:val="24"/>
          <w:highlight w:val="green"/>
          <w:lang w:eastAsia="en-GB"/>
        </w:rPr>
        <w:t>Appellants argue that there was no indication to Wethington that someone would be injured by his attempt to drive under the low-hanging line. We disagree. Although Wethington testified that he did not see Markley until after the accident had occurred and that the evidence showed that there were no warnings to indicate that work was being done to the line, there is substantial evidence to establish that Wethington foresaw danger.</w:t>
      </w:r>
      <w:r w:rsidRPr="00AE7B05">
        <w:rPr>
          <w:rFonts w:ascii="Georgia" w:eastAsia="Times New Roman" w:hAnsi="Georgia" w:cs="Times New Roman"/>
          <w:sz w:val="24"/>
          <w:szCs w:val="24"/>
          <w:lang w:eastAsia="en-GB"/>
        </w:rPr>
        <w:t xml:space="preserve"> </w:t>
      </w:r>
      <w:r w:rsidRPr="007F65FE">
        <w:rPr>
          <w:rFonts w:ascii="Georgia" w:eastAsia="Times New Roman" w:hAnsi="Georgia" w:cs="Times New Roman"/>
          <w:sz w:val="24"/>
          <w:szCs w:val="24"/>
          <w:highlight w:val="yellow"/>
          <w:lang w:eastAsia="en-GB"/>
        </w:rPr>
        <w:t>Wethington admitted seeing a low-hanging line and understood it was possible that someone could be hurt if the line became caught on his truck.</w:t>
      </w:r>
      <w:r w:rsidRPr="00AE7B05">
        <w:rPr>
          <w:rFonts w:ascii="Georgia" w:eastAsia="Times New Roman" w:hAnsi="Georgia" w:cs="Times New Roman"/>
          <w:sz w:val="24"/>
          <w:szCs w:val="24"/>
          <w:lang w:eastAsia="en-GB"/>
        </w:rPr>
        <w:t xml:space="preserve"> </w:t>
      </w:r>
      <w:r w:rsidRPr="007F65FE">
        <w:rPr>
          <w:rFonts w:ascii="Georgia" w:eastAsia="Times New Roman" w:hAnsi="Georgia" w:cs="Times New Roman"/>
          <w:sz w:val="24"/>
          <w:szCs w:val="24"/>
          <w:highlight w:val="yellow"/>
          <w:lang w:eastAsia="en-GB"/>
        </w:rPr>
        <w:t>Wethington also admitted seeing the bucket truck.</w:t>
      </w:r>
      <w:r w:rsidRPr="00AE7B05">
        <w:rPr>
          <w:rFonts w:ascii="Georgia" w:eastAsia="Times New Roman" w:hAnsi="Georgia" w:cs="Times New Roman"/>
          <w:sz w:val="24"/>
          <w:szCs w:val="24"/>
          <w:lang w:eastAsia="en-GB"/>
        </w:rPr>
        <w:t xml:space="preserve"> </w:t>
      </w:r>
      <w:r w:rsidRPr="007F65FE">
        <w:rPr>
          <w:rFonts w:ascii="Georgia" w:eastAsia="Times New Roman" w:hAnsi="Georgia" w:cs="Times New Roman"/>
          <w:sz w:val="24"/>
          <w:szCs w:val="24"/>
          <w:highlight w:val="green"/>
          <w:lang w:eastAsia="en-GB"/>
        </w:rPr>
        <w:t>Although the precise harm that resulted may not have been foreseeab</w:t>
      </w:r>
      <w:r w:rsidR="007F65FE">
        <w:rPr>
          <w:rFonts w:ascii="Georgia" w:eastAsia="Times New Roman" w:hAnsi="Georgia" w:cs="Times New Roman"/>
          <w:sz w:val="24"/>
          <w:szCs w:val="24"/>
          <w:highlight w:val="green"/>
          <w:lang w:eastAsia="en-GB"/>
        </w:rPr>
        <w:t>le to Wethington, there was subs</w:t>
      </w:r>
      <w:r w:rsidRPr="007F65FE">
        <w:rPr>
          <w:rFonts w:ascii="Georgia" w:eastAsia="Times New Roman" w:hAnsi="Georgia" w:cs="Times New Roman"/>
          <w:sz w:val="24"/>
          <w:szCs w:val="24"/>
          <w:highlight w:val="green"/>
          <w:lang w:eastAsia="en-GB"/>
        </w:rPr>
        <w:t xml:space="preserve">tantial evidence of an appreciable risk of harm. </w:t>
      </w:r>
      <w:r w:rsidRPr="007F65FE">
        <w:rPr>
          <w:rFonts w:ascii="Georgia" w:eastAsia="Times New Roman" w:hAnsi="Georgia" w:cs="Times New Roman"/>
          <w:sz w:val="24"/>
          <w:szCs w:val="24"/>
          <w:highlight w:val="red"/>
          <w:lang w:eastAsia="en-GB"/>
        </w:rPr>
        <w:t>Accordingly, we affirm the circuit court’s denial of the motion for JNOV or alternatively for a new trial.</w:t>
      </w:r>
    </w:p>
    <w:p w14:paraId="447F01CC"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IV. </w:t>
      </w:r>
      <w:r w:rsidRPr="00AE7B05">
        <w:rPr>
          <w:rFonts w:ascii="Georgia" w:eastAsia="Times New Roman" w:hAnsi="Georgia" w:cs="Times New Roman"/>
          <w:i/>
          <w:iCs/>
          <w:sz w:val="24"/>
          <w:szCs w:val="24"/>
          <w:lang w:eastAsia="en-GB"/>
        </w:rPr>
        <w:t>Evidentiary Errors</w:t>
      </w:r>
    </w:p>
    <w:p w14:paraId="447F01CD" w14:textId="4DB0D7F1"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Appellants also challenge three evidentiary rulings made by the circuit court. They argue that the circuit court erred by (1) excluding testimony about Markley’s receipt of workers’-compensation benefits, (2) not allowing the introduction of the deposition testimony of Joe Shrum, and (3) allowing testimony, that Markley’s hypothetical compliance with safety-harness regulations would have led to more serious injuries or even death. In reviewing these alleged evidentiary errors, our court will not overturn an evidentiary ruling absent clear error or a manifest abuse of discretion. </w:t>
      </w:r>
      <w:r w:rsidRPr="00AE7B05">
        <w:rPr>
          <w:rFonts w:ascii="Georgia" w:eastAsia="Times New Roman" w:hAnsi="Georgia" w:cs="Times New Roman"/>
          <w:i/>
          <w:iCs/>
          <w:sz w:val="24"/>
          <w:szCs w:val="24"/>
          <w:lang w:eastAsia="en-GB"/>
        </w:rPr>
        <w:t>Kapach v. Carroll, </w:t>
      </w:r>
      <w:r w:rsidRPr="00AE7B05">
        <w:rPr>
          <w:rFonts w:ascii="Georgia" w:eastAsia="Times New Roman" w:hAnsi="Georgia" w:cs="Times New Roman"/>
          <w:color w:val="007BFF"/>
          <w:sz w:val="24"/>
          <w:szCs w:val="24"/>
          <w:lang w:eastAsia="en-GB"/>
        </w:rPr>
        <w:t>2015 Ark. App. 466</w:t>
      </w:r>
      <w:r w:rsidRPr="00AE7B05">
        <w:rPr>
          <w:rFonts w:ascii="Georgia" w:eastAsia="Times New Roman" w:hAnsi="Georgia" w:cs="Times New Roman"/>
          <w:sz w:val="24"/>
          <w:szCs w:val="24"/>
          <w:lang w:eastAsia="en-GB"/>
        </w:rPr>
        <w:t>, </w:t>
      </w:r>
      <w:hyperlink r:id="rId23" w:history="1">
        <w:r w:rsidRPr="00AE7B05">
          <w:rPr>
            <w:rFonts w:ascii="Georgia" w:eastAsia="Times New Roman" w:hAnsi="Georgia" w:cs="Times New Roman"/>
            <w:color w:val="007BFF"/>
            <w:sz w:val="24"/>
            <w:szCs w:val="24"/>
            <w:lang w:eastAsia="en-GB"/>
          </w:rPr>
          <w:t>468 S.W.3d 801</w:t>
        </w:r>
      </w:hyperlink>
      <w:r w:rsidRPr="00AE7B05">
        <w:rPr>
          <w:rFonts w:ascii="Georgia" w:eastAsia="Times New Roman" w:hAnsi="Georgia" w:cs="Times New Roman"/>
          <w:sz w:val="24"/>
          <w:szCs w:val="24"/>
          <w:lang w:eastAsia="en-GB"/>
        </w:rPr>
        <w:t>. Additionally, an erroneous evidentiary ruling is not grounds for reversal absent a showing of prejudice. </w:t>
      </w:r>
      <w:r w:rsidRPr="00AE7B05">
        <w:rPr>
          <w:rFonts w:ascii="Georgia" w:eastAsia="Times New Roman" w:hAnsi="Georgia" w:cs="Times New Roman"/>
          <w:i/>
          <w:iCs/>
          <w:color w:val="007BFF"/>
          <w:sz w:val="24"/>
          <w:szCs w:val="24"/>
          <w:lang w:eastAsia="en-GB"/>
        </w:rPr>
        <w:t>Id.</w:t>
      </w:r>
    </w:p>
    <w:p w14:paraId="447F01CE" w14:textId="77777777" w:rsidR="00AE7B05" w:rsidRPr="00AE7B05" w:rsidRDefault="00D12393" w:rsidP="00AE7B05">
      <w:pPr>
        <w:spacing w:before="100" w:beforeAutospacing="1" w:after="225" w:line="240" w:lineRule="auto"/>
        <w:rPr>
          <w:rFonts w:ascii="Georgia" w:eastAsia="Times New Roman" w:hAnsi="Georgia" w:cs="Times New Roman"/>
          <w:sz w:val="24"/>
          <w:szCs w:val="24"/>
          <w:lang w:eastAsia="en-GB"/>
        </w:rPr>
      </w:pPr>
      <w:hyperlink r:id="rId24" w:anchor="p275" w:history="1">
        <w:r w:rsidR="00AE7B05" w:rsidRPr="00AE7B05">
          <w:rPr>
            <w:rFonts w:ascii="Georgia" w:eastAsia="Times New Roman" w:hAnsi="Georgia" w:cs="Times New Roman"/>
            <w:i/>
            <w:iCs/>
            <w:color w:val="979797"/>
            <w:sz w:val="19"/>
            <w:szCs w:val="19"/>
            <w:lang w:eastAsia="en-GB"/>
          </w:rPr>
          <w:t>*275</w:t>
        </w:r>
      </w:hyperlink>
      <w:r w:rsidR="00AE7B05" w:rsidRPr="00AE7B05">
        <w:rPr>
          <w:rFonts w:ascii="Georgia" w:eastAsia="Times New Roman" w:hAnsi="Georgia" w:cs="Times New Roman"/>
          <w:sz w:val="24"/>
          <w:szCs w:val="24"/>
          <w:lang w:eastAsia="en-GB"/>
        </w:rPr>
        <w:t>A.Workers’-Compensation Benefits</w:t>
      </w:r>
    </w:p>
    <w:p w14:paraId="447F01CF" w14:textId="35DEE1D1"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First, appellants contend that the circuit court erred by refusing to allow them to question Markley about his workers’-compensation benefits. Generally, “the collateral-source rule prohibits the admissibility of evidence showing that an injured person received payments from another source.” </w:t>
      </w:r>
      <w:r w:rsidRPr="00AE7B05">
        <w:rPr>
          <w:rFonts w:ascii="Georgia" w:eastAsia="Times New Roman" w:hAnsi="Georgia" w:cs="Times New Roman"/>
          <w:i/>
          <w:iCs/>
          <w:sz w:val="24"/>
          <w:szCs w:val="24"/>
          <w:lang w:eastAsia="en-GB"/>
        </w:rPr>
        <w:t>Wal-Mart Stores, Inc. v. Kilgore, </w:t>
      </w:r>
      <w:r w:rsidRPr="00AE7B05">
        <w:rPr>
          <w:rFonts w:ascii="Georgia" w:eastAsia="Times New Roman" w:hAnsi="Georgia" w:cs="Times New Roman"/>
          <w:color w:val="007BFF"/>
          <w:sz w:val="24"/>
          <w:szCs w:val="24"/>
          <w:lang w:eastAsia="en-GB"/>
        </w:rPr>
        <w:t>85 Ark. App. 231</w:t>
      </w:r>
      <w:r w:rsidRPr="00AE7B05">
        <w:rPr>
          <w:rFonts w:ascii="Georgia" w:eastAsia="Times New Roman" w:hAnsi="Georgia" w:cs="Times New Roman"/>
          <w:sz w:val="24"/>
          <w:szCs w:val="24"/>
          <w:lang w:eastAsia="en-GB"/>
        </w:rPr>
        <w:t>, 239, </w:t>
      </w:r>
      <w:hyperlink r:id="rId25" w:anchor="p239" w:history="1">
        <w:r w:rsidRPr="00AE7B05">
          <w:rPr>
            <w:rFonts w:ascii="Georgia" w:eastAsia="Times New Roman" w:hAnsi="Georgia" w:cs="Times New Roman"/>
            <w:color w:val="007BFF"/>
            <w:sz w:val="24"/>
            <w:szCs w:val="24"/>
            <w:lang w:eastAsia="en-GB"/>
          </w:rPr>
          <w:t>148 S.W.3d 754</w:t>
        </w:r>
      </w:hyperlink>
      <w:r w:rsidRPr="00AE7B05">
        <w:rPr>
          <w:rFonts w:ascii="Georgia" w:eastAsia="Times New Roman" w:hAnsi="Georgia" w:cs="Times New Roman"/>
          <w:sz w:val="24"/>
          <w:szCs w:val="24"/>
          <w:lang w:eastAsia="en-GB"/>
        </w:rPr>
        <w:t>, 759 (2004). However, testimony regarding collateral sources may be introduced to rebut testimony that one was compelled by financial necessity to return to work prematurely or to forgo additional medical care or to impeach testimony that one paid his or her own medical expenses. </w:t>
      </w:r>
      <w:r w:rsidRPr="00AE7B05">
        <w:rPr>
          <w:rFonts w:ascii="Georgia" w:eastAsia="Times New Roman" w:hAnsi="Georgia" w:cs="Times New Roman"/>
          <w:i/>
          <w:iCs/>
          <w:color w:val="007BFF"/>
          <w:sz w:val="24"/>
          <w:szCs w:val="24"/>
          <w:lang w:eastAsia="en-GB"/>
        </w:rPr>
        <w:t>Id. </w:t>
      </w:r>
      <w:hyperlink r:id="rId26" w:anchor="p239" w:history="1">
        <w:r w:rsidRPr="00AE7B05">
          <w:rPr>
            <w:rFonts w:ascii="Georgia" w:eastAsia="Times New Roman" w:hAnsi="Georgia" w:cs="Times New Roman"/>
            <w:color w:val="007BFF"/>
            <w:sz w:val="24"/>
            <w:szCs w:val="24"/>
            <w:lang w:eastAsia="en-GB"/>
          </w:rPr>
          <w:t>at 240</w:t>
        </w:r>
      </w:hyperlink>
      <w:r w:rsidRPr="00AE7B05">
        <w:rPr>
          <w:rFonts w:ascii="Georgia" w:eastAsia="Times New Roman" w:hAnsi="Georgia" w:cs="Times New Roman"/>
          <w:sz w:val="24"/>
          <w:szCs w:val="24"/>
          <w:lang w:eastAsia="en-GB"/>
        </w:rPr>
        <w:t>, </w:t>
      </w:r>
      <w:r w:rsidRPr="00AE7B05">
        <w:rPr>
          <w:rFonts w:ascii="Georgia" w:eastAsia="Times New Roman" w:hAnsi="Georgia" w:cs="Times New Roman"/>
          <w:color w:val="007BFF"/>
          <w:sz w:val="24"/>
          <w:szCs w:val="24"/>
          <w:lang w:eastAsia="en-GB"/>
        </w:rPr>
        <w:t>148 S.W.3d at 760</w:t>
      </w:r>
      <w:r w:rsidRPr="00AE7B05">
        <w:rPr>
          <w:rFonts w:ascii="Georgia" w:eastAsia="Times New Roman" w:hAnsi="Georgia" w:cs="Times New Roman"/>
          <w:sz w:val="24"/>
          <w:szCs w:val="24"/>
          <w:lang w:eastAsia="en-GB"/>
        </w:rPr>
        <w:t>. “When a party testifies about his or her financial condition in a false or misleading manner, he or she opens the door for the introduction of evidence which might otherwise be inadmissible under the collateral source rule.” </w:t>
      </w:r>
      <w:r w:rsidRPr="00AE7B05">
        <w:rPr>
          <w:rFonts w:ascii="Georgia" w:eastAsia="Times New Roman" w:hAnsi="Georgia" w:cs="Times New Roman"/>
          <w:i/>
          <w:iCs/>
          <w:sz w:val="24"/>
          <w:szCs w:val="24"/>
          <w:lang w:eastAsia="en-GB"/>
        </w:rPr>
        <w:t>Babbitt v. Quik-Way Lube &amp; Tire, Inc., </w:t>
      </w:r>
      <w:hyperlink r:id="rId27" w:anchor="p210" w:history="1">
        <w:r w:rsidRPr="00AE7B05">
          <w:rPr>
            <w:rFonts w:ascii="Georgia" w:eastAsia="Times New Roman" w:hAnsi="Georgia" w:cs="Times New Roman"/>
            <w:color w:val="007BFF"/>
            <w:sz w:val="24"/>
            <w:szCs w:val="24"/>
            <w:lang w:eastAsia="en-GB"/>
          </w:rPr>
          <w:t>313 Ark. 207</w:t>
        </w:r>
      </w:hyperlink>
      <w:r w:rsidRPr="00AE7B05">
        <w:rPr>
          <w:rFonts w:ascii="Georgia" w:eastAsia="Times New Roman" w:hAnsi="Georgia" w:cs="Times New Roman"/>
          <w:sz w:val="24"/>
          <w:szCs w:val="24"/>
          <w:lang w:eastAsia="en-GB"/>
        </w:rPr>
        <w:t>, 210, </w:t>
      </w:r>
      <w:r w:rsidRPr="00AE7B05">
        <w:rPr>
          <w:rFonts w:ascii="Georgia" w:eastAsia="Times New Roman" w:hAnsi="Georgia" w:cs="Times New Roman"/>
          <w:color w:val="007BFF"/>
          <w:sz w:val="24"/>
          <w:szCs w:val="24"/>
          <w:lang w:eastAsia="en-GB"/>
        </w:rPr>
        <w:t>853 S.W.2d 273</w:t>
      </w:r>
      <w:r w:rsidRPr="00AE7B05">
        <w:rPr>
          <w:rFonts w:ascii="Georgia" w:eastAsia="Times New Roman" w:hAnsi="Georgia" w:cs="Times New Roman"/>
          <w:sz w:val="24"/>
          <w:szCs w:val="24"/>
          <w:lang w:eastAsia="en-GB"/>
        </w:rPr>
        <w:t>, 275 (1993).</w:t>
      </w:r>
    </w:p>
    <w:p w14:paraId="447F01D0"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Appellants argue that Markley opened the door to questions about his workers’compensation benefits. The relevant testimony occurred when Markley was asked whose idea it was for him to return to work. He replied that it was his idea to return to work because he was going to have bills to pay. Appellants claim that Markley’s statement fits squarely into the exception allowing collateral-source testimony when one testifies that financial necessity required that he or she return to work.</w:t>
      </w:r>
    </w:p>
    <w:p w14:paraId="447F01D1" w14:textId="3C410094"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 ^Markley responds by arguing that this statement was too vague for the exception to apply, and we agree. The circuit court is in the best position to judge whether testimony indicated that Markley was compelled by financial necessity to return to work prematurely and whether it was misleading. Es</w:t>
      </w:r>
      <w:r w:rsidRPr="00AE7B05">
        <w:rPr>
          <w:rFonts w:ascii="Georgia" w:eastAsia="Times New Roman" w:hAnsi="Georgia" w:cs="Times New Roman"/>
          <w:i/>
          <w:iCs/>
          <w:sz w:val="24"/>
          <w:szCs w:val="24"/>
          <w:lang w:eastAsia="en-GB"/>
        </w:rPr>
        <w:t>ry v. Carden, </w:t>
      </w:r>
      <w:hyperlink r:id="rId28" w:history="1">
        <w:r w:rsidRPr="00AE7B05">
          <w:rPr>
            <w:rFonts w:ascii="Georgia" w:eastAsia="Times New Roman" w:hAnsi="Georgia" w:cs="Times New Roman"/>
            <w:color w:val="007BFF"/>
            <w:sz w:val="24"/>
            <w:szCs w:val="24"/>
            <w:lang w:eastAsia="en-GB"/>
          </w:rPr>
          <w:t>328 Ark. 153</w:t>
        </w:r>
      </w:hyperlink>
      <w:r w:rsidRPr="00AE7B05">
        <w:rPr>
          <w:rFonts w:ascii="Georgia" w:eastAsia="Times New Roman" w:hAnsi="Georgia" w:cs="Times New Roman"/>
          <w:sz w:val="24"/>
          <w:szCs w:val="24"/>
          <w:lang w:eastAsia="en-GB"/>
        </w:rPr>
        <w:t>, </w:t>
      </w:r>
      <w:r w:rsidRPr="00AE7B05">
        <w:rPr>
          <w:rFonts w:ascii="Georgia" w:eastAsia="Times New Roman" w:hAnsi="Georgia" w:cs="Times New Roman"/>
          <w:color w:val="007BFF"/>
          <w:sz w:val="24"/>
          <w:szCs w:val="24"/>
          <w:lang w:eastAsia="en-GB"/>
        </w:rPr>
        <w:t>942 S.W.2d 846</w:t>
      </w:r>
      <w:r w:rsidRPr="00AE7B05">
        <w:rPr>
          <w:rFonts w:ascii="Georgia" w:eastAsia="Times New Roman" w:hAnsi="Georgia" w:cs="Times New Roman"/>
          <w:sz w:val="24"/>
          <w:szCs w:val="24"/>
          <w:lang w:eastAsia="en-GB"/>
        </w:rPr>
        <w:t> (1997). With this standard in mind, we hold that the circuit court did not abuse its discretion by refusing to allow this questioning.</w:t>
      </w:r>
    </w:p>
    <w:p w14:paraId="447F01D2"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Furthermore, we hold that any error that could have stemmed from this ruling was rendered harmless by later events at trial. Based on later testimony, the circuit court issued a cautionary instruction to the jury that it was not to reduce Markley’s damages based on worker’s-compensation benefits received. With this instruction, any potential prejudice that resulted from Markley’s testimony was cured.</w:t>
      </w:r>
    </w:p>
    <w:p w14:paraId="447F01D3"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B.Joe Shrum’s Deposition Testimony</w:t>
      </w:r>
    </w:p>
    <w:p w14:paraId="447F01D4" w14:textId="75BFB92D"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Next, appellants focus their attention on whether the circuit court abused its discretion by refusing to allow the introduction of the deposition testimony of Joe Shrum, the owner and president of MCTC. Appellants filed a motion in limine seeking to introduce Shrum’s deposition testimony after their attempts to subpoena him were unsuccessful. Appellants’ motion in limine was brought to the attention of the circuit court and discussed, but the circuit court did not rule on the motion. Instead, the circuit court announced that it would not be inclined to grant the motion but instructed appellants to direct it to caselaw supporting their position. The issue was never addressed again, and no ruling was made. The failure to obtain a ruling from the circuit court on an issue precludes appellate review lnof the issue. </w:t>
      </w:r>
      <w:r w:rsidRPr="00AE7B05">
        <w:rPr>
          <w:rFonts w:ascii="Georgia" w:eastAsia="Times New Roman" w:hAnsi="Georgia" w:cs="Times New Roman"/>
          <w:i/>
          <w:iCs/>
          <w:sz w:val="24"/>
          <w:szCs w:val="24"/>
          <w:lang w:eastAsia="en-GB"/>
        </w:rPr>
        <w:t>Meador v. Total Compliance Consultants, Inc., </w:t>
      </w:r>
      <w:hyperlink r:id="rId29" w:history="1">
        <w:r w:rsidRPr="00AE7B05">
          <w:rPr>
            <w:rFonts w:ascii="Georgia" w:eastAsia="Times New Roman" w:hAnsi="Georgia" w:cs="Times New Roman"/>
            <w:color w:val="007BFF"/>
            <w:sz w:val="24"/>
            <w:szCs w:val="24"/>
            <w:lang w:eastAsia="en-GB"/>
          </w:rPr>
          <w:t>2013 Ark. 22</w:t>
        </w:r>
      </w:hyperlink>
      <w:r w:rsidRPr="00AE7B05">
        <w:rPr>
          <w:rFonts w:ascii="Georgia" w:eastAsia="Times New Roman" w:hAnsi="Georgia" w:cs="Times New Roman"/>
          <w:sz w:val="24"/>
          <w:szCs w:val="24"/>
          <w:lang w:eastAsia="en-GB"/>
        </w:rPr>
        <w:t>, </w:t>
      </w:r>
      <w:r w:rsidRPr="00AE7B05">
        <w:rPr>
          <w:rFonts w:ascii="Georgia" w:eastAsia="Times New Roman" w:hAnsi="Georgia" w:cs="Times New Roman"/>
          <w:color w:val="007BFF"/>
          <w:sz w:val="24"/>
          <w:szCs w:val="24"/>
          <w:lang w:eastAsia="en-GB"/>
        </w:rPr>
        <w:t>425 S.W.3d 718</w:t>
      </w:r>
      <w:r w:rsidRPr="00AE7B05">
        <w:rPr>
          <w:rFonts w:ascii="Georgia" w:eastAsia="Times New Roman" w:hAnsi="Georgia" w:cs="Times New Roman"/>
          <w:sz w:val="24"/>
          <w:szCs w:val="24"/>
          <w:lang w:eastAsia="en-GB"/>
        </w:rPr>
        <w:t>. Accordingly, we summarily affirm the exclusion of Shrum’s deposition testimony.</w:t>
      </w:r>
    </w:p>
    <w:p w14:paraId="447F01D5"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C.Hypothetical Compliance with Safety Regulations</w:t>
      </w:r>
    </w:p>
    <w:p w14:paraId="447F01D6"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As a final evidentiary challenge, appellants argue that the circuit court abused its discretion by allowing testimony that, </w:t>
      </w:r>
      <w:hyperlink r:id="rId30" w:anchor="p276" w:history="1">
        <w:r w:rsidRPr="00AE7B05">
          <w:rPr>
            <w:rFonts w:ascii="Georgia" w:eastAsia="Times New Roman" w:hAnsi="Georgia" w:cs="Times New Roman"/>
            <w:i/>
            <w:iCs/>
            <w:color w:val="979797"/>
            <w:sz w:val="19"/>
            <w:szCs w:val="19"/>
            <w:lang w:eastAsia="en-GB"/>
          </w:rPr>
          <w:t>*276</w:t>
        </w:r>
      </w:hyperlink>
      <w:r w:rsidRPr="00AE7B05">
        <w:rPr>
          <w:rFonts w:ascii="Georgia" w:eastAsia="Times New Roman" w:hAnsi="Georgia" w:cs="Times New Roman"/>
          <w:sz w:val="24"/>
          <w:szCs w:val="24"/>
          <w:lang w:eastAsia="en-GB"/>
        </w:rPr>
        <w:t>hypothetically, had Markley complied with safety regulations, his injuries would have been worse. This testimony was offered by Markley, Dr. Luke Knox, and MCTO’s OSHA consultant Kim Shelton. Appellants contend that this testimony was improperly admitted because it was too speculative and prejudicial.</w:t>
      </w:r>
    </w:p>
    <w:p w14:paraId="447F01D7" w14:textId="648E262E"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We begin by considering Mark-ley’s testimony. When questioned by appellants on cross-examination, Markley testified that he was glad he had not been wearing his harness because Shelton told him that wearing it could have resulted in his death or much more severe injuries. Appellants elicited the allegedly speculative and prejudicial testimony from Mark-ley and failed to object to it when elicited. Because an appellant may not complain of an erroneous action of a circuit court on appeal if he or she has induced or acquiesced in that action, we affirm the introduction of Markley’s testimony. </w:t>
      </w:r>
      <w:r w:rsidRPr="00AE7B05">
        <w:rPr>
          <w:rFonts w:ascii="Georgia" w:eastAsia="Times New Roman" w:hAnsi="Georgia" w:cs="Times New Roman"/>
          <w:i/>
          <w:iCs/>
          <w:sz w:val="24"/>
          <w:szCs w:val="24"/>
          <w:lang w:eastAsia="en-GB"/>
        </w:rPr>
        <w:t>Riley v. State Farm Mut. Auto. Ins. Co., </w:t>
      </w:r>
      <w:r w:rsidRPr="00AE7B05">
        <w:rPr>
          <w:rFonts w:ascii="Georgia" w:eastAsia="Times New Roman" w:hAnsi="Georgia" w:cs="Times New Roman"/>
          <w:color w:val="007BFF"/>
          <w:sz w:val="24"/>
          <w:szCs w:val="24"/>
          <w:lang w:eastAsia="en-GB"/>
        </w:rPr>
        <w:t>2011 Ark. 256</w:t>
      </w:r>
      <w:r w:rsidRPr="00AE7B05">
        <w:rPr>
          <w:rFonts w:ascii="Georgia" w:eastAsia="Times New Roman" w:hAnsi="Georgia" w:cs="Times New Roman"/>
          <w:sz w:val="24"/>
          <w:szCs w:val="24"/>
          <w:lang w:eastAsia="en-GB"/>
        </w:rPr>
        <w:t>, at 10, </w:t>
      </w:r>
      <w:hyperlink r:id="rId31" w:anchor="p847" w:history="1">
        <w:r w:rsidRPr="00AE7B05">
          <w:rPr>
            <w:rFonts w:ascii="Georgia" w:eastAsia="Times New Roman" w:hAnsi="Georgia" w:cs="Times New Roman"/>
            <w:color w:val="007BFF"/>
            <w:sz w:val="24"/>
            <w:szCs w:val="24"/>
            <w:lang w:eastAsia="en-GB"/>
          </w:rPr>
          <w:t>381 S.W.3d 840</w:t>
        </w:r>
      </w:hyperlink>
      <w:r w:rsidRPr="00AE7B05">
        <w:rPr>
          <w:rFonts w:ascii="Georgia" w:eastAsia="Times New Roman" w:hAnsi="Georgia" w:cs="Times New Roman"/>
          <w:sz w:val="24"/>
          <w:szCs w:val="24"/>
          <w:lang w:eastAsia="en-GB"/>
        </w:rPr>
        <w:t>, 847.</w:t>
      </w:r>
    </w:p>
    <w:p w14:paraId="447F01D8" w14:textId="20486218"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Next, we turn our attention to Dr. Luke Knox’s testimony. Dr. Knox testified that if Markley had worn his safety harness, Markley would have sustained a whip injury and that his death would have been likely. Dr. Knox served as an expert witness in this case, and because he was qualified as an expert, he was qualified to respond to hypothetical questions and render opinion testimony. </w:t>
      </w:r>
      <w:r w:rsidRPr="00AE7B05">
        <w:rPr>
          <w:rFonts w:ascii="Georgia" w:eastAsia="Times New Roman" w:hAnsi="Georgia" w:cs="Times New Roman"/>
          <w:i/>
          <w:iCs/>
          <w:sz w:val="24"/>
          <w:szCs w:val="24"/>
          <w:lang w:eastAsia="en-GB"/>
        </w:rPr>
        <w:t>Garst v. Cullum, </w:t>
      </w:r>
      <w:r w:rsidRPr="00AE7B05">
        <w:rPr>
          <w:rFonts w:ascii="Georgia" w:eastAsia="Times New Roman" w:hAnsi="Georgia" w:cs="Times New Roman"/>
          <w:color w:val="007BFF"/>
          <w:sz w:val="24"/>
          <w:szCs w:val="24"/>
          <w:lang w:eastAsia="en-GB"/>
        </w:rPr>
        <w:t>291 Ark. 512</w:t>
      </w:r>
      <w:r w:rsidRPr="00AE7B05">
        <w:rPr>
          <w:rFonts w:ascii="Georgia" w:eastAsia="Times New Roman" w:hAnsi="Georgia" w:cs="Times New Roman"/>
          <w:sz w:val="24"/>
          <w:szCs w:val="24"/>
          <w:lang w:eastAsia="en-GB"/>
        </w:rPr>
        <w:t>, </w:t>
      </w:r>
      <w:hyperlink r:id="rId32" w:history="1">
        <w:r w:rsidRPr="00AE7B05">
          <w:rPr>
            <w:rFonts w:ascii="Georgia" w:eastAsia="Times New Roman" w:hAnsi="Georgia" w:cs="Times New Roman"/>
            <w:color w:val="007BFF"/>
            <w:sz w:val="24"/>
            <w:szCs w:val="24"/>
            <w:lang w:eastAsia="en-GB"/>
          </w:rPr>
          <w:t>726 S.W.2d 271</w:t>
        </w:r>
      </w:hyperlink>
      <w:r w:rsidRPr="00AE7B05">
        <w:rPr>
          <w:rFonts w:ascii="Georgia" w:eastAsia="Times New Roman" w:hAnsi="Georgia" w:cs="Times New Roman"/>
          <w:sz w:val="24"/>
          <w:szCs w:val="24"/>
          <w:lang w:eastAsia="en-GB"/>
        </w:rPr>
        <w:t> (1987).</w:t>
      </w:r>
    </w:p>
    <w:p w14:paraId="447F01D9" w14:textId="447F266E"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|1gAn important consideration is whether Dr. Knox was qualified as an expert on this precise issue. Appellants contend that, although he was an expert, he was not qualified to opine on this subject. Dr. Knox was voir dired on his qualifications to provide this type of testimony, and Dr. Knox explained that, based on his years of practice, he was an expert in the mechanics of injury. Understanding that the circuit court has broad discretion in evidentiary matters and that the relative weakness and strength of the factual underpinning of his opinion goes to the weight and credibility rather than admissibility, we hold that the circuit court was within its discretion to allow this testimony. </w:t>
      </w:r>
      <w:r w:rsidRPr="00AE7B05">
        <w:rPr>
          <w:rFonts w:ascii="Georgia" w:eastAsia="Times New Roman" w:hAnsi="Georgia" w:cs="Times New Roman"/>
          <w:i/>
          <w:iCs/>
          <w:sz w:val="24"/>
          <w:szCs w:val="24"/>
          <w:lang w:eastAsia="en-GB"/>
        </w:rPr>
        <w:t>Ark, State Highway Comm’n v. Schell, </w:t>
      </w:r>
      <w:r w:rsidRPr="00AE7B05">
        <w:rPr>
          <w:rFonts w:ascii="Georgia" w:eastAsia="Times New Roman" w:hAnsi="Georgia" w:cs="Times New Roman"/>
          <w:color w:val="007BFF"/>
          <w:sz w:val="24"/>
          <w:szCs w:val="24"/>
          <w:lang w:eastAsia="en-GB"/>
        </w:rPr>
        <w:t>13 Ark. App. 293</w:t>
      </w:r>
      <w:r w:rsidRPr="00AE7B05">
        <w:rPr>
          <w:rFonts w:ascii="Georgia" w:eastAsia="Times New Roman" w:hAnsi="Georgia" w:cs="Times New Roman"/>
          <w:sz w:val="24"/>
          <w:szCs w:val="24"/>
          <w:lang w:eastAsia="en-GB"/>
        </w:rPr>
        <w:t>, </w:t>
      </w:r>
      <w:hyperlink r:id="rId33" w:history="1">
        <w:r w:rsidRPr="00AE7B05">
          <w:rPr>
            <w:rFonts w:ascii="Georgia" w:eastAsia="Times New Roman" w:hAnsi="Georgia" w:cs="Times New Roman"/>
            <w:color w:val="007BFF"/>
            <w:sz w:val="24"/>
            <w:szCs w:val="24"/>
            <w:lang w:eastAsia="en-GB"/>
          </w:rPr>
          <w:t>683 S.W.2d 618</w:t>
        </w:r>
      </w:hyperlink>
      <w:r w:rsidRPr="00AE7B05">
        <w:rPr>
          <w:rFonts w:ascii="Georgia" w:eastAsia="Times New Roman" w:hAnsi="Georgia" w:cs="Times New Roman"/>
          <w:sz w:val="24"/>
          <w:szCs w:val="24"/>
          <w:lang w:eastAsia="en-GB"/>
        </w:rPr>
        <w:t> (1985).</w:t>
      </w:r>
    </w:p>
    <w:p w14:paraId="447F01DA" w14:textId="4DB67F4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Finally, we consider Kim Shelton’s testimony. Shelton testified that, had Markley been wearing a harness, he would have catapulted. Markley contends that Shelton’s testimony does not apply to the error alleged by appellants, and we agree. Appellants argue that the circuit court erred by allowing testimony that Mark-ley’s injuries would have been worse if he had been wearing a safety harness, and Shelton did not offer testimony regarding the extent of his injuries. Furthermore, we acknowledge that “[e]videntiary error is harmless if the same or similar evidence is otherwise introduced at trial.” </w:t>
      </w:r>
      <w:r w:rsidRPr="00AE7B05">
        <w:rPr>
          <w:rFonts w:ascii="Georgia" w:eastAsia="Times New Roman" w:hAnsi="Georgia" w:cs="Times New Roman"/>
          <w:i/>
          <w:iCs/>
          <w:sz w:val="24"/>
          <w:szCs w:val="24"/>
          <w:lang w:eastAsia="en-GB"/>
        </w:rPr>
        <w:t>Williams v. Sw. Bell Tel. Co., </w:t>
      </w:r>
      <w:r w:rsidRPr="00AE7B05">
        <w:rPr>
          <w:rFonts w:ascii="Georgia" w:eastAsia="Times New Roman" w:hAnsi="Georgia" w:cs="Times New Roman"/>
          <w:color w:val="007BFF"/>
          <w:sz w:val="24"/>
          <w:szCs w:val="24"/>
          <w:lang w:eastAsia="en-GB"/>
        </w:rPr>
        <w:t>319 Ark. 626</w:t>
      </w:r>
      <w:r w:rsidRPr="00AE7B05">
        <w:rPr>
          <w:rFonts w:ascii="Georgia" w:eastAsia="Times New Roman" w:hAnsi="Georgia" w:cs="Times New Roman"/>
          <w:sz w:val="24"/>
          <w:szCs w:val="24"/>
          <w:lang w:eastAsia="en-GB"/>
        </w:rPr>
        <w:t>, 631, </w:t>
      </w:r>
      <w:hyperlink r:id="rId34" w:anchor="p631" w:history="1">
        <w:r w:rsidRPr="00AE7B05">
          <w:rPr>
            <w:rFonts w:ascii="Georgia" w:eastAsia="Times New Roman" w:hAnsi="Georgia" w:cs="Times New Roman"/>
            <w:color w:val="007BFF"/>
            <w:sz w:val="24"/>
            <w:szCs w:val="24"/>
            <w:lang w:eastAsia="en-GB"/>
          </w:rPr>
          <w:t>893 S.W.2d 770</w:t>
        </w:r>
      </w:hyperlink>
      <w:r w:rsidRPr="00AE7B05">
        <w:rPr>
          <w:rFonts w:ascii="Georgia" w:eastAsia="Times New Roman" w:hAnsi="Georgia" w:cs="Times New Roman"/>
          <w:sz w:val="24"/>
          <w:szCs w:val="24"/>
          <w:lang w:eastAsia="en-GB"/>
        </w:rPr>
        <w:t>, 773 (1995). Any error arising out of the admission of Shelton’s testimony was not prejudicial because of our holding that the circuit court did not err by admitting similar testimony through Markley and Dr. Knox.</w:t>
      </w:r>
    </w:p>
    <w:p w14:paraId="447F01DB"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9A64D5">
        <w:rPr>
          <w:rFonts w:ascii="Georgia" w:eastAsia="Times New Roman" w:hAnsi="Georgia" w:cs="Times New Roman"/>
          <w:sz w:val="24"/>
          <w:szCs w:val="24"/>
          <w:highlight w:val="red"/>
          <w:lang w:eastAsia="en-GB"/>
        </w:rPr>
        <w:t>Affirmed.</w:t>
      </w:r>
    </w:p>
    <w:p w14:paraId="447F01DC" w14:textId="77777777" w:rsidR="00AE7B05" w:rsidRPr="00AE7B05" w:rsidRDefault="00AE7B05" w:rsidP="00AE7B05">
      <w:pPr>
        <w:spacing w:before="100" w:beforeAutospacing="1" w:after="225"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Gruber, C.J., and Gladwin, J., agree.</w:t>
      </w:r>
    </w:p>
    <w:p w14:paraId="447F01DD" w14:textId="7062175B" w:rsidR="00AE7B05" w:rsidRPr="00AE7B05" w:rsidRDefault="00AE7B05" w:rsidP="00AE7B05">
      <w:pPr>
        <w:spacing w:after="0" w:line="240" w:lineRule="auto"/>
        <w:rPr>
          <w:rFonts w:ascii="Times New Roman" w:eastAsia="Times New Roman" w:hAnsi="Times New Roman" w:cs="Times New Roman"/>
          <w:sz w:val="24"/>
          <w:szCs w:val="24"/>
          <w:lang w:eastAsia="en-GB"/>
        </w:rPr>
      </w:pPr>
      <w:r w:rsidRPr="00AE7B05">
        <w:rPr>
          <w:rFonts w:ascii="Georgia" w:eastAsia="Times New Roman" w:hAnsi="Georgia" w:cs="Times New Roman"/>
          <w:b/>
          <w:bCs/>
          <w:color w:val="E878FF"/>
          <w:sz w:val="24"/>
          <w:szCs w:val="24"/>
          <w:lang w:eastAsia="en-GB"/>
        </w:rPr>
        <w:t>1</w:t>
      </w:r>
    </w:p>
    <w:p w14:paraId="447F01DE" w14:textId="77777777" w:rsidR="00AE7B05" w:rsidRPr="00AE7B05" w:rsidRDefault="00AE7B05" w:rsidP="00AE7B05">
      <w:pPr>
        <w:spacing w:after="120"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 Roy Elsey and Roy’s Body Shop were dismissed from the case without prejudice.</w:t>
      </w:r>
    </w:p>
    <w:p w14:paraId="447F01DF" w14:textId="77777777" w:rsidR="00AE7B05" w:rsidRPr="00AE7B05" w:rsidRDefault="00D12393" w:rsidP="00AE7B05">
      <w:pPr>
        <w:spacing w:after="0" w:line="240" w:lineRule="auto"/>
        <w:rPr>
          <w:rFonts w:ascii="Times New Roman" w:eastAsia="Times New Roman" w:hAnsi="Times New Roman" w:cs="Times New Roman"/>
          <w:sz w:val="24"/>
          <w:szCs w:val="24"/>
          <w:lang w:eastAsia="en-GB"/>
        </w:rPr>
      </w:pPr>
      <w:hyperlink r:id="rId35" w:anchor="ref_footnote_1_2" w:history="1">
        <w:r w:rsidR="00AE7B05" w:rsidRPr="00AE7B05">
          <w:rPr>
            <w:rFonts w:ascii="Georgia" w:eastAsia="Times New Roman" w:hAnsi="Georgia" w:cs="Times New Roman"/>
            <w:b/>
            <w:bCs/>
            <w:color w:val="E878FF"/>
            <w:sz w:val="24"/>
            <w:szCs w:val="24"/>
            <w:lang w:eastAsia="en-GB"/>
          </w:rPr>
          <w:t>2</w:t>
        </w:r>
      </w:hyperlink>
    </w:p>
    <w:p w14:paraId="447F01E0" w14:textId="77777777" w:rsidR="00AE7B05" w:rsidRPr="00AE7B05" w:rsidRDefault="00AE7B05" w:rsidP="00AE7B05">
      <w:pPr>
        <w:spacing w:after="120" w:line="240" w:lineRule="auto"/>
        <w:rPr>
          <w:rFonts w:ascii="Georgia" w:eastAsia="Times New Roman" w:hAnsi="Georgia" w:cs="Times New Roman"/>
          <w:sz w:val="24"/>
          <w:szCs w:val="24"/>
          <w:lang w:eastAsia="en-GB"/>
        </w:rPr>
      </w:pPr>
      <w:r w:rsidRPr="00AE7B05">
        <w:rPr>
          <w:rFonts w:ascii="Georgia" w:eastAsia="Times New Roman" w:hAnsi="Georgia" w:cs="Times New Roman"/>
          <w:sz w:val="24"/>
          <w:szCs w:val="24"/>
          <w:lang w:eastAsia="en-GB"/>
        </w:rPr>
        <w:t>. For the remaining points on appeal, we refer to R&amp;L and Wethington as appellants.</w:t>
      </w:r>
    </w:p>
    <w:p w14:paraId="447F01E1" w14:textId="77777777" w:rsidR="003C7770" w:rsidRDefault="003C7770"/>
    <w:p w14:paraId="447F01E2" w14:textId="77777777" w:rsidR="00084B66" w:rsidRDefault="00084B66"/>
    <w:p w14:paraId="447F01E3"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47F01E4" w14:textId="77777777" w:rsidR="00084B66" w:rsidRDefault="009A64D5" w:rsidP="009A64D5">
      <w:r>
        <w:rPr>
          <w:rFonts w:ascii="Georgia" w:eastAsia="Times New Roman" w:hAnsi="Georgia" w:cs="Times New Roman"/>
          <w:sz w:val="28"/>
          <w:szCs w:val="24"/>
          <w:lang w:eastAsia="en-GB"/>
        </w:rPr>
        <w:t>Plaintiff was repairing a low-hanging telephone line when defendant snagged the low-hanging line with his eighteen-wheeler, causing severe injuries to plaintiff. Plaintiff sued the driver and the driver’s employer. The jury found the plaintiff and defendants 35% and 65% guilty respectively. Following the judgment, defendants filed for a directed verdict or new trial, which the trail court denied. The appellate court affirmed the denial.</w:t>
      </w:r>
    </w:p>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946F8"/>
    <w:rsid w:val="0036748D"/>
    <w:rsid w:val="003C7770"/>
    <w:rsid w:val="007B3E7C"/>
    <w:rsid w:val="007F65FE"/>
    <w:rsid w:val="009A64D5"/>
    <w:rsid w:val="009B12AE"/>
    <w:rsid w:val="00A03A79"/>
    <w:rsid w:val="00AD3AEE"/>
    <w:rsid w:val="00AE7B05"/>
    <w:rsid w:val="00C765D8"/>
    <w:rsid w:val="00D12393"/>
    <w:rsid w:val="00E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01AC"/>
  <w15:docId w15:val="{CA482F04-8783-4255-BAB2-7B0D3B0F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2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12109">
          <w:marLeft w:val="0"/>
          <w:marRight w:val="0"/>
          <w:marTop w:val="0"/>
          <w:marBottom w:val="0"/>
          <w:divBdr>
            <w:top w:val="none" w:sz="0" w:space="0" w:color="auto"/>
            <w:left w:val="none" w:sz="0" w:space="0" w:color="auto"/>
            <w:bottom w:val="none" w:sz="0" w:space="0" w:color="auto"/>
            <w:right w:val="none" w:sz="0" w:space="0" w:color="auto"/>
          </w:divBdr>
        </w:div>
        <w:div w:id="642154022">
          <w:marLeft w:val="0"/>
          <w:marRight w:val="0"/>
          <w:marTop w:val="0"/>
          <w:marBottom w:val="0"/>
          <w:divBdr>
            <w:top w:val="none" w:sz="0" w:space="0" w:color="auto"/>
            <w:left w:val="none" w:sz="0" w:space="0" w:color="auto"/>
            <w:bottom w:val="none" w:sz="0" w:space="0" w:color="auto"/>
            <w:right w:val="none" w:sz="0" w:space="0" w:color="auto"/>
          </w:divBdr>
        </w:div>
        <w:div w:id="1006901471">
          <w:marLeft w:val="0"/>
          <w:marRight w:val="0"/>
          <w:marTop w:val="0"/>
          <w:marBottom w:val="0"/>
          <w:divBdr>
            <w:top w:val="none" w:sz="0" w:space="0" w:color="auto"/>
            <w:left w:val="none" w:sz="0" w:space="0" w:color="auto"/>
            <w:bottom w:val="none" w:sz="0" w:space="0" w:color="auto"/>
            <w:right w:val="none" w:sz="0" w:space="0" w:color="auto"/>
          </w:divBdr>
          <w:divsChild>
            <w:div w:id="678969003">
              <w:marLeft w:val="1417"/>
              <w:marRight w:val="0"/>
              <w:marTop w:val="0"/>
              <w:marBottom w:val="0"/>
              <w:divBdr>
                <w:top w:val="none" w:sz="0" w:space="0" w:color="auto"/>
                <w:left w:val="none" w:sz="0" w:space="0" w:color="auto"/>
                <w:bottom w:val="none" w:sz="0" w:space="0" w:color="auto"/>
                <w:right w:val="none" w:sz="0" w:space="0" w:color="auto"/>
              </w:divBdr>
            </w:div>
          </w:divsChild>
        </w:div>
        <w:div w:id="101249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8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9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3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2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6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248">
      <w:bodyDiv w:val="1"/>
      <w:marLeft w:val="0"/>
      <w:marRight w:val="0"/>
      <w:marTop w:val="0"/>
      <w:marBottom w:val="0"/>
      <w:divBdr>
        <w:top w:val="none" w:sz="0" w:space="0" w:color="auto"/>
        <w:left w:val="none" w:sz="0" w:space="0" w:color="auto"/>
        <w:bottom w:val="none" w:sz="0" w:space="0" w:color="auto"/>
        <w:right w:val="none" w:sz="0" w:space="0" w:color="auto"/>
      </w:divBdr>
      <w:divsChild>
        <w:div w:id="1093165030">
          <w:marLeft w:val="0"/>
          <w:marRight w:val="0"/>
          <w:marTop w:val="0"/>
          <w:marBottom w:val="0"/>
          <w:divBdr>
            <w:top w:val="none" w:sz="0" w:space="0" w:color="auto"/>
            <w:left w:val="none" w:sz="0" w:space="0" w:color="auto"/>
            <w:bottom w:val="none" w:sz="0" w:space="0" w:color="auto"/>
            <w:right w:val="none" w:sz="0" w:space="0" w:color="auto"/>
          </w:divBdr>
        </w:div>
        <w:div w:id="770978145">
          <w:marLeft w:val="0"/>
          <w:marRight w:val="0"/>
          <w:marTop w:val="0"/>
          <w:marBottom w:val="0"/>
          <w:divBdr>
            <w:top w:val="none" w:sz="0" w:space="0" w:color="auto"/>
            <w:left w:val="none" w:sz="0" w:space="0" w:color="auto"/>
            <w:bottom w:val="none" w:sz="0" w:space="0" w:color="auto"/>
            <w:right w:val="none" w:sz="0" w:space="0" w:color="auto"/>
          </w:divBdr>
        </w:div>
        <w:div w:id="523789440">
          <w:marLeft w:val="0"/>
          <w:marRight w:val="0"/>
          <w:marTop w:val="0"/>
          <w:marBottom w:val="0"/>
          <w:divBdr>
            <w:top w:val="none" w:sz="0" w:space="0" w:color="auto"/>
            <w:left w:val="none" w:sz="0" w:space="0" w:color="auto"/>
            <w:bottom w:val="none" w:sz="0" w:space="0" w:color="auto"/>
            <w:right w:val="none" w:sz="0" w:space="0" w:color="auto"/>
          </w:divBdr>
          <w:divsChild>
            <w:div w:id="1642269023">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03/109/" TargetMode="External"/><Relationship Id="rId18" Type="http://schemas.openxmlformats.org/officeDocument/2006/relationships/hyperlink" Target="https://cite.case.law/ark/345/476/" TargetMode="External"/><Relationship Id="rId26" Type="http://schemas.openxmlformats.org/officeDocument/2006/relationships/hyperlink" Target="https://cite.case.law/ark-app/85/231/" TargetMode="External"/><Relationship Id="rId21" Type="http://schemas.openxmlformats.org/officeDocument/2006/relationships/hyperlink" Target="https://cite.case.law/ark/345/476/" TargetMode="External"/><Relationship Id="rId34" Type="http://schemas.openxmlformats.org/officeDocument/2006/relationships/hyperlink" Target="https://cite.case.law/ark/319/626/" TargetMode="External"/><Relationship Id="rId7" Type="http://schemas.openxmlformats.org/officeDocument/2006/relationships/hyperlink" Target="https://cite.case.law/sw3d/520/268/" TargetMode="External"/><Relationship Id="rId12" Type="http://schemas.openxmlformats.org/officeDocument/2006/relationships/hyperlink" Target="https://cite.case.law/sw3d/376/435/" TargetMode="External"/><Relationship Id="rId17" Type="http://schemas.openxmlformats.org/officeDocument/2006/relationships/hyperlink" Target="https://cite.case.law/ark/336/12/" TargetMode="External"/><Relationship Id="rId25" Type="http://schemas.openxmlformats.org/officeDocument/2006/relationships/hyperlink" Target="https://cite.case.law/ark-app/85/231/" TargetMode="External"/><Relationship Id="rId33" Type="http://schemas.openxmlformats.org/officeDocument/2006/relationships/hyperlink" Target="https://cite.case.law/ark-app/13/293/" TargetMode="External"/><Relationship Id="rId2" Type="http://schemas.openxmlformats.org/officeDocument/2006/relationships/settings" Target="settings.xml"/><Relationship Id="rId16" Type="http://schemas.openxmlformats.org/officeDocument/2006/relationships/hyperlink" Target="https://cite.case.law/ark/363/530/" TargetMode="External"/><Relationship Id="rId20" Type="http://schemas.openxmlformats.org/officeDocument/2006/relationships/hyperlink" Target="https://cite.case.law/ark/310/624/" TargetMode="External"/><Relationship Id="rId29" Type="http://schemas.openxmlformats.org/officeDocument/2006/relationships/hyperlink" Target="https://cite.case.law/sw3d/425/718/" TargetMode="External"/><Relationship Id="rId1" Type="http://schemas.openxmlformats.org/officeDocument/2006/relationships/styles" Target="styles.xml"/><Relationship Id="rId6" Type="http://schemas.openxmlformats.org/officeDocument/2006/relationships/hyperlink" Target="https://cite.case.law/sw3d/453/667/" TargetMode="External"/><Relationship Id="rId11" Type="http://schemas.openxmlformats.org/officeDocument/2006/relationships/hyperlink" Target="https://cite.case.law/ark/303/109/" TargetMode="External"/><Relationship Id="rId24" Type="http://schemas.openxmlformats.org/officeDocument/2006/relationships/hyperlink" Target="https://cite.case.law/sw3d/520/268/" TargetMode="External"/><Relationship Id="rId32" Type="http://schemas.openxmlformats.org/officeDocument/2006/relationships/hyperlink" Target="https://cite.case.law/ark/291/512/" TargetMode="External"/><Relationship Id="rId37" Type="http://schemas.openxmlformats.org/officeDocument/2006/relationships/theme" Target="theme/theme1.xml"/><Relationship Id="rId5" Type="http://schemas.openxmlformats.org/officeDocument/2006/relationships/hyperlink" Target="https://cite.case.law/sw3d/453/667/" TargetMode="External"/><Relationship Id="rId15" Type="http://schemas.openxmlformats.org/officeDocument/2006/relationships/hyperlink" Target="https://cite.case.law/sw3d/520/268/" TargetMode="External"/><Relationship Id="rId23" Type="http://schemas.openxmlformats.org/officeDocument/2006/relationships/hyperlink" Target="https://cite.case.law/sw3d/468/801/" TargetMode="External"/><Relationship Id="rId28" Type="http://schemas.openxmlformats.org/officeDocument/2006/relationships/hyperlink" Target="https://cite.case.law/ark/328/153/" TargetMode="External"/><Relationship Id="rId36" Type="http://schemas.openxmlformats.org/officeDocument/2006/relationships/fontTable" Target="fontTable.xml"/><Relationship Id="rId10" Type="http://schemas.openxmlformats.org/officeDocument/2006/relationships/hyperlink" Target="https://cite.case.law/ark/303/109/" TargetMode="External"/><Relationship Id="rId19" Type="http://schemas.openxmlformats.org/officeDocument/2006/relationships/hyperlink" Target="https://cite.case.law/sw3d/470/293/" TargetMode="External"/><Relationship Id="rId31" Type="http://schemas.openxmlformats.org/officeDocument/2006/relationships/hyperlink" Target="https://cite.case.law/sw3d/381/840/" TargetMode="External"/><Relationship Id="rId4" Type="http://schemas.openxmlformats.org/officeDocument/2006/relationships/hyperlink" Target="https://cite.case.law/sw3d/520/268/" TargetMode="External"/><Relationship Id="rId9" Type="http://schemas.openxmlformats.org/officeDocument/2006/relationships/hyperlink" Target="https://cite.case.law/ark/310/214/" TargetMode="External"/><Relationship Id="rId14" Type="http://schemas.openxmlformats.org/officeDocument/2006/relationships/hyperlink" Target="https://cite.case.law/sw3d/376/435/" TargetMode="External"/><Relationship Id="rId22" Type="http://schemas.openxmlformats.org/officeDocument/2006/relationships/hyperlink" Target="https://cite.case.law/ark/345/476/" TargetMode="External"/><Relationship Id="rId27" Type="http://schemas.openxmlformats.org/officeDocument/2006/relationships/hyperlink" Target="https://cite.case.law/ark/313/207/" TargetMode="External"/><Relationship Id="rId30" Type="http://schemas.openxmlformats.org/officeDocument/2006/relationships/hyperlink" Target="https://cite.case.law/sw3d/520/268/" TargetMode="External"/><Relationship Id="rId35" Type="http://schemas.openxmlformats.org/officeDocument/2006/relationships/hyperlink" Target="https://cite.case.law/sw3d/520/268/" TargetMode="External"/><Relationship Id="rId8" Type="http://schemas.openxmlformats.org/officeDocument/2006/relationships/hyperlink" Target="https://cite.case.law/ark/310/21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2024-09-17T13:44:00Z</dcterms:created>
  <dcterms:modified xsi:type="dcterms:W3CDTF">2024-09-17T13:44:00Z</dcterms:modified>
</cp:coreProperties>
</file>