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13AD3" w14:textId="77777777" w:rsidR="0074106A" w:rsidRPr="0074106A" w:rsidRDefault="0074106A" w:rsidP="0074106A">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74106A">
        <w:rPr>
          <w:rFonts w:ascii="Times New Roman" w:eastAsia="Times New Roman" w:hAnsi="Times New Roman" w:cs="Times New Roman"/>
          <w:b/>
          <w:bCs/>
          <w:color w:val="2F2F2F"/>
          <w:spacing w:val="3"/>
          <w:kern w:val="36"/>
          <w:sz w:val="35"/>
          <w:szCs w:val="35"/>
          <w:lang w:eastAsia="en-GB"/>
        </w:rPr>
        <w:t>Hadder v. Heritage Hill Manor, Inc., 495 S.W.3d 628, 2016 Ark. App. 303 (2016)</w:t>
      </w:r>
    </w:p>
    <w:p w14:paraId="03713AD4" w14:textId="77777777" w:rsidR="0074106A" w:rsidRPr="0074106A" w:rsidRDefault="0074106A" w:rsidP="0074106A">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74106A">
        <w:rPr>
          <w:rFonts w:ascii="Times New Roman" w:eastAsia="Times New Roman" w:hAnsi="Times New Roman" w:cs="Times New Roman"/>
          <w:color w:val="2F2F2F"/>
          <w:spacing w:val="3"/>
          <w:sz w:val="27"/>
          <w:szCs w:val="27"/>
          <w:lang w:eastAsia="en-GB"/>
        </w:rPr>
        <w:t>June 1, 2016 · Arkansas Court of Appeals · No. CV-15-837</w:t>
      </w:r>
    </w:p>
    <w:p w14:paraId="03713AD5" w14:textId="77777777" w:rsidR="0074106A" w:rsidRPr="0074106A" w:rsidRDefault="0074106A" w:rsidP="0074106A">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74106A">
        <w:rPr>
          <w:rFonts w:ascii="Times New Roman" w:eastAsia="Times New Roman" w:hAnsi="Times New Roman" w:cs="Times New Roman"/>
          <w:color w:val="2F2F2F"/>
          <w:spacing w:val="3"/>
          <w:sz w:val="27"/>
          <w:szCs w:val="27"/>
          <w:lang w:eastAsia="en-GB"/>
        </w:rPr>
        <w:t>495 S.W.3d 628, 2016 Ark. App. 303</w:t>
      </w:r>
    </w:p>
    <w:p w14:paraId="03713AD6" w14:textId="77777777" w:rsidR="0074106A" w:rsidRPr="0074106A" w:rsidRDefault="0074106A" w:rsidP="0074106A">
      <w:pPr>
        <w:shd w:val="clear" w:color="auto" w:fill="FFFFFF"/>
        <w:spacing w:after="0" w:line="240" w:lineRule="auto"/>
        <w:rPr>
          <w:rFonts w:ascii="Georgia" w:eastAsia="Times New Roman" w:hAnsi="Georgia" w:cs="Arial"/>
          <w:color w:val="2F2F2F"/>
          <w:spacing w:val="3"/>
          <w:sz w:val="30"/>
          <w:szCs w:val="30"/>
          <w:lang w:eastAsia="en-GB"/>
        </w:rPr>
      </w:pPr>
      <w:r w:rsidRPr="0074106A">
        <w:rPr>
          <w:rFonts w:ascii="Georgia" w:eastAsia="Times New Roman" w:hAnsi="Georgia" w:cs="Arial"/>
          <w:color w:val="2F2F2F"/>
          <w:spacing w:val="3"/>
          <w:sz w:val="30"/>
          <w:szCs w:val="30"/>
          <w:lang w:eastAsia="en-GB"/>
        </w:rPr>
        <w:t>Sandra HADDER, Appellant</w:t>
      </w:r>
      <w:r w:rsidRPr="0074106A">
        <w:rPr>
          <w:rFonts w:ascii="Georgia" w:eastAsia="Times New Roman" w:hAnsi="Georgia" w:cs="Arial"/>
          <w:i/>
          <w:iCs/>
          <w:color w:val="2F2F2F"/>
          <w:spacing w:val="3"/>
          <w:sz w:val="30"/>
          <w:szCs w:val="30"/>
          <w:lang w:eastAsia="en-GB"/>
        </w:rPr>
        <w:t>v.</w:t>
      </w:r>
      <w:r w:rsidRPr="0074106A">
        <w:rPr>
          <w:rFonts w:ascii="Georgia" w:eastAsia="Times New Roman" w:hAnsi="Georgia" w:cs="Arial"/>
          <w:color w:val="2F2F2F"/>
          <w:spacing w:val="3"/>
          <w:sz w:val="30"/>
          <w:szCs w:val="30"/>
          <w:lang w:eastAsia="en-GB"/>
        </w:rPr>
        <w:t>HERITAGE HILL MANOR, INC., Appellee</w:t>
      </w:r>
    </w:p>
    <w:p w14:paraId="03713AD7" w14:textId="77777777" w:rsidR="0074106A" w:rsidRPr="0074106A" w:rsidRDefault="0074106A" w:rsidP="0074106A">
      <w:pPr>
        <w:spacing w:before="100" w:beforeAutospacing="1" w:after="100" w:afterAutospacing="1" w:line="240" w:lineRule="auto"/>
        <w:rPr>
          <w:rFonts w:ascii="Georgia" w:eastAsia="Times New Roman" w:hAnsi="Georgia" w:cs="Times New Roman"/>
          <w:sz w:val="24"/>
          <w:szCs w:val="24"/>
          <w:lang w:eastAsia="en-GB"/>
        </w:rPr>
      </w:pPr>
      <w:r w:rsidRPr="0074106A">
        <w:rPr>
          <w:rFonts w:ascii="Georgia" w:eastAsia="Times New Roman" w:hAnsi="Georgia" w:cs="Times New Roman"/>
          <w:sz w:val="24"/>
          <w:szCs w:val="24"/>
          <w:lang w:eastAsia="en-GB"/>
        </w:rPr>
        <w:t>2016 Ark. App. 303</w:t>
      </w:r>
    </w:p>
    <w:p w14:paraId="03713AD8" w14:textId="77777777" w:rsidR="0074106A" w:rsidRPr="0074106A" w:rsidRDefault="0074106A" w:rsidP="0074106A">
      <w:pPr>
        <w:spacing w:before="100" w:beforeAutospacing="1" w:after="100" w:afterAutospacing="1" w:line="240" w:lineRule="auto"/>
        <w:rPr>
          <w:rFonts w:ascii="Georgia" w:eastAsia="Times New Roman" w:hAnsi="Georgia" w:cs="Times New Roman"/>
          <w:sz w:val="24"/>
          <w:szCs w:val="24"/>
          <w:lang w:eastAsia="en-GB"/>
        </w:rPr>
      </w:pPr>
      <w:r w:rsidRPr="0074106A">
        <w:rPr>
          <w:rFonts w:ascii="Georgia" w:eastAsia="Times New Roman" w:hAnsi="Georgia" w:cs="Times New Roman"/>
          <w:sz w:val="24"/>
          <w:szCs w:val="24"/>
          <w:lang w:eastAsia="en-GB"/>
        </w:rPr>
        <w:t>Court of Appeals of Arkansas, DIVISION II.</w:t>
      </w:r>
    </w:p>
    <w:p w14:paraId="03713AD9" w14:textId="791BB9F2" w:rsidR="0074106A" w:rsidRPr="0074106A" w:rsidRDefault="0074106A" w:rsidP="0074106A">
      <w:pPr>
        <w:shd w:val="clear" w:color="auto" w:fill="F7F7F9"/>
        <w:spacing w:before="100" w:beforeAutospacing="1" w:after="0" w:line="240" w:lineRule="auto"/>
        <w:rPr>
          <w:rFonts w:ascii="Georgia" w:eastAsia="Times New Roman" w:hAnsi="Georgia" w:cs="Times New Roman"/>
          <w:sz w:val="24"/>
          <w:szCs w:val="24"/>
          <w:lang w:eastAsia="en-GB"/>
        </w:rPr>
      </w:pPr>
      <w:r w:rsidRPr="0074106A">
        <w:rPr>
          <w:rFonts w:ascii="Georgia" w:eastAsia="Times New Roman" w:hAnsi="Georgia" w:cs="Times New Roman"/>
          <w:i/>
          <w:iCs/>
          <w:color w:val="979797"/>
          <w:sz w:val="19"/>
          <w:szCs w:val="19"/>
          <w:lang w:eastAsia="en-GB"/>
        </w:rPr>
        <w:t>*629</w:t>
      </w:r>
      <w:r w:rsidRPr="0074106A">
        <w:rPr>
          <w:rFonts w:ascii="Georgia" w:eastAsia="Times New Roman" w:hAnsi="Georgia" w:cs="Times New Roman"/>
          <w:sz w:val="24"/>
          <w:szCs w:val="24"/>
          <w:lang w:eastAsia="en-GB"/>
        </w:rPr>
        <w:t>Louis A Etoch, Helena and Robert S. Tschiemer, Mayflower, for appellant.</w:t>
      </w:r>
    </w:p>
    <w:p w14:paraId="03713ADA" w14:textId="77777777" w:rsidR="0074106A" w:rsidRPr="0074106A" w:rsidRDefault="0074106A" w:rsidP="0074106A">
      <w:pPr>
        <w:shd w:val="clear" w:color="auto" w:fill="F7F7F9"/>
        <w:spacing w:after="0" w:line="240" w:lineRule="auto"/>
        <w:rPr>
          <w:rFonts w:ascii="Georgia" w:eastAsia="Times New Roman" w:hAnsi="Georgia" w:cs="Times New Roman"/>
          <w:sz w:val="24"/>
          <w:szCs w:val="24"/>
          <w:lang w:eastAsia="en-GB"/>
        </w:rPr>
      </w:pPr>
      <w:r w:rsidRPr="0074106A">
        <w:rPr>
          <w:rFonts w:ascii="Georgia" w:eastAsia="Times New Roman" w:hAnsi="Georgia" w:cs="Times New Roman"/>
          <w:sz w:val="24"/>
          <w:szCs w:val="24"/>
          <w:lang w:eastAsia="en-GB"/>
        </w:rPr>
        <w:t>. Friday,' Eldredge &lt;&amp; Clark, LLP, Little Rock, by: James M. Simpson and Tory H. Lewis, for appellee.</w:t>
      </w:r>
    </w:p>
    <w:p w14:paraId="03713ADB" w14:textId="77777777" w:rsidR="0074106A" w:rsidRPr="0074106A" w:rsidRDefault="0074106A" w:rsidP="0074106A">
      <w:pPr>
        <w:spacing w:before="100" w:beforeAutospacing="1" w:after="225" w:line="240" w:lineRule="auto"/>
        <w:rPr>
          <w:rFonts w:ascii="Georgia" w:eastAsia="Times New Roman" w:hAnsi="Georgia" w:cs="Times New Roman"/>
          <w:color w:val="E878FF"/>
          <w:sz w:val="24"/>
          <w:szCs w:val="24"/>
          <w:lang w:eastAsia="en-GB"/>
        </w:rPr>
      </w:pPr>
      <w:r w:rsidRPr="0074106A">
        <w:rPr>
          <w:rFonts w:ascii="Georgia" w:eastAsia="Times New Roman" w:hAnsi="Georgia" w:cs="Times New Roman"/>
          <w:color w:val="E878FF"/>
          <w:sz w:val="24"/>
          <w:szCs w:val="24"/>
          <w:lang w:eastAsia="en-GB"/>
        </w:rPr>
        <w:t>KENNETH S. HIXSON, Judge</w:t>
      </w:r>
    </w:p>
    <w:p w14:paraId="03713ADC" w14:textId="77777777" w:rsidR="0074106A" w:rsidRPr="0074106A" w:rsidRDefault="0074106A" w:rsidP="0074106A">
      <w:pPr>
        <w:spacing w:before="100" w:beforeAutospacing="1" w:after="225" w:line="240" w:lineRule="auto"/>
        <w:rPr>
          <w:rFonts w:ascii="Georgia" w:eastAsia="Times New Roman" w:hAnsi="Georgia" w:cs="Times New Roman"/>
          <w:sz w:val="24"/>
          <w:szCs w:val="24"/>
          <w:lang w:eastAsia="en-GB"/>
        </w:rPr>
      </w:pPr>
      <w:r w:rsidRPr="00FF4872">
        <w:rPr>
          <w:rFonts w:ascii="Georgia" w:eastAsia="Times New Roman" w:hAnsi="Georgia" w:cs="Times New Roman"/>
          <w:sz w:val="24"/>
          <w:szCs w:val="24"/>
          <w:highlight w:val="magenta"/>
          <w:lang w:eastAsia="en-GB"/>
        </w:rPr>
        <w:t>Appellant Sandra Hadder filed a complaint in the Circuit Court of Phillips County, Arkansas, seeking damages for personal injuries that she allegedly sustained as the result of a slip and fall in an apartment owned by Heritage Hill Manor, Inc. (“Heritage”). Appellant appeals the entry of summary judgment and the dismissal of her lawsuit against appellee Her</w:t>
      </w:r>
      <w:hyperlink r:id="rId4" w:anchor="p630" w:history="1">
        <w:r w:rsidRPr="00FF4872">
          <w:rPr>
            <w:rFonts w:ascii="Georgia" w:eastAsia="Times New Roman" w:hAnsi="Georgia" w:cs="Times New Roman"/>
            <w:i/>
            <w:iCs/>
            <w:color w:val="979797"/>
            <w:sz w:val="19"/>
            <w:szCs w:val="19"/>
            <w:highlight w:val="magenta"/>
            <w:lang w:eastAsia="en-GB"/>
          </w:rPr>
          <w:t>*630</w:t>
        </w:r>
      </w:hyperlink>
      <w:r w:rsidRPr="00FF4872">
        <w:rPr>
          <w:rFonts w:ascii="Georgia" w:eastAsia="Times New Roman" w:hAnsi="Georgia" w:cs="Times New Roman"/>
          <w:sz w:val="24"/>
          <w:szCs w:val="24"/>
          <w:highlight w:val="magenta"/>
          <w:lang w:eastAsia="en-GB"/>
        </w:rPr>
        <w:t>itage</w:t>
      </w:r>
      <w:r w:rsidRPr="0074106A">
        <w:rPr>
          <w:rFonts w:ascii="Georgia" w:eastAsia="Times New Roman" w:hAnsi="Georgia" w:cs="Times New Roman"/>
          <w:sz w:val="24"/>
          <w:szCs w:val="24"/>
          <w:lang w:eastAsia="en-GB"/>
        </w:rPr>
        <w:t xml:space="preserve">:- </w:t>
      </w:r>
      <w:r w:rsidRPr="00FF4872">
        <w:rPr>
          <w:rFonts w:ascii="Georgia" w:eastAsia="Times New Roman" w:hAnsi="Georgia" w:cs="Times New Roman"/>
          <w:sz w:val="24"/>
          <w:szCs w:val="24"/>
          <w:highlight w:val="green"/>
          <w:lang w:eastAsia="en-GB"/>
        </w:rPr>
        <w:t xml:space="preserve">Because there were no material questions of fact remaining and Heritage was entitled to judgment as a matter of law, </w:t>
      </w:r>
      <w:r w:rsidRPr="00FF4872">
        <w:rPr>
          <w:rFonts w:ascii="Georgia" w:eastAsia="Times New Roman" w:hAnsi="Georgia" w:cs="Times New Roman"/>
          <w:sz w:val="24"/>
          <w:szCs w:val="24"/>
          <w:highlight w:val="red"/>
          <w:lang w:eastAsia="en-GB"/>
        </w:rPr>
        <w:t>we affirm the entry of summary judgment.</w:t>
      </w:r>
    </w:p>
    <w:p w14:paraId="03713ADD" w14:textId="77777777" w:rsidR="0074106A" w:rsidRPr="0074106A" w:rsidRDefault="0074106A" w:rsidP="0074106A">
      <w:pPr>
        <w:spacing w:before="100" w:beforeAutospacing="1" w:after="225" w:line="240" w:lineRule="auto"/>
        <w:rPr>
          <w:rFonts w:ascii="Georgia" w:eastAsia="Times New Roman" w:hAnsi="Georgia" w:cs="Times New Roman"/>
          <w:sz w:val="24"/>
          <w:szCs w:val="24"/>
          <w:lang w:eastAsia="en-GB"/>
        </w:rPr>
      </w:pPr>
      <w:r w:rsidRPr="0074106A">
        <w:rPr>
          <w:rFonts w:ascii="Georgia" w:eastAsia="Times New Roman" w:hAnsi="Georgia" w:cs="Times New Roman"/>
          <w:sz w:val="24"/>
          <w:szCs w:val="24"/>
          <w:lang w:eastAsia="en-GB"/>
        </w:rPr>
        <w:t>I. ' </w:t>
      </w:r>
      <w:r w:rsidRPr="0074106A">
        <w:rPr>
          <w:rFonts w:ascii="Georgia" w:eastAsia="Times New Roman" w:hAnsi="Georgia" w:cs="Times New Roman"/>
          <w:i/>
          <w:iCs/>
          <w:sz w:val="24"/>
          <w:szCs w:val="24"/>
          <w:lang w:eastAsia="en-GB"/>
        </w:rPr>
        <w:t>Facts</w:t>
      </w:r>
    </w:p>
    <w:p w14:paraId="03713ADE" w14:textId="77777777" w:rsidR="0074106A" w:rsidRPr="0074106A" w:rsidRDefault="0074106A" w:rsidP="0074106A">
      <w:pPr>
        <w:spacing w:before="100" w:beforeAutospacing="1" w:after="225" w:line="240" w:lineRule="auto"/>
        <w:rPr>
          <w:rFonts w:ascii="Georgia" w:eastAsia="Times New Roman" w:hAnsi="Georgia" w:cs="Times New Roman"/>
          <w:sz w:val="24"/>
          <w:szCs w:val="24"/>
          <w:lang w:eastAsia="en-GB"/>
        </w:rPr>
      </w:pPr>
      <w:r w:rsidRPr="0074106A">
        <w:rPr>
          <w:rFonts w:ascii="Georgia" w:eastAsia="Times New Roman" w:hAnsi="Georgia" w:cs="Times New Roman"/>
          <w:sz w:val="24"/>
          <w:szCs w:val="24"/>
          <w:lang w:eastAsia="en-GB"/>
        </w:rPr>
        <w:t xml:space="preserve">Appellant’s allegations arose from the following summary of the facts, gleaned from the pleadings and affidavits provided by the parties regarding the motion for summary judgment. </w:t>
      </w:r>
      <w:r w:rsidRPr="00FF4872">
        <w:rPr>
          <w:rFonts w:ascii="Georgia" w:eastAsia="Times New Roman" w:hAnsi="Georgia" w:cs="Times New Roman"/>
          <w:sz w:val="24"/>
          <w:szCs w:val="24"/>
          <w:highlight w:val="yellow"/>
          <w:lang w:eastAsia="en-GB"/>
        </w:rPr>
        <w:t>Heritage is an apartment complex admittedly geared mostly toward elderly retired residents. Heritage allowed the residents to have “sitters” stay with them in the apartments as needed. In February 2014, Ellen Lawrence,</w:t>
      </w:r>
      <w:r w:rsidR="00FF4872">
        <w:rPr>
          <w:rFonts w:ascii="Georgia" w:eastAsia="Times New Roman" w:hAnsi="Georgia" w:cs="Times New Roman"/>
          <w:sz w:val="24"/>
          <w:szCs w:val="24"/>
          <w:highlight w:val="yellow"/>
          <w:lang w:eastAsia="en-GB"/>
        </w:rPr>
        <w:t xml:space="preserve"> an elderly woman who suffered </w:t>
      </w:r>
      <w:r w:rsidRPr="00FF4872">
        <w:rPr>
          <w:rFonts w:ascii="Georgia" w:eastAsia="Times New Roman" w:hAnsi="Georgia" w:cs="Times New Roman"/>
          <w:sz w:val="24"/>
          <w:szCs w:val="24"/>
          <w:highlight w:val="yellow"/>
          <w:lang w:eastAsia="en-GB"/>
        </w:rPr>
        <w:t>from dementia or Alzheimer’s disease, was residing in one of Heritage’s ground-floor two-bedroom apartments. Lawrence’s apartment number was 108. Lawrence’s son had retained the services of four women who alternated “sitting” with Mrs. Lawrence.</w:t>
      </w:r>
    </w:p>
    <w:p w14:paraId="03713ADF" w14:textId="5FCA5844" w:rsidR="0074106A" w:rsidRPr="0074106A" w:rsidRDefault="0074106A" w:rsidP="0074106A">
      <w:pPr>
        <w:spacing w:before="100" w:beforeAutospacing="1" w:after="0" w:line="240" w:lineRule="auto"/>
        <w:rPr>
          <w:rFonts w:ascii="Georgia" w:eastAsia="Times New Roman" w:hAnsi="Georgia" w:cs="Times New Roman"/>
          <w:sz w:val="24"/>
          <w:szCs w:val="24"/>
          <w:lang w:eastAsia="en-GB"/>
        </w:rPr>
      </w:pPr>
      <w:r w:rsidRPr="00FF4872">
        <w:rPr>
          <w:rFonts w:ascii="Georgia" w:eastAsia="Times New Roman" w:hAnsi="Georgia" w:cs="Times New Roman"/>
          <w:sz w:val="24"/>
          <w:szCs w:val="24"/>
          <w:highlight w:val="yellow"/>
          <w:lang w:eastAsia="en-GB"/>
        </w:rPr>
        <w:t>In the very early morning hours of February 16, 2014, a water heater located in an upstairs apartment, number-207, leaked water down into Lawrence’s apartment. Mary Jane Patterson, one of the four sitters retained by Lawrence’s son, was sitting at the time and staying overnight. Patterson got out of bed and slipped and fell 'allegedly due to the water leaking into Lawrence’s apartment.</w:t>
      </w:r>
      <w:r w:rsidRPr="00FF4872">
        <w:rPr>
          <w:rFonts w:ascii="Georgia" w:eastAsia="Times New Roman" w:hAnsi="Georgia" w:cs="Times New Roman"/>
          <w:b/>
          <w:bCs/>
          <w:color w:val="E878FF"/>
          <w:sz w:val="24"/>
          <w:szCs w:val="24"/>
          <w:highlight w:val="yellow"/>
          <w:vertAlign w:val="superscript"/>
          <w:lang w:eastAsia="en-GB"/>
        </w:rPr>
        <w:t>1</w:t>
      </w:r>
      <w:r w:rsidRPr="00FF4872">
        <w:rPr>
          <w:rFonts w:ascii="Georgia" w:eastAsia="Times New Roman" w:hAnsi="Georgia" w:cs="Times New Roman"/>
          <w:sz w:val="24"/>
          <w:szCs w:val="24"/>
          <w:highlight w:val="yellow"/>
          <w:lang w:eastAsia="en-GB"/>
        </w:rPr>
        <w:t> Patterson summoned Allen Herd, another apartment resident who lived on the sécond floor. : Herd would perform light maintenance when requested by Heritage in exchange for </w:t>
      </w:r>
      <w:r w:rsidRPr="00FF4872">
        <w:rPr>
          <w:rFonts w:ascii="Georgia" w:eastAsia="Times New Roman" w:hAnsi="Georgia" w:cs="Times New Roman"/>
          <w:i/>
          <w:iCs/>
          <w:sz w:val="24"/>
          <w:szCs w:val="24"/>
          <w:highlight w:val="yellow"/>
          <w:lang w:eastAsia="en-GB"/>
        </w:rPr>
        <w:t>k </w:t>
      </w:r>
      <w:r w:rsidRPr="00FF4872">
        <w:rPr>
          <w:rFonts w:ascii="Georgia" w:eastAsia="Times New Roman" w:hAnsi="Georgia" w:cs="Times New Roman"/>
          <w:sz w:val="24"/>
          <w:szCs w:val="24"/>
          <w:highlight w:val="yellow"/>
          <w:lang w:eastAsia="en-GB"/>
        </w:rPr>
        <w:t>discounted monthly apartment rental rate. Herd shut off the valves to the water heater in the upper apartment and began the cleanup in Lawrence’s apartment.</w:t>
      </w:r>
    </w:p>
    <w:p w14:paraId="03713AE0" w14:textId="77777777" w:rsidR="0074106A" w:rsidRPr="0074106A" w:rsidRDefault="0074106A" w:rsidP="0074106A">
      <w:pPr>
        <w:spacing w:before="100" w:beforeAutospacing="1" w:after="225" w:line="240" w:lineRule="auto"/>
        <w:rPr>
          <w:rFonts w:ascii="Georgia" w:eastAsia="Times New Roman" w:hAnsi="Georgia" w:cs="Times New Roman"/>
          <w:sz w:val="24"/>
          <w:szCs w:val="24"/>
          <w:lang w:eastAsia="en-GB"/>
        </w:rPr>
      </w:pPr>
      <w:r w:rsidRPr="00FF4872">
        <w:rPr>
          <w:rFonts w:ascii="Georgia" w:eastAsia="Times New Roman" w:hAnsi="Georgia" w:cs="Times New Roman"/>
          <w:sz w:val="24"/>
          <w:szCs w:val="24"/>
          <w:highlight w:val="yellow"/>
          <w:lang w:eastAsia="en-GB"/>
        </w:rPr>
        <w:lastRenderedPageBreak/>
        <w:t>Someone contacted one of Lawrence’s sons and advised him of the water damage and Ms. Patterson’s injuries. The son called appellant, Sandra Hadder, another of the four sitters, at around 4:00 a.m., told her that Patterson had fallen, and asked appellant to come to the apartment to take over sitting duty. Patterson was taken to the hospital; Mrs. Lawrence remained in her apartment. When ap</w:t>
      </w:r>
      <w:r w:rsidR="00FF4872">
        <w:rPr>
          <w:rFonts w:ascii="Georgia" w:eastAsia="Times New Roman" w:hAnsi="Georgia" w:cs="Times New Roman"/>
          <w:sz w:val="24"/>
          <w:szCs w:val="24"/>
          <w:highlight w:val="yellow"/>
          <w:lang w:eastAsia="en-GB"/>
        </w:rPr>
        <w:t xml:space="preserve">pellant arrived, she mopped up </w:t>
      </w:r>
      <w:r w:rsidRPr="00FF4872">
        <w:rPr>
          <w:rFonts w:ascii="Georgia" w:eastAsia="Times New Roman" w:hAnsi="Georgia" w:cs="Times New Roman"/>
          <w:sz w:val="24"/>
          <w:szCs w:val="24"/>
          <w:highlight w:val="yellow"/>
          <w:lang w:eastAsia="en-GB"/>
        </w:rPr>
        <w:t>the water from Lawrence’s vinyl kitchen floor. Herd used</w:t>
      </w:r>
      <w:r w:rsidR="00FF4872">
        <w:rPr>
          <w:rFonts w:ascii="Georgia" w:eastAsia="Times New Roman" w:hAnsi="Georgia" w:cs="Times New Roman"/>
          <w:sz w:val="24"/>
          <w:szCs w:val="24"/>
          <w:highlight w:val="yellow"/>
          <w:lang w:eastAsia="en-GB"/>
        </w:rPr>
        <w:t xml:space="preserve"> a shop vacuum to remove water </w:t>
      </w:r>
      <w:r w:rsidRPr="00FF4872">
        <w:rPr>
          <w:rFonts w:ascii="Georgia" w:eastAsia="Times New Roman" w:hAnsi="Georgia" w:cs="Times New Roman"/>
          <w:sz w:val="24"/>
          <w:szCs w:val="24"/>
          <w:highlight w:val="yellow"/>
          <w:lang w:eastAsia="en-GB"/>
        </w:rPr>
        <w:t>from the living room carpet adjacent to the kitchen. Appellant helped Lawrence’s family move Lawrence’s belongings to a vacant apartment.</w:t>
      </w:r>
    </w:p>
    <w:p w14:paraId="03713AE1" w14:textId="77777777" w:rsidR="0074106A" w:rsidRPr="0074106A" w:rsidRDefault="0074106A" w:rsidP="0074106A">
      <w:pPr>
        <w:spacing w:before="100" w:beforeAutospacing="1" w:after="225" w:line="240" w:lineRule="auto"/>
        <w:rPr>
          <w:rFonts w:ascii="Georgia" w:eastAsia="Times New Roman" w:hAnsi="Georgia" w:cs="Times New Roman"/>
          <w:sz w:val="24"/>
          <w:szCs w:val="24"/>
          <w:lang w:eastAsia="en-GB"/>
        </w:rPr>
      </w:pPr>
      <w:r w:rsidRPr="00FF4872">
        <w:rPr>
          <w:rFonts w:ascii="Georgia" w:eastAsia="Times New Roman" w:hAnsi="Georgia" w:cs="Times New Roman"/>
          <w:sz w:val="24"/>
          <w:szCs w:val="24"/>
          <w:highlight w:val="yellow"/>
          <w:lang w:eastAsia="en-GB"/>
        </w:rPr>
        <w:t>At around 7:00-7:30 a.m., Minnie House, a housekeeper who worked for Heritage, arrived for</w:t>
      </w:r>
      <w:r w:rsidR="00FF4872" w:rsidRPr="00FF4872">
        <w:rPr>
          <w:rFonts w:ascii="Georgia" w:eastAsia="Times New Roman" w:hAnsi="Georgia" w:cs="Times New Roman"/>
          <w:sz w:val="24"/>
          <w:szCs w:val="24"/>
          <w:highlight w:val="yellow"/>
          <w:lang w:eastAsia="en-GB"/>
        </w:rPr>
        <w:t xml:space="preserve"> </w:t>
      </w:r>
      <w:r w:rsidRPr="00FF4872">
        <w:rPr>
          <w:rFonts w:ascii="Georgia" w:eastAsia="Times New Roman" w:hAnsi="Georgia" w:cs="Times New Roman"/>
          <w:sz w:val="24"/>
          <w:szCs w:val="24"/>
          <w:highlight w:val="yellow"/>
          <w:lang w:eastAsia="en-GB"/>
        </w:rPr>
        <w:t>her scheduled workday. The apartments were each cleaned once per week. House observed Herd, Lawrence’s relatives, and appellant moving Lawrence’s belongings out of her apartment and into the vacant apartment. ’ House mopped the common-area hallway, set out “Wét Floor” signs, and told everyone' to be careful of the wet floor. 'When Herd left, the living room carpet remained damp. Herd had placed fans in the apartment to circulate the air to aid in drying.</w:t>
      </w:r>
    </w:p>
    <w:p w14:paraId="03713AE2" w14:textId="77777777" w:rsidR="0074106A" w:rsidRPr="0074106A" w:rsidRDefault="0074106A" w:rsidP="0074106A">
      <w:pPr>
        <w:spacing w:before="100" w:beforeAutospacing="1" w:after="225" w:line="240" w:lineRule="auto"/>
        <w:rPr>
          <w:rFonts w:ascii="Georgia" w:eastAsia="Times New Roman" w:hAnsi="Georgia" w:cs="Times New Roman"/>
          <w:sz w:val="24"/>
          <w:szCs w:val="24"/>
          <w:lang w:eastAsia="en-GB"/>
        </w:rPr>
      </w:pPr>
      <w:r w:rsidRPr="00FF4872">
        <w:rPr>
          <w:rFonts w:ascii="Georgia" w:eastAsia="Times New Roman" w:hAnsi="Georgia" w:cs="Times New Roman"/>
          <w:sz w:val="24"/>
          <w:szCs w:val="24"/>
          <w:highlight w:val="yellow"/>
          <w:lang w:eastAsia="en-GB"/>
        </w:rPr>
        <w:t>At approximately 9:30 a.m., appellant returned to apartment 108 to retrieve her overnight bag, which she had left in the kitchen. The housekeeper stated that she reminded appellant to “be careful.” Appellant walked a few feet across the living room carpet onto the kitchen floor and then slipped and fell, hurting her right </w:t>
      </w:r>
      <w:hyperlink r:id="rId5" w:anchor="p631" w:history="1">
        <w:r w:rsidRPr="00FF4872">
          <w:rPr>
            <w:rFonts w:ascii="Georgia" w:eastAsia="Times New Roman" w:hAnsi="Georgia" w:cs="Times New Roman"/>
            <w:i/>
            <w:iCs/>
            <w:color w:val="979797"/>
            <w:sz w:val="19"/>
            <w:szCs w:val="19"/>
            <w:highlight w:val="yellow"/>
            <w:lang w:eastAsia="en-GB"/>
          </w:rPr>
          <w:t>*631</w:t>
        </w:r>
      </w:hyperlink>
      <w:r w:rsidRPr="00FF4872">
        <w:rPr>
          <w:rFonts w:ascii="Georgia" w:eastAsia="Times New Roman" w:hAnsi="Georgia" w:cs="Times New Roman"/>
          <w:sz w:val="24"/>
          <w:szCs w:val="24"/>
          <w:highlight w:val="yellow"/>
          <w:lang w:eastAsia="en-GB"/>
        </w:rPr>
        <w:t>arm, right wrist, and</w:t>
      </w:r>
      <w:r w:rsidR="00FF4872">
        <w:rPr>
          <w:rFonts w:ascii="Georgia" w:eastAsia="Times New Roman" w:hAnsi="Georgia" w:cs="Times New Roman"/>
          <w:sz w:val="24"/>
          <w:szCs w:val="24"/>
          <w:highlight w:val="yellow"/>
          <w:lang w:eastAsia="en-GB"/>
        </w:rPr>
        <w:t xml:space="preserve"> right ankle. Appellant stated </w:t>
      </w:r>
      <w:r w:rsidRPr="00FF4872">
        <w:rPr>
          <w:rFonts w:ascii="Georgia" w:eastAsia="Times New Roman" w:hAnsi="Georgia" w:cs="Times New Roman"/>
          <w:sz w:val="24"/>
          <w:szCs w:val="24"/>
          <w:highlight w:val="yellow"/>
          <w:lang w:eastAsia="en-GB"/>
        </w:rPr>
        <w:t xml:space="preserve">that the kitchen floor was dry, but she said that -she did not realize that the carpet was still damp. </w:t>
      </w:r>
    </w:p>
    <w:p w14:paraId="03713AE3" w14:textId="77777777" w:rsidR="0074106A" w:rsidRPr="0074106A" w:rsidRDefault="0074106A" w:rsidP="0074106A">
      <w:pPr>
        <w:spacing w:before="100" w:beforeAutospacing="1" w:after="225" w:line="240" w:lineRule="auto"/>
        <w:rPr>
          <w:rFonts w:ascii="Georgia" w:eastAsia="Times New Roman" w:hAnsi="Georgia" w:cs="Times New Roman"/>
          <w:sz w:val="24"/>
          <w:szCs w:val="24"/>
          <w:lang w:eastAsia="en-GB"/>
        </w:rPr>
      </w:pPr>
      <w:r w:rsidRPr="00FF4872">
        <w:rPr>
          <w:rFonts w:ascii="Georgia" w:eastAsia="Times New Roman" w:hAnsi="Georgia" w:cs="Times New Roman"/>
          <w:sz w:val="24"/>
          <w:szCs w:val="24"/>
          <w:highlight w:val="magenta"/>
          <w:lang w:eastAsia="en-GB"/>
        </w:rPr>
        <w:t>Appellant sued Heritage for negligence</w:t>
      </w:r>
      <w:r w:rsidRPr="00FF4872">
        <w:rPr>
          <w:rFonts w:ascii="Georgia" w:eastAsia="Times New Roman" w:hAnsi="Georgia" w:cs="Times New Roman"/>
          <w:sz w:val="24"/>
          <w:szCs w:val="24"/>
          <w:lang w:eastAsia="en-GB"/>
        </w:rPr>
        <w:t xml:space="preserve"> in its installation and maintenance of the upstairs water heater; in its failure</w:t>
      </w:r>
      <w:r w:rsidRPr="0074106A">
        <w:rPr>
          <w:rFonts w:ascii="Georgia" w:eastAsia="Times New Roman" w:hAnsi="Georgia" w:cs="Times New Roman"/>
          <w:sz w:val="24"/>
          <w:szCs w:val="24"/>
          <w:lang w:eastAsia="en-GB"/>
        </w:rPr>
        <w:t xml:space="preserve"> to adhere to its duty to rope off or keep persons out of the dangerous wet area; and in- its permitting appellant to walk on the wet floor. Appellant also alleged that Heritage was an assisted living facility with heightened responsibilities under Arkansas law. </w:t>
      </w:r>
      <w:r w:rsidRPr="00FF4872">
        <w:rPr>
          <w:rFonts w:ascii="Georgia" w:eastAsia="Times New Roman" w:hAnsi="Georgia" w:cs="Times New Roman"/>
          <w:sz w:val="24"/>
          <w:szCs w:val="24"/>
          <w:highlight w:val="magenta"/>
          <w:lang w:eastAsia="en-GB"/>
        </w:rPr>
        <w:t xml:space="preserve">Heritage moved for summary judgment </w:t>
      </w:r>
      <w:r w:rsidRPr="00FF4872">
        <w:rPr>
          <w:rFonts w:ascii="Georgia" w:eastAsia="Times New Roman" w:hAnsi="Georgia" w:cs="Times New Roman"/>
          <w:sz w:val="24"/>
          <w:szCs w:val="24"/>
          <w:lang w:eastAsia="en-GB"/>
        </w:rPr>
        <w:t>contending that it was not an assisted living facility but rather an apartment complex</w:t>
      </w:r>
      <w:r w:rsidRPr="0074106A">
        <w:rPr>
          <w:rFonts w:ascii="Georgia" w:eastAsia="Times New Roman" w:hAnsi="Georgia" w:cs="Times New Roman"/>
          <w:sz w:val="24"/>
          <w:szCs w:val="24"/>
          <w:lang w:eastAsia="en-GB"/>
        </w:rPr>
        <w:t>; that the negligence claim was barred by the doctrine of caveat lessee, meaning that no duty was owed to appellant as an</w:t>
      </w:r>
      <w:r w:rsidR="00FF4872">
        <w:rPr>
          <w:rFonts w:ascii="Georgia" w:eastAsia="Times New Roman" w:hAnsi="Georgia" w:cs="Times New Roman"/>
          <w:sz w:val="24"/>
          <w:szCs w:val="24"/>
          <w:lang w:eastAsia="en-GB"/>
        </w:rPr>
        <w:t xml:space="preserve"> </w:t>
      </w:r>
      <w:r w:rsidRPr="0074106A">
        <w:rPr>
          <w:rFonts w:ascii="Georgia" w:eastAsia="Times New Roman" w:hAnsi="Georgia" w:cs="Times New Roman"/>
          <w:sz w:val="24"/>
          <w:szCs w:val="24"/>
          <w:lang w:eastAsia="en-GB"/>
        </w:rPr>
        <w:t>apartment tenant’s guest; that it did not assume an</w:t>
      </w:r>
      <w:r w:rsidR="00FF4872">
        <w:rPr>
          <w:rFonts w:ascii="Georgia" w:eastAsia="Times New Roman" w:hAnsi="Georgia" w:cs="Times New Roman"/>
          <w:sz w:val="24"/>
          <w:szCs w:val="24"/>
          <w:lang w:eastAsia="en-GB"/>
        </w:rPr>
        <w:t xml:space="preserve">y legal duty to appellant; that </w:t>
      </w:r>
      <w:r w:rsidRPr="0074106A">
        <w:rPr>
          <w:rFonts w:ascii="Georgia" w:eastAsia="Times New Roman" w:hAnsi="Georgia" w:cs="Times New Roman"/>
          <w:sz w:val="24"/>
          <w:szCs w:val="24"/>
          <w:lang w:eastAsia="en-GB"/>
        </w:rPr>
        <w:t>even assuming that a legal duty existed, there was no breach; and that there was no' du</w:t>
      </w:r>
      <w:r w:rsidR="00FF4872">
        <w:rPr>
          <w:rFonts w:ascii="Georgia" w:eastAsia="Times New Roman" w:hAnsi="Georgia" w:cs="Times New Roman"/>
          <w:sz w:val="24"/>
          <w:szCs w:val="24"/>
          <w:lang w:eastAsia="en-GB"/>
        </w:rPr>
        <w:t>ty because this was an open and obvious danger.</w:t>
      </w:r>
      <w:r w:rsidRPr="0074106A">
        <w:rPr>
          <w:rFonts w:ascii="Georgia" w:eastAsia="Times New Roman" w:hAnsi="Georgia" w:cs="Times New Roman"/>
          <w:sz w:val="24"/>
          <w:szCs w:val="24"/>
          <w:lang w:eastAsia="en-GB"/>
        </w:rPr>
        <w:t xml:space="preserve"> Heritage appended the deposition testimony of its </w:t>
      </w:r>
      <w:r w:rsidRPr="00FF4872">
        <w:rPr>
          <w:rFonts w:ascii="Georgia" w:eastAsia="Times New Roman" w:hAnsi="Georgia" w:cs="Times New Roman"/>
          <w:sz w:val="24"/>
          <w:szCs w:val="24"/>
          <w:lang w:eastAsia="en-GB"/>
        </w:rPr>
        <w:t>apartment manager, Joanne Franklin</w:t>
      </w:r>
      <w:r w:rsidRPr="0074106A">
        <w:rPr>
          <w:rFonts w:ascii="Georgia" w:eastAsia="Times New Roman" w:hAnsi="Georgia" w:cs="Times New Roman"/>
          <w:sz w:val="24"/>
          <w:szCs w:val="24"/>
          <w:lang w:eastAsia="en-GB"/>
        </w:rPr>
        <w:t xml:space="preserve">, who </w:t>
      </w:r>
      <w:r w:rsidRPr="00FF4872">
        <w:rPr>
          <w:rFonts w:ascii="Georgia" w:eastAsia="Times New Roman" w:hAnsi="Georgia" w:cs="Times New Roman"/>
          <w:sz w:val="24"/>
          <w:szCs w:val="24"/>
          <w:lang w:eastAsia="en-GB"/>
        </w:rPr>
        <w:t>stated that' Heritage is “an apartment complex geared mostly for elderly, retired. Also some professional people live there. That’s</w:t>
      </w:r>
      <w:r w:rsidRPr="0074106A">
        <w:rPr>
          <w:rFonts w:ascii="Georgia" w:eastAsia="Times New Roman" w:hAnsi="Georgia" w:cs="Times New Roman"/>
          <w:sz w:val="24"/>
          <w:szCs w:val="24"/>
          <w:lang w:eastAsia="en-GB"/>
        </w:rPr>
        <w:t xml:space="preserve"> basically it. Private pay people.” The manager swore that Heritage was “not at all” an assisted living facility but it was rather just an apartment complex where residents were permitted to have sitters. Heritage also appended the relevant deposition testimony of Herd, House, and appellant.</w:t>
      </w:r>
    </w:p>
    <w:p w14:paraId="03713AE4" w14:textId="77777777" w:rsidR="0074106A" w:rsidRPr="0074106A" w:rsidRDefault="0074106A" w:rsidP="0074106A">
      <w:pPr>
        <w:spacing w:before="100" w:beforeAutospacing="1" w:after="225" w:line="240" w:lineRule="auto"/>
        <w:rPr>
          <w:rFonts w:ascii="Georgia" w:eastAsia="Times New Roman" w:hAnsi="Georgia" w:cs="Times New Roman"/>
          <w:sz w:val="24"/>
          <w:szCs w:val="24"/>
          <w:lang w:eastAsia="en-GB"/>
        </w:rPr>
      </w:pPr>
      <w:r w:rsidRPr="0074106A">
        <w:rPr>
          <w:rFonts w:ascii="Georgia" w:eastAsia="Times New Roman" w:hAnsi="Georgia" w:cs="Times New Roman"/>
          <w:sz w:val="24"/>
          <w:szCs w:val="24"/>
          <w:lang w:eastAsia="en-GB"/>
        </w:rPr>
        <w:t>At the hearing on the motion for summary judgment, appellee restated the doctrine of caveat lessee (also known as “tenant beware”) to support the notion that no duty was owed to the tenant’s guest in this instance. Appellee cited to Arkansas Code Annotated section 18-16-110 as the legislature’s specific adoption and approval of the caveat lessee doctrine. Appellee also stated that there was no lease but only a month-to-month rental of these ' apartments, meaning that there was no contractual undertaking of a duty here.</w:t>
      </w:r>
    </w:p>
    <w:p w14:paraId="03713AE5" w14:textId="77777777" w:rsidR="0074106A" w:rsidRPr="0074106A" w:rsidRDefault="0074106A" w:rsidP="0074106A">
      <w:pPr>
        <w:spacing w:before="100" w:beforeAutospacing="1" w:after="225" w:line="240" w:lineRule="auto"/>
        <w:rPr>
          <w:rFonts w:ascii="Georgia" w:eastAsia="Times New Roman" w:hAnsi="Georgia" w:cs="Times New Roman"/>
          <w:sz w:val="24"/>
          <w:szCs w:val="24"/>
          <w:lang w:eastAsia="en-GB"/>
        </w:rPr>
      </w:pPr>
      <w:r w:rsidRPr="0074106A">
        <w:rPr>
          <w:rFonts w:ascii="Georgia" w:eastAsia="Times New Roman" w:hAnsi="Georgia" w:cs="Times New Roman"/>
          <w:sz w:val="24"/>
          <w:szCs w:val="24"/>
          <w:lang w:eastAsia="en-GB"/>
        </w:rPr>
        <w:lastRenderedPageBreak/>
        <w:t>Appellant responded that Heritage was in fact an assisted living facility with attendant statutory and regulatory obligations. Appellant cited to Arkansas Code Annotated section 20-10-1703(l)(A) (Repl. 2014), defining “assisted living facility” as a residential facility that undertakes to provide assisted living services for a period exceeding twenty-four hours to more than three adult residents. Appellant cited to section 20-10-1703(3), defining' “assisted living services” as “housing, meals, laundry, socialization, transportation, one (1) or more personal services, and limited nursing services.” Appellánt presented (1) a Facebook page describing Heritage-as a “Retirement &amp; Assisted Living Facility,” (2) a page fromJ_gWww.assistedlmng.com reciting that Heritage is “an assisted living facility” that provides activities at “their location,” (3) a general liability insurance declarations page describing the insured’s business as “Lessor’s Risk for Nursing Homes,” and (4) a printed page from the Phillips County chamber of commerce member directory in its “Extended Care” section, stating that Heritage was an “apartment building” that provided ohe meal a day and weekly housekeeping. Appellant’s attorney stated to the trial court that discovery was ongoing and that testimony at trial would reveal the true nature of Heritage’s identity. Appellant added that Heritage had attempted to clean up the waiter leak, thereby imposing an assumption of duty to perform in a nonnegli-gent manner.</w:t>
      </w:r>
    </w:p>
    <w:p w14:paraId="03713AE6" w14:textId="227F55E1" w:rsidR="0074106A" w:rsidRPr="0074106A" w:rsidRDefault="0074106A" w:rsidP="0074106A">
      <w:pPr>
        <w:spacing w:before="100" w:beforeAutospacing="1" w:after="0" w:line="240" w:lineRule="auto"/>
        <w:rPr>
          <w:rFonts w:ascii="Georgia" w:eastAsia="Times New Roman" w:hAnsi="Georgia" w:cs="Times New Roman"/>
          <w:sz w:val="24"/>
          <w:szCs w:val="24"/>
          <w:lang w:eastAsia="en-GB"/>
        </w:rPr>
      </w:pPr>
      <w:r w:rsidRPr="0074106A">
        <w:rPr>
          <w:rFonts w:ascii="Georgia" w:eastAsia="Times New Roman" w:hAnsi="Georgia" w:cs="Times New Roman"/>
          <w:sz w:val="24"/>
          <w:szCs w:val="24"/>
          <w:lang w:eastAsia="en-GB"/>
        </w:rPr>
        <w:t>In responsé, appellee stated that appellant had already deposed all the relevant persons connected to Heritage, questioning what discovery could remain. Heri</w:t>
      </w:r>
      <w:r w:rsidRPr="0074106A">
        <w:rPr>
          <w:rFonts w:ascii="Georgia" w:eastAsia="Times New Roman" w:hAnsi="Georgia" w:cs="Times New Roman"/>
          <w:i/>
          <w:iCs/>
          <w:color w:val="979797"/>
          <w:sz w:val="19"/>
          <w:szCs w:val="19"/>
          <w:lang w:eastAsia="en-GB"/>
        </w:rPr>
        <w:t>*632</w:t>
      </w:r>
      <w:r w:rsidRPr="0074106A">
        <w:rPr>
          <w:rFonts w:ascii="Georgia" w:eastAsia="Times New Roman" w:hAnsi="Georgia" w:cs="Times New Roman"/>
          <w:sz w:val="24"/>
          <w:szCs w:val="24"/>
          <w:lang w:eastAsia="en-GB"/>
        </w:rPr>
        <w:t>tage appended to its response the portion of the Facebook page appellant had omitted, which recited: “This Page is created based on what people who use Facebook are interested in. It’s not affiliated with or endorsed by anything associated with Heritage Hill Manor.” Heritage also appended the disclaimer on www.assisted living.com that appellant omitted, which stated, “If you represent Heritage Hill Manor and would like to claim your listing, please contact us.” Heritage’s attorney argued that there was no evidence of Heritage’s endorsement of the chamber of commerce publication and noted that the insurance policy contained only a general business description of unknown origin.</w:t>
      </w:r>
      <w:hyperlink r:id="rId6" w:anchor="footnote_1_2" w:history="1">
        <w:r w:rsidRPr="0074106A">
          <w:rPr>
            <w:rFonts w:ascii="Georgia" w:eastAsia="Times New Roman" w:hAnsi="Georgia" w:cs="Times New Roman"/>
            <w:b/>
            <w:bCs/>
            <w:color w:val="E878FF"/>
            <w:sz w:val="24"/>
            <w:szCs w:val="24"/>
            <w:vertAlign w:val="superscript"/>
            <w:lang w:eastAsia="en-GB"/>
          </w:rPr>
          <w:t>2</w:t>
        </w:r>
      </w:hyperlink>
      <w:r w:rsidRPr="0074106A">
        <w:rPr>
          <w:rFonts w:ascii="Georgia" w:eastAsia="Times New Roman" w:hAnsi="Georgia" w:cs="Times New Roman"/>
          <w:sz w:val="24"/>
          <w:szCs w:val="24"/>
          <w:lang w:eastAsia="en-GB"/>
        </w:rPr>
        <w:t> Furthermore, Heritage asserted that none of the materials provided by appellant sufficed as evidence that Heritage fit within the | ¡¡statutory definition of “assisted living facility,” which requires provision of multiple specific services to assisted-living residents. Appellee argued that it had shown the unreliable quality and inadmissibility of appellant’s documents. Appellee pointed instead to the admissible deposition testimony provided by Heritage’s manager stating that it was an apartment complex and not an assisted living facility. Appel-lee again stated that Heritage had not assumed any duty, and appellee asked that summary judgment be issued.</w:t>
      </w:r>
    </w:p>
    <w:p w14:paraId="03713AE7" w14:textId="77777777" w:rsidR="0074106A" w:rsidRPr="0074106A" w:rsidRDefault="0074106A" w:rsidP="0074106A">
      <w:pPr>
        <w:spacing w:before="100" w:beforeAutospacing="1" w:after="225" w:line="240" w:lineRule="auto"/>
        <w:rPr>
          <w:rFonts w:ascii="Georgia" w:eastAsia="Times New Roman" w:hAnsi="Georgia" w:cs="Times New Roman"/>
          <w:sz w:val="24"/>
          <w:szCs w:val="24"/>
          <w:lang w:eastAsia="en-GB"/>
        </w:rPr>
      </w:pPr>
      <w:r w:rsidRPr="00FF4872">
        <w:rPr>
          <w:rFonts w:ascii="Georgia" w:eastAsia="Times New Roman" w:hAnsi="Georgia" w:cs="Times New Roman"/>
          <w:sz w:val="24"/>
          <w:szCs w:val="24"/>
          <w:highlight w:val="magenta"/>
          <w:lang w:eastAsia="en-GB"/>
        </w:rPr>
        <w:t>The trial court entered summary judgment. The trial court found that there existed no material issue of fact on whether Heritage was an assisted living facility because the only supportive evidence that it was came from “internet postings of unknown origin” that were “not reliable,” and further that the manager’s sworn testimony was unequivocal. The trial court found this case to fall within the general rule of no liability on the landlord of this apartment complex. The trial court found that there was no evidence of any contractual undertaking nor was there any assumption of a duty in the repair of the premises. The trial court concluded by stating that even if there was a duty at law, there was no evidence of a breach of that duty to appellant.</w:t>
      </w:r>
    </w:p>
    <w:p w14:paraId="03713AE8" w14:textId="77777777" w:rsidR="0074106A" w:rsidRPr="0074106A" w:rsidRDefault="0074106A" w:rsidP="0074106A">
      <w:pPr>
        <w:spacing w:before="100" w:beforeAutospacing="1" w:after="225" w:line="240" w:lineRule="auto"/>
        <w:rPr>
          <w:rFonts w:ascii="Georgia" w:eastAsia="Times New Roman" w:hAnsi="Georgia" w:cs="Times New Roman"/>
          <w:sz w:val="24"/>
          <w:szCs w:val="24"/>
          <w:lang w:eastAsia="en-GB"/>
        </w:rPr>
      </w:pPr>
      <w:r w:rsidRPr="00FF4872">
        <w:rPr>
          <w:rFonts w:ascii="Georgia" w:eastAsia="Times New Roman" w:hAnsi="Georgia" w:cs="Times New Roman"/>
          <w:sz w:val="24"/>
          <w:szCs w:val="24"/>
          <w:highlight w:val="magenta"/>
          <w:lang w:eastAsia="en-GB"/>
        </w:rPr>
        <w:t>This appeal followed</w:t>
      </w:r>
      <w:r w:rsidRPr="0074106A">
        <w:rPr>
          <w:rFonts w:ascii="Georgia" w:eastAsia="Times New Roman" w:hAnsi="Georgia" w:cs="Times New Roman"/>
          <w:sz w:val="24"/>
          <w:szCs w:val="24"/>
          <w:lang w:eastAsia="en-GB"/>
        </w:rPr>
        <w:t>, and appellant contends that the trial court erred in dismissing her complai</w:t>
      </w:r>
      <w:r w:rsidR="00FF4872">
        <w:rPr>
          <w:rFonts w:ascii="Georgia" w:eastAsia="Times New Roman" w:hAnsi="Georgia" w:cs="Times New Roman"/>
          <w:sz w:val="24"/>
          <w:szCs w:val="24"/>
          <w:lang w:eastAsia="en-GB"/>
        </w:rPr>
        <w:t xml:space="preserve">nt. </w:t>
      </w:r>
      <w:r w:rsidR="00FF4872" w:rsidRPr="00FF4872">
        <w:rPr>
          <w:rFonts w:ascii="Georgia" w:eastAsia="Times New Roman" w:hAnsi="Georgia" w:cs="Times New Roman"/>
          <w:sz w:val="24"/>
          <w:szCs w:val="24"/>
          <w:highlight w:val="green"/>
          <w:lang w:eastAsia="en-GB"/>
        </w:rPr>
        <w:t>Appellant argues that summar</w:t>
      </w:r>
      <w:r w:rsidRPr="00FF4872">
        <w:rPr>
          <w:rFonts w:ascii="Georgia" w:eastAsia="Times New Roman" w:hAnsi="Georgia" w:cs="Times New Roman"/>
          <w:sz w:val="24"/>
          <w:szCs w:val="24"/>
          <w:highlight w:val="green"/>
          <w:lang w:eastAsia="en-GB"/>
        </w:rPr>
        <w:t>y judgment was improper for a number of reasons: (1) there were unresolved factual issues on whether Heritage was an assisted living facility; (2) Arkansas Code Annotated section 18-16-110 was inapplicable because the defective hot water heater was located in a different apartmen</w:t>
      </w:r>
      <w:r w:rsidR="00FF4872" w:rsidRPr="00FF4872">
        <w:rPr>
          <w:rFonts w:ascii="Georgia" w:eastAsia="Times New Roman" w:hAnsi="Georgia" w:cs="Times New Roman"/>
          <w:sz w:val="24"/>
          <w:szCs w:val="24"/>
          <w:highlight w:val="green"/>
          <w:lang w:eastAsia="en-GB"/>
        </w:rPr>
        <w:t xml:space="preserve">t than Lawrence’s and not in a </w:t>
      </w:r>
      <w:r w:rsidRPr="00FF4872">
        <w:rPr>
          <w:rFonts w:ascii="Georgia" w:eastAsia="Times New Roman" w:hAnsi="Georgia" w:cs="Times New Roman"/>
          <w:sz w:val="24"/>
          <w:szCs w:val="24"/>
          <w:highlight w:val="green"/>
          <w:lang w:eastAsia="en-GB"/>
        </w:rPr>
        <w:t>common area; (3) Heritage owed appellant a duty of ordinary care; (4) Heritage assumed a duty to repair and maintain the premises; (5) there was e</w:t>
      </w:r>
      <w:r w:rsidR="00FF4872">
        <w:rPr>
          <w:rFonts w:ascii="Georgia" w:eastAsia="Times New Roman" w:hAnsi="Georgia" w:cs="Times New Roman"/>
          <w:sz w:val="24"/>
          <w:szCs w:val="24"/>
          <w:highlight w:val="green"/>
          <w:lang w:eastAsia="en-GB"/>
        </w:rPr>
        <w:t xml:space="preserve">vidence that Heritage breached </w:t>
      </w:r>
      <w:r w:rsidRPr="00FF4872">
        <w:rPr>
          <w:rFonts w:ascii="Georgia" w:eastAsia="Times New Roman" w:hAnsi="Georgia" w:cs="Times New Roman"/>
          <w:sz w:val="24"/>
          <w:szCs w:val="24"/>
          <w:highlight w:val="green"/>
          <w:lang w:eastAsia="en-GB"/>
        </w:rPr>
        <w:t>the assumed duty; (6) there remained fact questions on whether the wet carpet manifested an open and obvious danger and whether appellant could have avoided the danger; and (7) discovery was continuing and incomplete. We disagree with appellant’s arguments</w:t>
      </w:r>
      <w:r w:rsidRPr="0074106A">
        <w:rPr>
          <w:rFonts w:ascii="Georgia" w:eastAsia="Times New Roman" w:hAnsi="Georgia" w:cs="Times New Roman"/>
          <w:sz w:val="24"/>
          <w:szCs w:val="24"/>
          <w:lang w:eastAsia="en-GB"/>
        </w:rPr>
        <w:t xml:space="preserve"> </w:t>
      </w:r>
      <w:r w:rsidRPr="00FF4872">
        <w:rPr>
          <w:rFonts w:ascii="Georgia" w:eastAsia="Times New Roman" w:hAnsi="Georgia" w:cs="Times New Roman"/>
          <w:sz w:val="24"/>
          <w:szCs w:val="24"/>
          <w:highlight w:val="red"/>
          <w:lang w:eastAsia="en-GB"/>
        </w:rPr>
        <w:t>and affirm.</w:t>
      </w:r>
    </w:p>
    <w:p w14:paraId="03713AE9" w14:textId="77777777" w:rsidR="0074106A" w:rsidRPr="0074106A" w:rsidRDefault="0074106A" w:rsidP="0074106A">
      <w:pPr>
        <w:spacing w:before="100" w:beforeAutospacing="1" w:after="225" w:line="240" w:lineRule="auto"/>
        <w:rPr>
          <w:rFonts w:ascii="Georgia" w:eastAsia="Times New Roman" w:hAnsi="Georgia" w:cs="Times New Roman"/>
          <w:sz w:val="24"/>
          <w:szCs w:val="24"/>
          <w:lang w:eastAsia="en-GB"/>
        </w:rPr>
      </w:pPr>
      <w:r w:rsidRPr="0074106A">
        <w:rPr>
          <w:rFonts w:ascii="Georgia" w:eastAsia="Times New Roman" w:hAnsi="Georgia" w:cs="Times New Roman"/>
          <w:sz w:val="24"/>
          <w:szCs w:val="24"/>
          <w:lang w:eastAsia="en-GB"/>
        </w:rPr>
        <w:t>II. </w:t>
      </w:r>
      <w:r w:rsidRPr="0074106A">
        <w:rPr>
          <w:rFonts w:ascii="Georgia" w:eastAsia="Times New Roman" w:hAnsi="Georgia" w:cs="Times New Roman"/>
          <w:i/>
          <w:iCs/>
          <w:sz w:val="24"/>
          <w:szCs w:val="24"/>
          <w:lang w:eastAsia="en-GB"/>
        </w:rPr>
        <w:t>Standard of Review.</w:t>
      </w:r>
    </w:p>
    <w:p w14:paraId="03713AEA" w14:textId="1ACB854A" w:rsidR="0074106A" w:rsidRPr="0074106A" w:rsidRDefault="0074106A" w:rsidP="0074106A">
      <w:pPr>
        <w:spacing w:before="100" w:beforeAutospacing="1" w:after="225" w:line="240" w:lineRule="auto"/>
        <w:rPr>
          <w:rFonts w:ascii="Georgia" w:eastAsia="Times New Roman" w:hAnsi="Georgia" w:cs="Times New Roman"/>
          <w:sz w:val="24"/>
          <w:szCs w:val="24"/>
          <w:lang w:eastAsia="en-GB"/>
        </w:rPr>
      </w:pPr>
      <w:r w:rsidRPr="0074106A">
        <w:rPr>
          <w:rFonts w:ascii="Georgia" w:eastAsia="Times New Roman" w:hAnsi="Georgia" w:cs="Times New Roman"/>
          <w:sz w:val="24"/>
          <w:szCs w:val="24"/>
          <w:lang w:eastAsia="en-GB"/>
        </w:rPr>
        <w:t xml:space="preserve">The standard of review in the appeal of a summary judgment is well settled. </w:t>
      </w:r>
      <w:r w:rsidRPr="00FF4872">
        <w:rPr>
          <w:rFonts w:ascii="Georgia" w:eastAsia="Times New Roman" w:hAnsi="Georgia" w:cs="Times New Roman"/>
          <w:sz w:val="24"/>
          <w:szCs w:val="24"/>
          <w:highlight w:val="magenta"/>
          <w:lang w:eastAsia="en-GB"/>
        </w:rPr>
        <w:t>Summary judgment is to be granted by a circuit court only when it is clear that there are no genuine issues of material fact to be litigated and the moving party is entitled to judgment as a matter of law.</w:t>
      </w:r>
      <w:r w:rsidRPr="0074106A">
        <w:rPr>
          <w:rFonts w:ascii="Georgia" w:eastAsia="Times New Roman" w:hAnsi="Georgia" w:cs="Times New Roman"/>
          <w:sz w:val="24"/>
          <w:szCs w:val="24"/>
          <w:lang w:eastAsia="en-GB"/>
        </w:rPr>
        <w:t> </w:t>
      </w:r>
      <w:r w:rsidRPr="0074106A">
        <w:rPr>
          <w:rFonts w:ascii="Georgia" w:eastAsia="Times New Roman" w:hAnsi="Georgia" w:cs="Times New Roman"/>
          <w:i/>
          <w:iCs/>
          <w:sz w:val="24"/>
          <w:szCs w:val="24"/>
          <w:lang w:eastAsia="en-GB"/>
        </w:rPr>
        <w:t>Benton Cnty. v. Overland Dev. Co., </w:t>
      </w:r>
      <w:r w:rsidRPr="0074106A">
        <w:rPr>
          <w:rFonts w:ascii="Georgia" w:eastAsia="Times New Roman" w:hAnsi="Georgia" w:cs="Times New Roman"/>
          <w:color w:val="007BFF"/>
          <w:sz w:val="24"/>
          <w:szCs w:val="24"/>
          <w:lang w:eastAsia="en-GB"/>
        </w:rPr>
        <w:t>371 Ark. 559</w:t>
      </w:r>
      <w:r w:rsidRPr="0074106A">
        <w:rPr>
          <w:rFonts w:ascii="Georgia" w:eastAsia="Times New Roman" w:hAnsi="Georgia" w:cs="Times New Roman"/>
          <w:sz w:val="24"/>
          <w:szCs w:val="24"/>
          <w:lang w:eastAsia="en-GB"/>
        </w:rPr>
        <w:t>, </w:t>
      </w:r>
      <w:hyperlink r:id="rId7" w:history="1">
        <w:r w:rsidRPr="0074106A">
          <w:rPr>
            <w:rFonts w:ascii="Georgia" w:eastAsia="Times New Roman" w:hAnsi="Georgia" w:cs="Times New Roman"/>
            <w:color w:val="007BFF"/>
            <w:sz w:val="24"/>
            <w:szCs w:val="24"/>
            <w:lang w:eastAsia="en-GB"/>
          </w:rPr>
          <w:t>268 S.W.3d 885</w:t>
        </w:r>
      </w:hyperlink>
      <w:r w:rsidRPr="0074106A">
        <w:rPr>
          <w:rFonts w:ascii="Georgia" w:eastAsia="Times New Roman" w:hAnsi="Georgia" w:cs="Times New Roman"/>
          <w:sz w:val="24"/>
          <w:szCs w:val="24"/>
          <w:lang w:eastAsia="en-GB"/>
        </w:rPr>
        <w:t> (2007). Once a </w:t>
      </w:r>
      <w:r w:rsidRPr="0074106A">
        <w:rPr>
          <w:rFonts w:ascii="Georgia" w:eastAsia="Times New Roman" w:hAnsi="Georgia" w:cs="Times New Roman"/>
          <w:i/>
          <w:iCs/>
          <w:color w:val="979797"/>
          <w:sz w:val="19"/>
          <w:szCs w:val="19"/>
          <w:lang w:eastAsia="en-GB"/>
        </w:rPr>
        <w:t>*633</w:t>
      </w:r>
      <w:r w:rsidRPr="0074106A">
        <w:rPr>
          <w:rFonts w:ascii="Georgia" w:eastAsia="Times New Roman" w:hAnsi="Georgia" w:cs="Times New Roman"/>
          <w:sz w:val="24"/>
          <w:szCs w:val="24"/>
          <w:lang w:eastAsia="en-GB"/>
        </w:rPr>
        <w:t>moving party has established a prima facie entitlement to summary judgment, the opposing party must meet proof with proof and demonstrate the existence of a material issue of fact. </w:t>
      </w:r>
      <w:hyperlink r:id="rId8" w:history="1">
        <w:r w:rsidRPr="0074106A">
          <w:rPr>
            <w:rFonts w:ascii="Georgia" w:eastAsia="Times New Roman" w:hAnsi="Georgia" w:cs="Times New Roman"/>
            <w:i/>
            <w:iCs/>
            <w:color w:val="007BFF"/>
            <w:sz w:val="24"/>
            <w:szCs w:val="24"/>
            <w:lang w:eastAsia="en-GB"/>
          </w:rPr>
          <w:t>Id.</w:t>
        </w:r>
      </w:hyperlink>
      <w:r w:rsidRPr="0074106A">
        <w:rPr>
          <w:rFonts w:ascii="Georgia" w:eastAsia="Times New Roman" w:hAnsi="Georgia" w:cs="Times New Roman"/>
          <w:i/>
          <w:iCs/>
          <w:sz w:val="24"/>
          <w:szCs w:val="24"/>
          <w:lang w:eastAsia="en-GB"/>
        </w:rPr>
        <w:t> </w:t>
      </w:r>
      <w:r w:rsidRPr="0074106A">
        <w:rPr>
          <w:rFonts w:ascii="Georgia" w:eastAsia="Times New Roman" w:hAnsi="Georgia" w:cs="Times New Roman"/>
          <w:sz w:val="24"/>
          <w:szCs w:val="24"/>
          <w:lang w:eastAsia="en-GB"/>
        </w:rPr>
        <w:t>On appeal, we determine if summary judgment -was appropriate based on whether the evidentiary items presented by the moving party in support of its motion leave a material fact unanswered. </w:t>
      </w:r>
      <w:r w:rsidRPr="0074106A">
        <w:rPr>
          <w:rFonts w:ascii="Georgia" w:eastAsia="Times New Roman" w:hAnsi="Georgia" w:cs="Times New Roman"/>
          <w:i/>
          <w:iCs/>
          <w:color w:val="007BFF"/>
          <w:sz w:val="24"/>
          <w:szCs w:val="24"/>
          <w:lang w:eastAsia="en-GB"/>
        </w:rPr>
        <w:t>Id.</w:t>
      </w:r>
      <w:r w:rsidRPr="0074106A">
        <w:rPr>
          <w:rFonts w:ascii="Georgia" w:eastAsia="Times New Roman" w:hAnsi="Georgia" w:cs="Times New Roman"/>
          <w:i/>
          <w:iCs/>
          <w:sz w:val="24"/>
          <w:szCs w:val="24"/>
          <w:lang w:eastAsia="en-GB"/>
        </w:rPr>
        <w:t> </w:t>
      </w:r>
      <w:r w:rsidRPr="00FF4872">
        <w:rPr>
          <w:rFonts w:ascii="Georgia" w:eastAsia="Times New Roman" w:hAnsi="Georgia" w:cs="Times New Roman"/>
          <w:sz w:val="24"/>
          <w:szCs w:val="24"/>
          <w:highlight w:val="magenta"/>
          <w:lang w:eastAsia="en-GB"/>
        </w:rPr>
        <w:t>This court views the evidence in the light most favorable to the party against whom the motion was filed, resolving all doubts and inferences against the moving party.</w:t>
      </w:r>
      <w:r w:rsidRPr="0074106A">
        <w:rPr>
          <w:rFonts w:ascii="Georgia" w:eastAsia="Times New Roman" w:hAnsi="Georgia" w:cs="Times New Roman"/>
          <w:sz w:val="24"/>
          <w:szCs w:val="24"/>
          <w:lang w:eastAsia="en-GB"/>
        </w:rPr>
        <w:t> </w:t>
      </w:r>
      <w:hyperlink r:id="rId9" w:history="1">
        <w:r w:rsidRPr="0074106A">
          <w:rPr>
            <w:rFonts w:ascii="Georgia" w:eastAsia="Times New Roman" w:hAnsi="Georgia" w:cs="Times New Roman"/>
            <w:i/>
            <w:iCs/>
            <w:color w:val="007BFF"/>
            <w:sz w:val="24"/>
            <w:szCs w:val="24"/>
            <w:lang w:eastAsia="en-GB"/>
          </w:rPr>
          <w:t>Id.</w:t>
        </w:r>
      </w:hyperlink>
      <w:r w:rsidRPr="0074106A">
        <w:rPr>
          <w:rFonts w:ascii="Georgia" w:eastAsia="Times New Roman" w:hAnsi="Georgia" w:cs="Times New Roman"/>
          <w:i/>
          <w:iCs/>
          <w:sz w:val="24"/>
          <w:szCs w:val="24"/>
          <w:lang w:eastAsia="en-GB"/>
        </w:rPr>
        <w:t> </w:t>
      </w:r>
      <w:r w:rsidRPr="0074106A">
        <w:rPr>
          <w:rFonts w:ascii="Georgia" w:eastAsia="Times New Roman" w:hAnsi="Georgia" w:cs="Times New Roman"/>
          <w:sz w:val="24"/>
          <w:szCs w:val="24"/>
          <w:lang w:eastAsia="en-GB"/>
        </w:rPr>
        <w:t>The resisting party may not, however, rest on the mere allegation of her pleadings; instead, her response by affidavits or other evidence as provided by Arkansas Rule of Civil Procedure 56 must show specifically that there is a genuinely disputed issue of material fact. </w:t>
      </w:r>
      <w:r w:rsidRPr="0074106A">
        <w:rPr>
          <w:rFonts w:ascii="Georgia" w:eastAsia="Times New Roman" w:hAnsi="Georgia" w:cs="Times New Roman"/>
          <w:i/>
          <w:iCs/>
          <w:sz w:val="24"/>
          <w:szCs w:val="24"/>
          <w:lang w:eastAsia="en-GB"/>
        </w:rPr>
        <w:t>Wheeler v. Phillips Dev. Corp., </w:t>
      </w:r>
      <w:r w:rsidRPr="0074106A">
        <w:rPr>
          <w:rFonts w:ascii="Georgia" w:eastAsia="Times New Roman" w:hAnsi="Georgia" w:cs="Times New Roman"/>
          <w:color w:val="007BFF"/>
          <w:sz w:val="24"/>
          <w:szCs w:val="24"/>
          <w:lang w:eastAsia="en-GB"/>
        </w:rPr>
        <w:t>329 Ark. 354</w:t>
      </w:r>
      <w:r w:rsidRPr="0074106A">
        <w:rPr>
          <w:rFonts w:ascii="Georgia" w:eastAsia="Times New Roman" w:hAnsi="Georgia" w:cs="Times New Roman"/>
          <w:sz w:val="24"/>
          <w:szCs w:val="24"/>
          <w:lang w:eastAsia="en-GB"/>
        </w:rPr>
        <w:t>, </w:t>
      </w:r>
      <w:hyperlink r:id="rId10" w:history="1">
        <w:r w:rsidRPr="0074106A">
          <w:rPr>
            <w:rFonts w:ascii="Georgia" w:eastAsia="Times New Roman" w:hAnsi="Georgia" w:cs="Times New Roman"/>
            <w:color w:val="007BFF"/>
            <w:sz w:val="24"/>
            <w:szCs w:val="24"/>
            <w:lang w:eastAsia="en-GB"/>
          </w:rPr>
          <w:t>947 S.W.2d 380</w:t>
        </w:r>
      </w:hyperlink>
      <w:r w:rsidRPr="0074106A">
        <w:rPr>
          <w:rFonts w:ascii="Georgia" w:eastAsia="Times New Roman" w:hAnsi="Georgia" w:cs="Times New Roman"/>
          <w:sz w:val="24"/>
          <w:szCs w:val="24"/>
          <w:lang w:eastAsia="en-GB"/>
        </w:rPr>
        <w:t> (1997). Conclu-sory allegations are insufficient to create a fact issue in a summary-judgment situation. Su</w:t>
      </w:r>
      <w:r w:rsidRPr="0074106A">
        <w:rPr>
          <w:rFonts w:ascii="Georgia" w:eastAsia="Times New Roman" w:hAnsi="Georgia" w:cs="Times New Roman"/>
          <w:i/>
          <w:iCs/>
          <w:sz w:val="24"/>
          <w:szCs w:val="24"/>
          <w:lang w:eastAsia="en-GB"/>
        </w:rPr>
        <w:t>ndeen v. Kroger, </w:t>
      </w:r>
      <w:r w:rsidRPr="0074106A">
        <w:rPr>
          <w:rFonts w:ascii="Georgia" w:eastAsia="Times New Roman" w:hAnsi="Georgia" w:cs="Times New Roman"/>
          <w:color w:val="007BFF"/>
          <w:sz w:val="24"/>
          <w:szCs w:val="24"/>
          <w:lang w:eastAsia="en-GB"/>
        </w:rPr>
        <w:t>355 Ark. 138</w:t>
      </w:r>
      <w:r w:rsidRPr="0074106A">
        <w:rPr>
          <w:rFonts w:ascii="Georgia" w:eastAsia="Times New Roman" w:hAnsi="Georgia" w:cs="Times New Roman"/>
          <w:sz w:val="24"/>
          <w:szCs w:val="24"/>
          <w:lang w:eastAsia="en-GB"/>
        </w:rPr>
        <w:t>, </w:t>
      </w:r>
      <w:hyperlink r:id="rId11" w:history="1">
        <w:r w:rsidRPr="0074106A">
          <w:rPr>
            <w:rFonts w:ascii="Georgia" w:eastAsia="Times New Roman" w:hAnsi="Georgia" w:cs="Times New Roman"/>
            <w:color w:val="007BFF"/>
            <w:sz w:val="24"/>
            <w:szCs w:val="24"/>
            <w:lang w:eastAsia="en-GB"/>
          </w:rPr>
          <w:t>133 S.W.3d 393</w:t>
        </w:r>
      </w:hyperlink>
      <w:r w:rsidRPr="0074106A">
        <w:rPr>
          <w:rFonts w:ascii="Georgia" w:eastAsia="Times New Roman" w:hAnsi="Georgia" w:cs="Times New Roman"/>
          <w:sz w:val="24"/>
          <w:szCs w:val="24"/>
          <w:lang w:eastAsia="en-GB"/>
        </w:rPr>
        <w:t> (2003). After reviewing undisputed facts, summary judgment should be denied if, under the ^evidence, reasonable persons might reach different conclusions from those undisputed facts. </w:t>
      </w:r>
      <w:r w:rsidRPr="0074106A">
        <w:rPr>
          <w:rFonts w:ascii="Georgia" w:eastAsia="Times New Roman" w:hAnsi="Georgia" w:cs="Times New Roman"/>
          <w:i/>
          <w:iCs/>
          <w:sz w:val="24"/>
          <w:szCs w:val="24"/>
          <w:lang w:eastAsia="en-GB"/>
        </w:rPr>
        <w:t>Greenlee v. J.B. Hunt Transport Servs., </w:t>
      </w:r>
      <w:r w:rsidRPr="0074106A">
        <w:rPr>
          <w:rFonts w:ascii="Georgia" w:eastAsia="Times New Roman" w:hAnsi="Georgia" w:cs="Times New Roman"/>
          <w:color w:val="007BFF"/>
          <w:sz w:val="24"/>
          <w:szCs w:val="24"/>
          <w:lang w:eastAsia="en-GB"/>
        </w:rPr>
        <w:t>2009 Ark. 506</w:t>
      </w:r>
      <w:r w:rsidRPr="0074106A">
        <w:rPr>
          <w:rFonts w:ascii="Georgia" w:eastAsia="Times New Roman" w:hAnsi="Georgia" w:cs="Times New Roman"/>
          <w:sz w:val="24"/>
          <w:szCs w:val="24"/>
          <w:lang w:eastAsia="en-GB"/>
        </w:rPr>
        <w:t>, </w:t>
      </w:r>
      <w:hyperlink r:id="rId12" w:history="1">
        <w:r w:rsidRPr="0074106A">
          <w:rPr>
            <w:rFonts w:ascii="Georgia" w:eastAsia="Times New Roman" w:hAnsi="Georgia" w:cs="Times New Roman"/>
            <w:color w:val="007BFF"/>
            <w:sz w:val="24"/>
            <w:szCs w:val="24"/>
            <w:lang w:eastAsia="en-GB"/>
          </w:rPr>
          <w:t>342 S.W.3d 274</w:t>
        </w:r>
      </w:hyperlink>
      <w:r w:rsidRPr="0074106A">
        <w:rPr>
          <w:rFonts w:ascii="Georgia" w:eastAsia="Times New Roman" w:hAnsi="Georgia" w:cs="Times New Roman"/>
          <w:sz w:val="24"/>
          <w:szCs w:val="24"/>
          <w:lang w:eastAsia="en-GB"/>
        </w:rPr>
        <w:t>; </w:t>
      </w:r>
      <w:r w:rsidRPr="0074106A">
        <w:rPr>
          <w:rFonts w:ascii="Georgia" w:eastAsia="Times New Roman" w:hAnsi="Georgia" w:cs="Times New Roman"/>
          <w:i/>
          <w:iCs/>
          <w:sz w:val="24"/>
          <w:szCs w:val="24"/>
          <w:lang w:eastAsia="en-GB"/>
        </w:rPr>
        <w:t>Sawada v. Walmart Stores, Inc., </w:t>
      </w:r>
      <w:r w:rsidRPr="0074106A">
        <w:rPr>
          <w:rFonts w:ascii="Georgia" w:eastAsia="Times New Roman" w:hAnsi="Georgia" w:cs="Times New Roman"/>
          <w:color w:val="007BFF"/>
          <w:sz w:val="24"/>
          <w:szCs w:val="24"/>
          <w:lang w:eastAsia="en-GB"/>
        </w:rPr>
        <w:t>2015 Ark. App. 549</w:t>
      </w:r>
      <w:r w:rsidRPr="0074106A">
        <w:rPr>
          <w:rFonts w:ascii="Georgia" w:eastAsia="Times New Roman" w:hAnsi="Georgia" w:cs="Times New Roman"/>
          <w:sz w:val="24"/>
          <w:szCs w:val="24"/>
          <w:lang w:eastAsia="en-GB"/>
        </w:rPr>
        <w:t>, </w:t>
      </w:r>
      <w:hyperlink r:id="rId13" w:history="1">
        <w:r w:rsidRPr="0074106A">
          <w:rPr>
            <w:rFonts w:ascii="Georgia" w:eastAsia="Times New Roman" w:hAnsi="Georgia" w:cs="Times New Roman"/>
            <w:color w:val="007BFF"/>
            <w:sz w:val="24"/>
            <w:szCs w:val="24"/>
            <w:lang w:eastAsia="en-GB"/>
          </w:rPr>
          <w:t>473 S.W.3d 60</w:t>
        </w:r>
      </w:hyperlink>
      <w:r w:rsidRPr="0074106A">
        <w:rPr>
          <w:rFonts w:ascii="Georgia" w:eastAsia="Times New Roman" w:hAnsi="Georgia" w:cs="Times New Roman"/>
          <w:sz w:val="24"/>
          <w:szCs w:val="24"/>
          <w:lang w:eastAsia="en-GB"/>
        </w:rPr>
        <w:t>. The object of summary judgment is not to try the issues but to determine whether there are any issues to be tried. </w:t>
      </w:r>
      <w:r w:rsidRPr="0074106A">
        <w:rPr>
          <w:rFonts w:ascii="Georgia" w:eastAsia="Times New Roman" w:hAnsi="Georgia" w:cs="Times New Roman"/>
          <w:i/>
          <w:iCs/>
          <w:sz w:val="24"/>
          <w:szCs w:val="24"/>
          <w:lang w:eastAsia="en-GB"/>
        </w:rPr>
        <w:t>Flentje v. First Nat’l Bank of Wynne, </w:t>
      </w:r>
      <w:r w:rsidRPr="0074106A">
        <w:rPr>
          <w:rFonts w:ascii="Georgia" w:eastAsia="Times New Roman" w:hAnsi="Georgia" w:cs="Times New Roman"/>
          <w:color w:val="007BFF"/>
          <w:sz w:val="24"/>
          <w:szCs w:val="24"/>
          <w:lang w:eastAsia="en-GB"/>
        </w:rPr>
        <w:t>340 Ark. 563</w:t>
      </w:r>
      <w:r w:rsidRPr="0074106A">
        <w:rPr>
          <w:rFonts w:ascii="Georgia" w:eastAsia="Times New Roman" w:hAnsi="Georgia" w:cs="Times New Roman"/>
          <w:sz w:val="24"/>
          <w:szCs w:val="24"/>
          <w:lang w:eastAsia="en-GB"/>
        </w:rPr>
        <w:t>, </w:t>
      </w:r>
      <w:hyperlink r:id="rId14" w:history="1">
        <w:r w:rsidRPr="0074106A">
          <w:rPr>
            <w:rFonts w:ascii="Georgia" w:eastAsia="Times New Roman" w:hAnsi="Georgia" w:cs="Times New Roman"/>
            <w:color w:val="007BFF"/>
            <w:sz w:val="24"/>
            <w:szCs w:val="24"/>
            <w:lang w:eastAsia="en-GB"/>
          </w:rPr>
          <w:t>11 S.W.3d 531</w:t>
        </w:r>
      </w:hyperlink>
      <w:r w:rsidRPr="0074106A">
        <w:rPr>
          <w:rFonts w:ascii="Georgia" w:eastAsia="Times New Roman" w:hAnsi="Georgia" w:cs="Times New Roman"/>
          <w:sz w:val="24"/>
          <w:szCs w:val="24"/>
          <w:lang w:eastAsia="en-GB"/>
        </w:rPr>
        <w:t> (2000).</w:t>
      </w:r>
    </w:p>
    <w:p w14:paraId="03713AEB" w14:textId="77777777" w:rsidR="0074106A" w:rsidRPr="0074106A" w:rsidRDefault="0074106A" w:rsidP="0074106A">
      <w:pPr>
        <w:spacing w:before="100" w:beforeAutospacing="1" w:after="225" w:line="240" w:lineRule="auto"/>
        <w:rPr>
          <w:rFonts w:ascii="Georgia" w:eastAsia="Times New Roman" w:hAnsi="Georgia" w:cs="Times New Roman"/>
          <w:sz w:val="24"/>
          <w:szCs w:val="24"/>
          <w:lang w:eastAsia="en-GB"/>
        </w:rPr>
      </w:pPr>
      <w:r w:rsidRPr="0074106A">
        <w:rPr>
          <w:rFonts w:ascii="Georgia" w:eastAsia="Times New Roman" w:hAnsi="Georgia" w:cs="Times New Roman"/>
          <w:sz w:val="24"/>
          <w:szCs w:val="24"/>
          <w:lang w:eastAsia="en-GB"/>
        </w:rPr>
        <w:t>II. </w:t>
      </w:r>
      <w:r w:rsidRPr="0074106A">
        <w:rPr>
          <w:rFonts w:ascii="Georgia" w:eastAsia="Times New Roman" w:hAnsi="Georgia" w:cs="Times New Roman"/>
          <w:i/>
          <w:iCs/>
          <w:sz w:val="24"/>
          <w:szCs w:val="24"/>
          <w:lang w:eastAsia="en-GB"/>
        </w:rPr>
        <w:t>Analysis</w:t>
      </w:r>
    </w:p>
    <w:p w14:paraId="03713AEC" w14:textId="77777777" w:rsidR="0074106A" w:rsidRPr="0074106A" w:rsidRDefault="0074106A" w:rsidP="0074106A">
      <w:pPr>
        <w:spacing w:before="100" w:beforeAutospacing="1" w:after="225" w:line="240" w:lineRule="auto"/>
        <w:rPr>
          <w:rFonts w:ascii="Georgia" w:eastAsia="Times New Roman" w:hAnsi="Georgia" w:cs="Times New Roman"/>
          <w:sz w:val="24"/>
          <w:szCs w:val="24"/>
          <w:lang w:eastAsia="en-GB"/>
        </w:rPr>
      </w:pPr>
      <w:r w:rsidRPr="0074106A">
        <w:rPr>
          <w:rFonts w:ascii="Georgia" w:eastAsia="Times New Roman" w:hAnsi="Georgia" w:cs="Times New Roman"/>
          <w:sz w:val="24"/>
          <w:szCs w:val="24"/>
          <w:lang w:eastAsia="en-GB"/>
        </w:rPr>
        <w:t>A. Duty under Arkansas Law &amp; Alleged Breach</w:t>
      </w:r>
    </w:p>
    <w:p w14:paraId="03713AED" w14:textId="07DF0204" w:rsidR="0074106A" w:rsidRPr="0074106A" w:rsidRDefault="0074106A" w:rsidP="0074106A">
      <w:pPr>
        <w:spacing w:before="100" w:beforeAutospacing="1" w:after="225" w:line="240" w:lineRule="auto"/>
        <w:rPr>
          <w:rFonts w:ascii="Georgia" w:eastAsia="Times New Roman" w:hAnsi="Georgia" w:cs="Times New Roman"/>
          <w:sz w:val="24"/>
          <w:szCs w:val="24"/>
          <w:lang w:eastAsia="en-GB"/>
        </w:rPr>
      </w:pPr>
      <w:r w:rsidRPr="0074106A">
        <w:rPr>
          <w:rFonts w:ascii="Georgia" w:eastAsia="Times New Roman" w:hAnsi="Georgia" w:cs="Times New Roman"/>
          <w:sz w:val="24"/>
          <w:szCs w:val="24"/>
          <w:lang w:eastAsia="en-GB"/>
        </w:rPr>
        <w:t>Many of appellant’s arguments can and should be considered together because they are so intertwined. In order to prevail on a claim of negligence, the plaintiff must prove that the defendant owed a duty to the plaintiff, that- the defendant breached that duty, and that the breach was the proximate cause of the plaintiffs damages. </w:t>
      </w:r>
      <w:r w:rsidRPr="0098048E">
        <w:rPr>
          <w:rFonts w:ascii="Georgia" w:eastAsia="Times New Roman" w:hAnsi="Georgia" w:cs="Times New Roman"/>
          <w:i/>
          <w:iCs/>
          <w:sz w:val="24"/>
          <w:szCs w:val="24"/>
          <w:highlight w:val="cyan"/>
          <w:lang w:eastAsia="en-GB"/>
        </w:rPr>
        <w:t>Lloyd v. Pier W. Prop. Owners Ass’n, </w:t>
      </w:r>
      <w:r w:rsidRPr="0098048E">
        <w:rPr>
          <w:rFonts w:ascii="Georgia" w:eastAsia="Times New Roman" w:hAnsi="Georgia" w:cs="Times New Roman"/>
          <w:color w:val="007BFF"/>
          <w:sz w:val="24"/>
          <w:szCs w:val="24"/>
          <w:highlight w:val="cyan"/>
          <w:lang w:eastAsia="en-GB"/>
        </w:rPr>
        <w:t>2015 Ark. App. 487</w:t>
      </w:r>
      <w:r w:rsidRPr="0098048E">
        <w:rPr>
          <w:rFonts w:ascii="Georgia" w:eastAsia="Times New Roman" w:hAnsi="Georgia" w:cs="Times New Roman"/>
          <w:sz w:val="24"/>
          <w:szCs w:val="24"/>
          <w:highlight w:val="cyan"/>
          <w:lang w:eastAsia="en-GB"/>
        </w:rPr>
        <w:t>, </w:t>
      </w:r>
      <w:hyperlink r:id="rId15" w:history="1">
        <w:r w:rsidRPr="0098048E">
          <w:rPr>
            <w:rFonts w:ascii="Georgia" w:eastAsia="Times New Roman" w:hAnsi="Georgia" w:cs="Times New Roman"/>
            <w:color w:val="007BFF"/>
            <w:sz w:val="24"/>
            <w:szCs w:val="24"/>
            <w:highlight w:val="cyan"/>
            <w:lang w:eastAsia="en-GB"/>
          </w:rPr>
          <w:t>470 S.W.3d 293</w:t>
        </w:r>
      </w:hyperlink>
      <w:r w:rsidRPr="0098048E">
        <w:rPr>
          <w:rFonts w:ascii="Georgia" w:eastAsia="Times New Roman" w:hAnsi="Georgia" w:cs="Times New Roman"/>
          <w:sz w:val="24"/>
          <w:szCs w:val="24"/>
          <w:highlight w:val="cyan"/>
          <w:lang w:eastAsia="en-GB"/>
        </w:rPr>
        <w:t>.</w:t>
      </w:r>
      <w:r w:rsidRPr="0074106A">
        <w:rPr>
          <w:rFonts w:ascii="Georgia" w:eastAsia="Times New Roman" w:hAnsi="Georgia" w:cs="Times New Roman"/>
          <w:sz w:val="24"/>
          <w:szCs w:val="24"/>
          <w:lang w:eastAsia="en-GB"/>
        </w:rPr>
        <w:t xml:space="preserve"> Duty is a concept that arises out of the recognition that the relationship between individuals may impose on one a legal obligation for the other. </w:t>
      </w:r>
      <w:r w:rsidRPr="0074106A">
        <w:rPr>
          <w:rFonts w:ascii="Georgia" w:eastAsia="Times New Roman" w:hAnsi="Georgia" w:cs="Times New Roman"/>
          <w:i/>
          <w:iCs/>
          <w:color w:val="007BFF"/>
          <w:sz w:val="24"/>
          <w:szCs w:val="24"/>
          <w:lang w:eastAsia="en-GB"/>
        </w:rPr>
        <w:t>Id.</w:t>
      </w:r>
      <w:r w:rsidRPr="0074106A">
        <w:rPr>
          <w:rFonts w:ascii="Georgia" w:eastAsia="Times New Roman" w:hAnsi="Georgia" w:cs="Times New Roman"/>
          <w:i/>
          <w:iCs/>
          <w:sz w:val="24"/>
          <w:szCs w:val="24"/>
          <w:lang w:eastAsia="en-GB"/>
        </w:rPr>
        <w:t> </w:t>
      </w:r>
      <w:r w:rsidRPr="0074106A">
        <w:rPr>
          <w:rFonts w:ascii="Georgia" w:eastAsia="Times New Roman" w:hAnsi="Georgia" w:cs="Times New Roman"/>
          <w:sz w:val="24"/>
          <w:szCs w:val="24"/>
          <w:lang w:eastAsia="en-GB"/>
        </w:rPr>
        <w:t>The question of whether a duty is owed is always a question of law and never one for the jury. </w:t>
      </w:r>
      <w:r w:rsidRPr="0098048E">
        <w:rPr>
          <w:rFonts w:ascii="Georgia" w:eastAsia="Times New Roman" w:hAnsi="Georgia" w:cs="Times New Roman"/>
          <w:i/>
          <w:iCs/>
          <w:sz w:val="24"/>
          <w:szCs w:val="24"/>
          <w:highlight w:val="cyan"/>
          <w:lang w:eastAsia="en-GB"/>
        </w:rPr>
        <w:t>Kowalski v. Rose Drugs of Dardanelle, Inc., </w:t>
      </w:r>
      <w:hyperlink r:id="rId16" w:history="1">
        <w:r w:rsidRPr="0098048E">
          <w:rPr>
            <w:rFonts w:ascii="Georgia" w:eastAsia="Times New Roman" w:hAnsi="Georgia" w:cs="Times New Roman"/>
            <w:color w:val="007BFF"/>
            <w:sz w:val="24"/>
            <w:szCs w:val="24"/>
            <w:highlight w:val="cyan"/>
            <w:lang w:eastAsia="en-GB"/>
          </w:rPr>
          <w:t>2011 Ark. 44</w:t>
        </w:r>
      </w:hyperlink>
      <w:r w:rsidRPr="0098048E">
        <w:rPr>
          <w:rFonts w:ascii="Georgia" w:eastAsia="Times New Roman" w:hAnsi="Georgia" w:cs="Times New Roman"/>
          <w:sz w:val="24"/>
          <w:szCs w:val="24"/>
          <w:highlight w:val="cyan"/>
          <w:lang w:eastAsia="en-GB"/>
        </w:rPr>
        <w:t>, </w:t>
      </w:r>
      <w:r w:rsidRPr="0098048E">
        <w:rPr>
          <w:rFonts w:ascii="Georgia" w:eastAsia="Times New Roman" w:hAnsi="Georgia" w:cs="Times New Roman"/>
          <w:color w:val="007BFF"/>
          <w:sz w:val="24"/>
          <w:szCs w:val="24"/>
          <w:highlight w:val="cyan"/>
          <w:lang w:eastAsia="en-GB"/>
        </w:rPr>
        <w:t>378 S.W.3d 109</w:t>
      </w:r>
      <w:r w:rsidRPr="0098048E">
        <w:rPr>
          <w:rFonts w:ascii="Georgia" w:eastAsia="Times New Roman" w:hAnsi="Georgia" w:cs="Times New Roman"/>
          <w:sz w:val="24"/>
          <w:szCs w:val="24"/>
          <w:highlight w:val="cyan"/>
          <w:lang w:eastAsia="en-GB"/>
        </w:rPr>
        <w:t>.</w:t>
      </w:r>
      <w:r w:rsidRPr="0074106A">
        <w:rPr>
          <w:rFonts w:ascii="Georgia" w:eastAsia="Times New Roman" w:hAnsi="Georgia" w:cs="Times New Roman"/>
          <w:sz w:val="24"/>
          <w:szCs w:val="24"/>
          <w:lang w:eastAsia="en-GB"/>
        </w:rPr>
        <w:t xml:space="preserve"> </w:t>
      </w:r>
      <w:r w:rsidRPr="0098048E">
        <w:rPr>
          <w:rFonts w:ascii="Georgia" w:eastAsia="Times New Roman" w:hAnsi="Georgia" w:cs="Times New Roman"/>
          <w:sz w:val="24"/>
          <w:szCs w:val="24"/>
          <w:highlight w:val="magenta"/>
          <w:lang w:eastAsia="en-GB"/>
        </w:rPr>
        <w:t>We review questions of law de novo.</w:t>
      </w:r>
      <w:r w:rsidRPr="0074106A">
        <w:rPr>
          <w:rFonts w:ascii="Georgia" w:eastAsia="Times New Roman" w:hAnsi="Georgia" w:cs="Times New Roman"/>
          <w:sz w:val="24"/>
          <w:szCs w:val="24"/>
          <w:lang w:eastAsia="en-GB"/>
        </w:rPr>
        <w:t> </w:t>
      </w:r>
      <w:r w:rsidRPr="0098048E">
        <w:rPr>
          <w:rFonts w:ascii="Georgia" w:eastAsia="Times New Roman" w:hAnsi="Georgia" w:cs="Times New Roman"/>
          <w:i/>
          <w:iCs/>
          <w:sz w:val="24"/>
          <w:szCs w:val="24"/>
          <w:lang w:eastAsia="en-GB"/>
        </w:rPr>
        <w:t>Gulfco of La. v. Brantley, </w:t>
      </w:r>
      <w:hyperlink r:id="rId17" w:history="1">
        <w:r w:rsidRPr="0098048E">
          <w:rPr>
            <w:rFonts w:ascii="Georgia" w:eastAsia="Times New Roman" w:hAnsi="Georgia" w:cs="Times New Roman"/>
            <w:color w:val="007BFF"/>
            <w:sz w:val="24"/>
            <w:szCs w:val="24"/>
            <w:lang w:eastAsia="en-GB"/>
          </w:rPr>
          <w:t>2013 Ark. 367</w:t>
        </w:r>
      </w:hyperlink>
      <w:r w:rsidRPr="0098048E">
        <w:rPr>
          <w:rFonts w:ascii="Georgia" w:eastAsia="Times New Roman" w:hAnsi="Georgia" w:cs="Times New Roman"/>
          <w:sz w:val="24"/>
          <w:szCs w:val="24"/>
          <w:lang w:eastAsia="en-GB"/>
        </w:rPr>
        <w:t>, </w:t>
      </w:r>
      <w:r w:rsidRPr="0098048E">
        <w:rPr>
          <w:rFonts w:ascii="Georgia" w:eastAsia="Times New Roman" w:hAnsi="Georgia" w:cs="Times New Roman"/>
          <w:color w:val="007BFF"/>
          <w:sz w:val="24"/>
          <w:szCs w:val="24"/>
          <w:lang w:eastAsia="en-GB"/>
        </w:rPr>
        <w:t>430 S.W.3d 7</w:t>
      </w:r>
      <w:r w:rsidRPr="0098048E">
        <w:rPr>
          <w:rFonts w:ascii="Georgia" w:eastAsia="Times New Roman" w:hAnsi="Georgia" w:cs="Times New Roman"/>
          <w:sz w:val="24"/>
          <w:szCs w:val="24"/>
          <w:lang w:eastAsia="en-GB"/>
        </w:rPr>
        <w:t>.</w:t>
      </w:r>
    </w:p>
    <w:p w14:paraId="03713AEE" w14:textId="44F37FB2" w:rsidR="0074106A" w:rsidRPr="0074106A" w:rsidRDefault="0074106A" w:rsidP="0074106A">
      <w:pPr>
        <w:spacing w:before="100" w:beforeAutospacing="1" w:after="225" w:line="240" w:lineRule="auto"/>
        <w:rPr>
          <w:rFonts w:ascii="Georgia" w:eastAsia="Times New Roman" w:hAnsi="Georgia" w:cs="Times New Roman"/>
          <w:sz w:val="24"/>
          <w:szCs w:val="24"/>
          <w:lang w:eastAsia="en-GB"/>
        </w:rPr>
      </w:pPr>
      <w:r w:rsidRPr="0074106A">
        <w:rPr>
          <w:rFonts w:ascii="Georgia" w:eastAsia="Times New Roman" w:hAnsi="Georgia" w:cs="Times New Roman"/>
          <w:sz w:val="24"/>
          <w:szCs w:val="24"/>
          <w:lang w:eastAsia="en-GB"/>
        </w:rPr>
        <w:t>Arkansas courts have recognized the caveat lessee doctrine for more than a century. </w:t>
      </w:r>
      <w:r w:rsidRPr="0074106A">
        <w:rPr>
          <w:rFonts w:ascii="Georgia" w:eastAsia="Times New Roman" w:hAnsi="Georgia" w:cs="Times New Roman"/>
          <w:i/>
          <w:iCs/>
          <w:sz w:val="24"/>
          <w:szCs w:val="24"/>
          <w:lang w:eastAsia="en-GB"/>
        </w:rPr>
        <w:t xml:space="preserve">See </w:t>
      </w:r>
      <w:r w:rsidRPr="0098048E">
        <w:rPr>
          <w:rFonts w:ascii="Georgia" w:eastAsia="Times New Roman" w:hAnsi="Georgia" w:cs="Times New Roman"/>
          <w:i/>
          <w:iCs/>
          <w:sz w:val="24"/>
          <w:szCs w:val="24"/>
          <w:highlight w:val="cyan"/>
          <w:lang w:eastAsia="en-GB"/>
        </w:rPr>
        <w:t>Propst v. McNeill, </w:t>
      </w:r>
      <w:hyperlink r:id="rId18" w:history="1">
        <w:r w:rsidRPr="0098048E">
          <w:rPr>
            <w:rFonts w:ascii="Georgia" w:eastAsia="Times New Roman" w:hAnsi="Georgia" w:cs="Times New Roman"/>
            <w:color w:val="007BFF"/>
            <w:sz w:val="24"/>
            <w:szCs w:val="24"/>
            <w:highlight w:val="cyan"/>
            <w:lang w:eastAsia="en-GB"/>
          </w:rPr>
          <w:t>326 Ark. 623</w:t>
        </w:r>
      </w:hyperlink>
      <w:r w:rsidRPr="0098048E">
        <w:rPr>
          <w:rFonts w:ascii="Georgia" w:eastAsia="Times New Roman" w:hAnsi="Georgia" w:cs="Times New Roman"/>
          <w:sz w:val="24"/>
          <w:szCs w:val="24"/>
          <w:highlight w:val="cyan"/>
          <w:lang w:eastAsia="en-GB"/>
        </w:rPr>
        <w:t>, </w:t>
      </w:r>
      <w:r w:rsidRPr="0098048E">
        <w:rPr>
          <w:rFonts w:ascii="Georgia" w:eastAsia="Times New Roman" w:hAnsi="Georgia" w:cs="Times New Roman"/>
          <w:color w:val="007BFF"/>
          <w:sz w:val="24"/>
          <w:szCs w:val="24"/>
          <w:highlight w:val="cyan"/>
          <w:lang w:eastAsia="en-GB"/>
        </w:rPr>
        <w:t>932 S.W.2d 766</w:t>
      </w:r>
      <w:r w:rsidRPr="0098048E">
        <w:rPr>
          <w:rFonts w:ascii="Georgia" w:eastAsia="Times New Roman" w:hAnsi="Georgia" w:cs="Times New Roman"/>
          <w:sz w:val="24"/>
          <w:szCs w:val="24"/>
          <w:highlight w:val="cyan"/>
          <w:lang w:eastAsia="en-GB"/>
        </w:rPr>
        <w:t>.(1996); </w:t>
      </w:r>
      <w:r w:rsidRPr="0098048E">
        <w:rPr>
          <w:rFonts w:ascii="Georgia" w:eastAsia="Times New Roman" w:hAnsi="Georgia" w:cs="Times New Roman"/>
          <w:i/>
          <w:iCs/>
          <w:sz w:val="24"/>
          <w:szCs w:val="24"/>
          <w:highlight w:val="cyan"/>
          <w:lang w:eastAsia="en-GB"/>
        </w:rPr>
        <w:t>Haizlip v. Rosenberg, </w:t>
      </w:r>
      <w:hyperlink r:id="rId19" w:history="1">
        <w:r w:rsidRPr="0098048E">
          <w:rPr>
            <w:rFonts w:ascii="Georgia" w:eastAsia="Times New Roman" w:hAnsi="Georgia" w:cs="Times New Roman"/>
            <w:color w:val="007BFF"/>
            <w:sz w:val="24"/>
            <w:szCs w:val="24"/>
            <w:highlight w:val="cyan"/>
            <w:lang w:eastAsia="en-GB"/>
          </w:rPr>
          <w:t>63 Ark. 430</w:t>
        </w:r>
      </w:hyperlink>
      <w:r w:rsidRPr="0098048E">
        <w:rPr>
          <w:rFonts w:ascii="Georgia" w:eastAsia="Times New Roman" w:hAnsi="Georgia" w:cs="Times New Roman"/>
          <w:sz w:val="24"/>
          <w:szCs w:val="24"/>
          <w:highlight w:val="cyan"/>
          <w:lang w:eastAsia="en-GB"/>
        </w:rPr>
        <w:t>, </w:t>
      </w:r>
      <w:r w:rsidRPr="0098048E">
        <w:rPr>
          <w:rFonts w:ascii="Georgia" w:eastAsia="Times New Roman" w:hAnsi="Georgia" w:cs="Times New Roman"/>
          <w:color w:val="007BFF"/>
          <w:sz w:val="24"/>
          <w:szCs w:val="24"/>
          <w:highlight w:val="cyan"/>
          <w:lang w:eastAsia="en-GB"/>
        </w:rPr>
        <w:t>39 S.W. 60</w:t>
      </w:r>
      <w:r w:rsidRPr="0098048E">
        <w:rPr>
          <w:rFonts w:ascii="Georgia" w:eastAsia="Times New Roman" w:hAnsi="Georgia" w:cs="Times New Roman"/>
          <w:sz w:val="24"/>
          <w:szCs w:val="24"/>
          <w:highlight w:val="cyan"/>
          <w:lang w:eastAsia="en-GB"/>
        </w:rPr>
        <w:t> (1897).</w:t>
      </w:r>
      <w:r w:rsidRPr="0074106A">
        <w:rPr>
          <w:rFonts w:ascii="Georgia" w:eastAsia="Times New Roman" w:hAnsi="Georgia" w:cs="Times New Roman"/>
          <w:sz w:val="24"/>
          <w:szCs w:val="24"/>
          <w:lang w:eastAsia="en-GB"/>
        </w:rPr>
        <w:t xml:space="preserve"> Under Arkansas law, it is irrelevant whether a third-party visitor to leased property is classified legally as a “licensee” or an “invitee” as long as the third-party visitor is present with the consent of the tenant. </w:t>
      </w:r>
      <w:r w:rsidRPr="0098048E">
        <w:rPr>
          <w:rFonts w:ascii="Georgia" w:eastAsia="Times New Roman" w:hAnsi="Georgia" w:cs="Times New Roman"/>
          <w:i/>
          <w:iCs/>
          <w:sz w:val="24"/>
          <w:szCs w:val="24"/>
          <w:highlight w:val="cyan"/>
          <w:lang w:eastAsia="en-GB"/>
        </w:rPr>
        <w:t>Stalter v. Akers, </w:t>
      </w:r>
      <w:hyperlink r:id="rId20" w:history="1">
        <w:r w:rsidRPr="0098048E">
          <w:rPr>
            <w:rFonts w:ascii="Georgia" w:eastAsia="Times New Roman" w:hAnsi="Georgia" w:cs="Times New Roman"/>
            <w:color w:val="007BFF"/>
            <w:sz w:val="24"/>
            <w:szCs w:val="24"/>
            <w:highlight w:val="cyan"/>
            <w:lang w:eastAsia="en-GB"/>
          </w:rPr>
          <w:t>303 Ark. 603</w:t>
        </w:r>
      </w:hyperlink>
      <w:r w:rsidRPr="0098048E">
        <w:rPr>
          <w:rFonts w:ascii="Georgia" w:eastAsia="Times New Roman" w:hAnsi="Georgia" w:cs="Times New Roman"/>
          <w:sz w:val="24"/>
          <w:szCs w:val="24"/>
          <w:highlight w:val="cyan"/>
          <w:lang w:eastAsia="en-GB"/>
        </w:rPr>
        <w:t>, 798 S.W.2d |9428 (1990).</w:t>
      </w:r>
      <w:r w:rsidRPr="0074106A">
        <w:rPr>
          <w:rFonts w:ascii="Georgia" w:eastAsia="Times New Roman" w:hAnsi="Georgia" w:cs="Times New Roman"/>
          <w:sz w:val="24"/>
          <w:szCs w:val="24"/>
          <w:lang w:eastAsia="en-GB"/>
        </w:rPr>
        <w:t xml:space="preserve"> In </w:t>
      </w:r>
      <w:r w:rsidRPr="0098048E">
        <w:rPr>
          <w:rFonts w:ascii="Georgia" w:eastAsia="Times New Roman" w:hAnsi="Georgia" w:cs="Times New Roman"/>
          <w:i/>
          <w:iCs/>
          <w:sz w:val="24"/>
          <w:szCs w:val="24"/>
          <w:highlight w:val="cyan"/>
          <w:lang w:eastAsia="en-GB"/>
        </w:rPr>
        <w:t>Stalter</w:t>
      </w:r>
      <w:r w:rsidRPr="0074106A">
        <w:rPr>
          <w:rFonts w:ascii="Georgia" w:eastAsia="Times New Roman" w:hAnsi="Georgia" w:cs="Times New Roman"/>
          <w:i/>
          <w:iCs/>
          <w:sz w:val="24"/>
          <w:szCs w:val="24"/>
          <w:lang w:eastAsia="en-GB"/>
        </w:rPr>
        <w:t>, </w:t>
      </w:r>
      <w:r w:rsidRPr="0074106A">
        <w:rPr>
          <w:rFonts w:ascii="Georgia" w:eastAsia="Times New Roman" w:hAnsi="Georgia" w:cs="Times New Roman"/>
          <w:sz w:val="24"/>
          <w:szCs w:val="24"/>
          <w:lang w:eastAsia="en-GB"/>
        </w:rPr>
        <w:t>our supreme court held that “the injured third party must establish a landlord’s contractual duty to repair a defect in the premises before he may recover for an injury suffered upon leased property over which the landlord has relinquished possession and control to a tenant.” </w:t>
      </w:r>
      <w:r w:rsidRPr="0098048E">
        <w:rPr>
          <w:rFonts w:ascii="Georgia" w:eastAsia="Times New Roman" w:hAnsi="Georgia" w:cs="Times New Roman"/>
          <w:i/>
          <w:iCs/>
          <w:color w:val="007BFF"/>
          <w:sz w:val="24"/>
          <w:szCs w:val="24"/>
          <w:highlight w:val="cyan"/>
          <w:lang w:eastAsia="en-GB"/>
        </w:rPr>
        <w:t>Id. </w:t>
      </w:r>
      <w:hyperlink r:id="rId21" w:history="1">
        <w:r w:rsidRPr="0098048E">
          <w:rPr>
            <w:rFonts w:ascii="Georgia" w:eastAsia="Times New Roman" w:hAnsi="Georgia" w:cs="Times New Roman"/>
            <w:color w:val="007BFF"/>
            <w:sz w:val="24"/>
            <w:szCs w:val="24"/>
            <w:highlight w:val="cyan"/>
            <w:lang w:eastAsia="en-GB"/>
          </w:rPr>
          <w:t>at 607</w:t>
        </w:r>
      </w:hyperlink>
      <w:r w:rsidRPr="0098048E">
        <w:rPr>
          <w:rFonts w:ascii="Georgia" w:eastAsia="Times New Roman" w:hAnsi="Georgia" w:cs="Times New Roman"/>
          <w:sz w:val="24"/>
          <w:szCs w:val="24"/>
          <w:highlight w:val="cyan"/>
          <w:lang w:eastAsia="en-GB"/>
        </w:rPr>
        <w:t>, </w:t>
      </w:r>
      <w:r w:rsidRPr="0098048E">
        <w:rPr>
          <w:rFonts w:ascii="Georgia" w:eastAsia="Times New Roman" w:hAnsi="Georgia" w:cs="Times New Roman"/>
          <w:color w:val="007BFF"/>
          <w:sz w:val="24"/>
          <w:szCs w:val="24"/>
          <w:highlight w:val="cyan"/>
          <w:lang w:eastAsia="en-GB"/>
        </w:rPr>
        <w:t>798 S.W.2d 428</w:t>
      </w:r>
      <w:r w:rsidRPr="0098048E">
        <w:rPr>
          <w:rFonts w:ascii="Georgia" w:eastAsia="Times New Roman" w:hAnsi="Georgia" w:cs="Times New Roman"/>
          <w:sz w:val="24"/>
          <w:szCs w:val="24"/>
          <w:highlight w:val="cyan"/>
          <w:lang w:eastAsia="en-GB"/>
        </w:rPr>
        <w:t>.</w:t>
      </w:r>
    </w:p>
    <w:p w14:paraId="03713AEF" w14:textId="7C88AB9B" w:rsidR="0074106A" w:rsidRPr="0074106A" w:rsidRDefault="0074106A" w:rsidP="0074106A">
      <w:pPr>
        <w:spacing w:before="100" w:beforeAutospacing="1" w:after="225" w:line="240" w:lineRule="auto"/>
        <w:rPr>
          <w:rFonts w:ascii="Georgia" w:eastAsia="Times New Roman" w:hAnsi="Georgia" w:cs="Times New Roman"/>
          <w:sz w:val="24"/>
          <w:szCs w:val="24"/>
          <w:lang w:eastAsia="en-GB"/>
        </w:rPr>
      </w:pPr>
      <w:r w:rsidRPr="0074106A">
        <w:rPr>
          <w:rFonts w:ascii="Georgia" w:eastAsia="Times New Roman" w:hAnsi="Georgia" w:cs="Times New Roman"/>
          <w:sz w:val="24"/>
          <w:szCs w:val="24"/>
          <w:lang w:eastAsia="en-GB"/>
        </w:rPr>
        <w:t xml:space="preserve">The Arkansas legislature decidedly approved of the caveat lessee doctrine by enacting </w:t>
      </w:r>
      <w:r w:rsidRPr="0098048E">
        <w:rPr>
          <w:rFonts w:ascii="Georgia" w:eastAsia="Times New Roman" w:hAnsi="Georgia" w:cs="Times New Roman"/>
          <w:sz w:val="24"/>
          <w:szCs w:val="24"/>
          <w:highlight w:val="cyan"/>
          <w:lang w:eastAsia="en-GB"/>
        </w:rPr>
        <w:t>Arkansas Code Annotated section 18-16-110 in the 2005 session by Act 928</w:t>
      </w:r>
      <w:r w:rsidRPr="0074106A">
        <w:rPr>
          <w:rFonts w:ascii="Georgia" w:eastAsia="Times New Roman" w:hAnsi="Georgia" w:cs="Times New Roman"/>
          <w:sz w:val="24"/>
          <w:szCs w:val="24"/>
          <w:lang w:eastAsia="en-GB"/>
        </w:rPr>
        <w:t xml:space="preserve">. In </w:t>
      </w:r>
      <w:r w:rsidRPr="0098048E">
        <w:rPr>
          <w:rFonts w:ascii="Georgia" w:eastAsia="Times New Roman" w:hAnsi="Georgia" w:cs="Times New Roman"/>
          <w:sz w:val="24"/>
          <w:szCs w:val="24"/>
          <w:highlight w:val="cyan"/>
          <w:lang w:eastAsia="en-GB"/>
        </w:rPr>
        <w:t>Section 1</w:t>
      </w:r>
      <w:r w:rsidRPr="0074106A">
        <w:rPr>
          <w:rFonts w:ascii="Georgia" w:eastAsia="Times New Roman" w:hAnsi="Georgia" w:cs="Times New Roman"/>
          <w:sz w:val="24"/>
          <w:szCs w:val="24"/>
          <w:lang w:eastAsia="en-GB"/>
        </w:rPr>
        <w:t>, explaining the legislative purpose and intent of this statute, our legislature declared that the Arkansas Supreme Court had “properly and correctly inter</w:t>
      </w:r>
      <w:hyperlink r:id="rId22" w:anchor="p634" w:history="1">
        <w:r w:rsidRPr="0074106A">
          <w:rPr>
            <w:rFonts w:ascii="Georgia" w:eastAsia="Times New Roman" w:hAnsi="Georgia" w:cs="Times New Roman"/>
            <w:i/>
            <w:iCs/>
            <w:color w:val="979797"/>
            <w:sz w:val="19"/>
            <w:szCs w:val="19"/>
            <w:lang w:eastAsia="en-GB"/>
          </w:rPr>
          <w:t>*634</w:t>
        </w:r>
      </w:hyperlink>
      <w:r w:rsidRPr="0074106A">
        <w:rPr>
          <w:rFonts w:ascii="Georgia" w:eastAsia="Times New Roman" w:hAnsi="Georgia" w:cs="Times New Roman"/>
          <w:sz w:val="24"/>
          <w:szCs w:val="24"/>
          <w:lang w:eastAsia="en-GB"/>
        </w:rPr>
        <w:t>preted and applied the law and that existing law should not be altered or extended.” </w:t>
      </w:r>
      <w:r w:rsidRPr="0074106A">
        <w:rPr>
          <w:rFonts w:ascii="Georgia" w:eastAsia="Times New Roman" w:hAnsi="Georgia" w:cs="Times New Roman"/>
          <w:i/>
          <w:iCs/>
          <w:color w:val="007BFF"/>
          <w:sz w:val="24"/>
          <w:szCs w:val="24"/>
          <w:lang w:eastAsia="en-GB"/>
        </w:rPr>
        <w:t>Id.</w:t>
      </w:r>
      <w:r w:rsidRPr="0074106A">
        <w:rPr>
          <w:rFonts w:ascii="Georgia" w:eastAsia="Times New Roman" w:hAnsi="Georgia" w:cs="Times New Roman"/>
          <w:i/>
          <w:iCs/>
          <w:sz w:val="24"/>
          <w:szCs w:val="24"/>
          <w:lang w:eastAsia="en-GB"/>
        </w:rPr>
        <w:t> </w:t>
      </w:r>
      <w:r w:rsidRPr="0074106A">
        <w:rPr>
          <w:rFonts w:ascii="Georgia" w:eastAsia="Times New Roman" w:hAnsi="Georgia" w:cs="Times New Roman"/>
          <w:sz w:val="24"/>
          <w:szCs w:val="24"/>
          <w:lang w:eastAsia="en-GB"/>
        </w:rPr>
        <w:t xml:space="preserve">at </w:t>
      </w:r>
      <w:r w:rsidRPr="0098048E">
        <w:rPr>
          <w:rFonts w:ascii="Georgia" w:eastAsia="Times New Roman" w:hAnsi="Georgia" w:cs="Times New Roman"/>
          <w:sz w:val="24"/>
          <w:szCs w:val="24"/>
          <w:highlight w:val="cyan"/>
          <w:lang w:eastAsia="en-GB"/>
        </w:rPr>
        <w:t>Section 1(c)(1).</w:t>
      </w:r>
      <w:r w:rsidRPr="0074106A">
        <w:rPr>
          <w:rFonts w:ascii="Georgia" w:eastAsia="Times New Roman" w:hAnsi="Georgia" w:cs="Times New Roman"/>
          <w:sz w:val="24"/>
          <w:szCs w:val="24"/>
          <w:lang w:eastAsia="en-GB"/>
        </w:rPr>
        <w:t xml:space="preserve"> The legislature further declared that the purpose and intent of the act was to codify the existing Arkansas common-law rule. </w:t>
      </w:r>
      <w:hyperlink r:id="rId23" w:history="1">
        <w:r w:rsidRPr="0074106A">
          <w:rPr>
            <w:rFonts w:ascii="Georgia" w:eastAsia="Times New Roman" w:hAnsi="Georgia" w:cs="Times New Roman"/>
            <w:i/>
            <w:iCs/>
            <w:color w:val="007BFF"/>
            <w:sz w:val="24"/>
            <w:szCs w:val="24"/>
            <w:lang w:eastAsia="en-GB"/>
          </w:rPr>
          <w:t>Id.</w:t>
        </w:r>
      </w:hyperlink>
      <w:r w:rsidRPr="0074106A">
        <w:rPr>
          <w:rFonts w:ascii="Georgia" w:eastAsia="Times New Roman" w:hAnsi="Georgia" w:cs="Times New Roman"/>
          <w:i/>
          <w:iCs/>
          <w:sz w:val="24"/>
          <w:szCs w:val="24"/>
          <w:lang w:eastAsia="en-GB"/>
        </w:rPr>
        <w:t> </w:t>
      </w:r>
      <w:r w:rsidRPr="0074106A">
        <w:rPr>
          <w:rFonts w:ascii="Georgia" w:eastAsia="Times New Roman" w:hAnsi="Georgia" w:cs="Times New Roman"/>
          <w:sz w:val="24"/>
          <w:szCs w:val="24"/>
          <w:lang w:eastAsia="en-GB"/>
        </w:rPr>
        <w:t xml:space="preserve">at </w:t>
      </w:r>
      <w:r w:rsidRPr="0098048E">
        <w:rPr>
          <w:rFonts w:ascii="Georgia" w:eastAsia="Times New Roman" w:hAnsi="Georgia" w:cs="Times New Roman"/>
          <w:sz w:val="24"/>
          <w:szCs w:val="24"/>
          <w:highlight w:val="cyan"/>
          <w:lang w:eastAsia="en-GB"/>
        </w:rPr>
        <w:t>Section 1(c)(2)</w:t>
      </w:r>
      <w:r w:rsidRPr="0074106A">
        <w:rPr>
          <w:rFonts w:ascii="Georgia" w:eastAsia="Times New Roman" w:hAnsi="Georgia" w:cs="Times New Roman"/>
          <w:sz w:val="24"/>
          <w:szCs w:val="24"/>
          <w:lang w:eastAsia="en-GB"/>
        </w:rPr>
        <w:t>. The enacted statute states as follows':-</w:t>
      </w:r>
    </w:p>
    <w:p w14:paraId="03713AF0" w14:textId="77777777" w:rsidR="0074106A" w:rsidRPr="0074106A" w:rsidRDefault="0074106A" w:rsidP="0074106A">
      <w:pPr>
        <w:spacing w:before="100" w:beforeAutospacing="1" w:after="225" w:line="240" w:lineRule="auto"/>
        <w:rPr>
          <w:rFonts w:ascii="Georgia" w:eastAsia="Times New Roman" w:hAnsi="Georgia" w:cs="Times New Roman"/>
          <w:sz w:val="24"/>
          <w:szCs w:val="24"/>
          <w:lang w:eastAsia="en-GB"/>
        </w:rPr>
      </w:pPr>
      <w:r w:rsidRPr="0074106A">
        <w:rPr>
          <w:rFonts w:ascii="Georgia" w:eastAsia="Times New Roman" w:hAnsi="Georgia" w:cs="Times New Roman"/>
          <w:sz w:val="24"/>
          <w:szCs w:val="24"/>
          <w:lang w:eastAsia="en-GB"/>
        </w:rPr>
        <w:t>No landlord or agent or employee of a landlord shall be liable to a tenant or a tenant’s licensee or invitee for death, personal injury, or property damage proximately caused by any defect or disrepair on the premises' absent the landlord’s:</w:t>
      </w:r>
    </w:p>
    <w:p w14:paraId="03713AF1" w14:textId="77777777" w:rsidR="0074106A" w:rsidRPr="0074106A" w:rsidRDefault="0074106A" w:rsidP="0074106A">
      <w:pPr>
        <w:spacing w:after="100" w:line="240" w:lineRule="auto"/>
        <w:rPr>
          <w:rFonts w:ascii="Georgia" w:eastAsia="Times New Roman" w:hAnsi="Georgia" w:cs="Times New Roman"/>
          <w:color w:val="004FB3"/>
          <w:sz w:val="24"/>
          <w:szCs w:val="24"/>
          <w:lang w:eastAsia="en-GB"/>
        </w:rPr>
      </w:pPr>
      <w:r w:rsidRPr="0074106A">
        <w:rPr>
          <w:rFonts w:ascii="Georgia" w:eastAsia="Times New Roman" w:hAnsi="Georgia" w:cs="Times New Roman"/>
          <w:color w:val="004FB3"/>
          <w:sz w:val="24"/>
          <w:szCs w:val="24"/>
          <w:lang w:eastAsia="en-GB"/>
        </w:rPr>
        <w:t>(1) Agreement supported by consideration or assumption by conduct of a duty to undertake an obligation to maintain or repair the leased premises; and</w:t>
      </w:r>
    </w:p>
    <w:p w14:paraId="03713AF2" w14:textId="77777777" w:rsidR="0074106A" w:rsidRPr="0074106A" w:rsidRDefault="0074106A" w:rsidP="0074106A">
      <w:pPr>
        <w:spacing w:after="100" w:line="240" w:lineRule="auto"/>
        <w:rPr>
          <w:rFonts w:ascii="Georgia" w:eastAsia="Times New Roman" w:hAnsi="Georgia" w:cs="Times New Roman"/>
          <w:color w:val="004FB3"/>
          <w:sz w:val="24"/>
          <w:szCs w:val="24"/>
          <w:lang w:eastAsia="en-GB"/>
        </w:rPr>
      </w:pPr>
      <w:r w:rsidRPr="0074106A">
        <w:rPr>
          <w:rFonts w:ascii="Georgia" w:eastAsia="Times New Roman" w:hAnsi="Georgia" w:cs="Times New Roman"/>
          <w:color w:val="004FB3"/>
          <w:sz w:val="24"/>
          <w:szCs w:val="24"/>
          <w:lang w:eastAsia="en-GB"/>
        </w:rPr>
        <w:t>(2) Failure to perform the agreement or assumed duty in a reasonable manner.</w:t>
      </w:r>
    </w:p>
    <w:p w14:paraId="03713AF3" w14:textId="77777777" w:rsidR="0074106A" w:rsidRPr="0074106A" w:rsidRDefault="0074106A" w:rsidP="0074106A">
      <w:pPr>
        <w:spacing w:before="100" w:beforeAutospacing="1" w:after="225" w:line="240" w:lineRule="auto"/>
        <w:rPr>
          <w:rFonts w:ascii="Georgia" w:eastAsia="Times New Roman" w:hAnsi="Georgia" w:cs="Times New Roman"/>
          <w:sz w:val="24"/>
          <w:szCs w:val="24"/>
          <w:lang w:eastAsia="en-GB"/>
        </w:rPr>
      </w:pPr>
      <w:r w:rsidRPr="0098048E">
        <w:rPr>
          <w:rFonts w:ascii="Georgia" w:eastAsia="Times New Roman" w:hAnsi="Georgia" w:cs="Times New Roman"/>
          <w:sz w:val="24"/>
          <w:szCs w:val="24"/>
          <w:highlight w:val="green"/>
          <w:lang w:eastAsia="en-GB"/>
        </w:rPr>
        <w:t>In this case, there is no proof whatsoever of an agreement or contractual undertaking of a legal duty to maintain or repair the leased premises.</w:t>
      </w:r>
    </w:p>
    <w:p w14:paraId="03713AF4" w14:textId="0D953687" w:rsidR="0074106A" w:rsidRPr="0074106A" w:rsidRDefault="0074106A" w:rsidP="0074106A">
      <w:pPr>
        <w:spacing w:before="100" w:beforeAutospacing="1" w:after="225" w:line="240" w:lineRule="auto"/>
        <w:rPr>
          <w:rFonts w:ascii="Georgia" w:eastAsia="Times New Roman" w:hAnsi="Georgia" w:cs="Times New Roman"/>
          <w:sz w:val="24"/>
          <w:szCs w:val="24"/>
          <w:lang w:eastAsia="en-GB"/>
        </w:rPr>
      </w:pPr>
      <w:r w:rsidRPr="0074106A">
        <w:rPr>
          <w:rFonts w:ascii="Georgia" w:eastAsia="Times New Roman" w:hAnsi="Georgia" w:cs="Times New Roman"/>
          <w:sz w:val="24"/>
          <w:szCs w:val="24"/>
          <w:lang w:eastAsia="en-GB"/>
        </w:rPr>
        <w:t>The only other means to attach a duty would be if there were an assumption by conduct of a duty to maintain or repair the leased premises. One who assumes to act, even though gratuitously, may thereby become subject to the duty of acting carefully, if he acts at all. </w:t>
      </w:r>
      <w:r w:rsidRPr="0098048E">
        <w:rPr>
          <w:rFonts w:ascii="Georgia" w:eastAsia="Times New Roman" w:hAnsi="Georgia" w:cs="Times New Roman"/>
          <w:i/>
          <w:iCs/>
          <w:sz w:val="24"/>
          <w:szCs w:val="24"/>
          <w:highlight w:val="cyan"/>
          <w:lang w:eastAsia="en-GB"/>
        </w:rPr>
        <w:t>Yanmar Co. v. Slater, </w:t>
      </w:r>
      <w:r w:rsidRPr="0098048E">
        <w:rPr>
          <w:rFonts w:ascii="Georgia" w:eastAsia="Times New Roman" w:hAnsi="Georgia" w:cs="Times New Roman"/>
          <w:color w:val="007BFF"/>
          <w:sz w:val="24"/>
          <w:szCs w:val="24"/>
          <w:highlight w:val="cyan"/>
          <w:lang w:eastAsia="en-GB"/>
        </w:rPr>
        <w:t>2012 Ark. 36</w:t>
      </w:r>
      <w:r w:rsidRPr="0098048E">
        <w:rPr>
          <w:rFonts w:ascii="Georgia" w:eastAsia="Times New Roman" w:hAnsi="Georgia" w:cs="Times New Roman"/>
          <w:sz w:val="24"/>
          <w:szCs w:val="24"/>
          <w:highlight w:val="cyan"/>
          <w:lang w:eastAsia="en-GB"/>
        </w:rPr>
        <w:t>, </w:t>
      </w:r>
      <w:hyperlink r:id="rId24" w:history="1">
        <w:r w:rsidRPr="0098048E">
          <w:rPr>
            <w:rFonts w:ascii="Georgia" w:eastAsia="Times New Roman" w:hAnsi="Georgia" w:cs="Times New Roman"/>
            <w:color w:val="007BFF"/>
            <w:sz w:val="24"/>
            <w:szCs w:val="24"/>
            <w:highlight w:val="cyan"/>
            <w:lang w:eastAsia="en-GB"/>
          </w:rPr>
          <w:t>386 S.W.3d 439</w:t>
        </w:r>
      </w:hyperlink>
      <w:r w:rsidRPr="0098048E">
        <w:rPr>
          <w:rFonts w:ascii="Georgia" w:eastAsia="Times New Roman" w:hAnsi="Georgia" w:cs="Times New Roman"/>
          <w:sz w:val="24"/>
          <w:szCs w:val="24"/>
          <w:highlight w:val="cyan"/>
          <w:lang w:eastAsia="en-GB"/>
        </w:rPr>
        <w:t>.</w:t>
      </w:r>
      <w:r w:rsidRPr="0074106A">
        <w:rPr>
          <w:rFonts w:ascii="Georgia" w:eastAsia="Times New Roman" w:hAnsi="Georgia" w:cs="Times New Roman"/>
          <w:sz w:val="24"/>
          <w:szCs w:val="24"/>
          <w:lang w:eastAsia="en-GB"/>
        </w:rPr>
        <w:t xml:space="preserve"> The degree of the undertaking defines the scope of the duty of care owed to the third party. </w:t>
      </w:r>
      <w:r w:rsidRPr="0098048E">
        <w:rPr>
          <w:rFonts w:ascii="Georgia" w:eastAsia="Times New Roman" w:hAnsi="Georgia" w:cs="Times New Roman"/>
          <w:i/>
          <w:iCs/>
          <w:sz w:val="24"/>
          <w:szCs w:val="24"/>
          <w:highlight w:val="cyan"/>
          <w:lang w:eastAsia="en-GB"/>
        </w:rPr>
        <w:t>Lloyd, </w:t>
      </w:r>
      <w:r w:rsidRPr="0098048E">
        <w:rPr>
          <w:rFonts w:ascii="Georgia" w:eastAsia="Times New Roman" w:hAnsi="Georgia" w:cs="Times New Roman"/>
          <w:i/>
          <w:iCs/>
          <w:color w:val="007BFF"/>
          <w:sz w:val="24"/>
          <w:szCs w:val="24"/>
          <w:highlight w:val="cyan"/>
          <w:lang w:eastAsia="en-GB"/>
        </w:rPr>
        <w:t>supra.</w:t>
      </w:r>
    </w:p>
    <w:p w14:paraId="03713AF5" w14:textId="77777777" w:rsidR="0074106A" w:rsidRPr="0074106A" w:rsidRDefault="0074106A" w:rsidP="0074106A">
      <w:pPr>
        <w:spacing w:before="100" w:beforeAutospacing="1" w:after="225" w:line="240" w:lineRule="auto"/>
        <w:rPr>
          <w:rFonts w:ascii="Georgia" w:eastAsia="Times New Roman" w:hAnsi="Georgia" w:cs="Times New Roman"/>
          <w:sz w:val="24"/>
          <w:szCs w:val="24"/>
          <w:lang w:eastAsia="en-GB"/>
        </w:rPr>
      </w:pPr>
      <w:r w:rsidRPr="0098048E">
        <w:rPr>
          <w:rFonts w:ascii="Georgia" w:eastAsia="Times New Roman" w:hAnsi="Georgia" w:cs="Times New Roman"/>
          <w:sz w:val="24"/>
          <w:szCs w:val="24"/>
          <w:highlight w:val="green"/>
          <w:lang w:eastAsia="en-GB"/>
        </w:rPr>
        <w:t xml:space="preserve">Assuming, arguendo, that we were to agree with appellant that Heritage assumed a legal duty in this case, we hold that the trial court did not err in entering </w:t>
      </w:r>
      <w:r w:rsidR="0098048E" w:rsidRPr="0098048E">
        <w:rPr>
          <w:rFonts w:ascii="Georgia" w:eastAsia="Times New Roman" w:hAnsi="Georgia" w:cs="Times New Roman"/>
          <w:sz w:val="24"/>
          <w:szCs w:val="24"/>
          <w:highlight w:val="green"/>
          <w:lang w:eastAsia="en-GB"/>
        </w:rPr>
        <w:t xml:space="preserve">summary judgment because there </w:t>
      </w:r>
      <w:r w:rsidRPr="0098048E">
        <w:rPr>
          <w:rFonts w:ascii="Georgia" w:eastAsia="Times New Roman" w:hAnsi="Georgia" w:cs="Times New Roman"/>
          <w:sz w:val="24"/>
          <w:szCs w:val="24"/>
          <w:highlight w:val="green"/>
          <w:lang w:eastAsia="en-GB"/>
        </w:rPr>
        <w:t>is</w:t>
      </w:r>
      <w:r w:rsidR="0098048E" w:rsidRPr="0098048E">
        <w:rPr>
          <w:rFonts w:ascii="Georgia" w:eastAsia="Times New Roman" w:hAnsi="Georgia" w:cs="Times New Roman"/>
          <w:sz w:val="24"/>
          <w:szCs w:val="24"/>
          <w:highlight w:val="green"/>
          <w:lang w:eastAsia="en-GB"/>
        </w:rPr>
        <w:t xml:space="preserve"> no evidence of any breach of an</w:t>
      </w:r>
      <w:r w:rsidRPr="0098048E">
        <w:rPr>
          <w:rFonts w:ascii="Georgia" w:eastAsia="Times New Roman" w:hAnsi="Georgia" w:cs="Times New Roman"/>
          <w:sz w:val="24"/>
          <w:szCs w:val="24"/>
          <w:highlight w:val="green"/>
          <w:lang w:eastAsia="en-GB"/>
        </w:rPr>
        <w:t xml:space="preserve"> allegedly assumed duty and thus no negligence. Appellant alleged in her complaint that Heritage was negligent in that it “failed to adequately clean the water up” and “negligently maintained a dangerous and' unsafe condition” when it failed in its duty to keep people out of the dangerous area. Even if these duties were assumed by Heritage, it met its duty to protect others from the dangerous condition by providing immediate basic cleanup of this water intrusion upon notification and did so in a proper and prudent manner.</w:t>
      </w:r>
    </w:p>
    <w:p w14:paraId="03713AF6" w14:textId="77777777" w:rsidR="0074106A" w:rsidRPr="0074106A" w:rsidRDefault="0074106A" w:rsidP="0074106A">
      <w:pPr>
        <w:spacing w:before="100" w:beforeAutospacing="1" w:after="225" w:line="240" w:lineRule="auto"/>
        <w:rPr>
          <w:rFonts w:ascii="Georgia" w:eastAsia="Times New Roman" w:hAnsi="Georgia" w:cs="Times New Roman"/>
          <w:sz w:val="24"/>
          <w:szCs w:val="24"/>
          <w:lang w:eastAsia="en-GB"/>
        </w:rPr>
      </w:pPr>
      <w:r w:rsidRPr="0098048E">
        <w:rPr>
          <w:rFonts w:ascii="Georgia" w:eastAsia="Times New Roman" w:hAnsi="Georgia" w:cs="Times New Roman"/>
          <w:sz w:val="24"/>
          <w:szCs w:val="24"/>
          <w:highlight w:val="green"/>
          <w:lang w:eastAsia="en-GB"/>
        </w:rPr>
        <w:t xml:space="preserve">It is undisputed that the first sitter (Patterson) notified Herd of the leak. Herd immediately shut off the water valves to the upstairs hot water tank. Herd used a shop vacuum to remove the water from Lawrence’s carpet and placed fans in the apartment to aid in the drying process. The housekeeper (House) set out “Wet Floor” signs just outside the apartment in the hallway, and House verbally reminded appellant to be careful of the wet floor immediately prior to appellant’s fall. Appellant participated in the water cleanup by mopping the kitchen floor. Appellant was fully aware of the water leakage that penetrated the living room carpet. Appellant walked back and forth over the Carpet that morning several times before she fell. There is no other reasonable conclusion to be drawn but that Heritage did not breach any alleged assumed duty of care to appellant. The undisputed facts show that Heritage used, at the very least, ordinary care to remove the water and to prevent harm to appellant. </w:t>
      </w:r>
      <w:r w:rsidRPr="0098048E">
        <w:rPr>
          <w:rFonts w:ascii="Georgia" w:eastAsia="Times New Roman" w:hAnsi="Georgia" w:cs="Times New Roman"/>
          <w:sz w:val="24"/>
          <w:szCs w:val="24"/>
          <w:highlight w:val="red"/>
          <w:lang w:eastAsia="en-GB"/>
        </w:rPr>
        <w:t>The trial court did not err in entering summary judgment on this basis.</w:t>
      </w:r>
    </w:p>
    <w:p w14:paraId="03713AF7" w14:textId="77777777" w:rsidR="0074106A" w:rsidRPr="0074106A" w:rsidRDefault="0074106A" w:rsidP="0074106A">
      <w:pPr>
        <w:spacing w:before="100" w:beforeAutospacing="1" w:after="225" w:line="240" w:lineRule="auto"/>
        <w:rPr>
          <w:rFonts w:ascii="Georgia" w:eastAsia="Times New Roman" w:hAnsi="Georgia" w:cs="Times New Roman"/>
          <w:sz w:val="24"/>
          <w:szCs w:val="24"/>
          <w:lang w:eastAsia="en-GB"/>
        </w:rPr>
      </w:pPr>
      <w:r w:rsidRPr="0074106A">
        <w:rPr>
          <w:rFonts w:ascii="Georgia" w:eastAsia="Times New Roman" w:hAnsi="Georgia" w:cs="Times New Roman"/>
          <w:sz w:val="24"/>
          <w:szCs w:val="24"/>
          <w:lang w:eastAsia="en-GB"/>
        </w:rPr>
        <w:t>Heightened Standard for Assisted Living Facilities</w:t>
      </w:r>
    </w:p>
    <w:p w14:paraId="03713AF8" w14:textId="77777777" w:rsidR="0074106A" w:rsidRPr="0074106A" w:rsidRDefault="0074106A" w:rsidP="0074106A">
      <w:pPr>
        <w:spacing w:before="100" w:beforeAutospacing="1" w:after="225" w:line="240" w:lineRule="auto"/>
        <w:rPr>
          <w:rFonts w:ascii="Georgia" w:eastAsia="Times New Roman" w:hAnsi="Georgia" w:cs="Times New Roman"/>
          <w:sz w:val="24"/>
          <w:szCs w:val="24"/>
          <w:lang w:eastAsia="en-GB"/>
        </w:rPr>
      </w:pPr>
      <w:r w:rsidRPr="0098048E">
        <w:rPr>
          <w:rFonts w:ascii="Georgia" w:eastAsia="Times New Roman" w:hAnsi="Georgia" w:cs="Times New Roman"/>
          <w:sz w:val="24"/>
          <w:szCs w:val="24"/>
          <w:highlight w:val="green"/>
          <w:lang w:eastAsia="en-GB"/>
        </w:rPr>
        <w:t xml:space="preserve">Appellant also argues that Heritage is an </w:t>
      </w:r>
      <w:r w:rsidR="0098048E" w:rsidRPr="0098048E">
        <w:rPr>
          <w:rFonts w:ascii="Georgia" w:eastAsia="Times New Roman" w:hAnsi="Georgia" w:cs="Times New Roman"/>
          <w:sz w:val="24"/>
          <w:szCs w:val="24"/>
          <w:highlight w:val="green"/>
          <w:lang w:eastAsia="en-GB"/>
        </w:rPr>
        <w:t>assisted liv</w:t>
      </w:r>
      <w:r w:rsidRPr="0098048E">
        <w:rPr>
          <w:rFonts w:ascii="Georgia" w:eastAsia="Times New Roman" w:hAnsi="Georgia" w:cs="Times New Roman"/>
          <w:sz w:val="24"/>
          <w:szCs w:val="24"/>
          <w:highlight w:val="green"/>
          <w:lang w:eastAsia="en-GB"/>
        </w:rPr>
        <w:t>ing facility, not an apartment complex,, and thus it owes duties under statutes and regulations applicable to assisted living facilities.</w:t>
      </w:r>
      <w:r w:rsidRPr="0074106A">
        <w:rPr>
          <w:rFonts w:ascii="Georgia" w:eastAsia="Times New Roman" w:hAnsi="Georgia" w:cs="Times New Roman"/>
          <w:sz w:val="24"/>
          <w:szCs w:val="24"/>
          <w:lang w:eastAsia="en-GB"/>
        </w:rPr>
        <w:t> </w:t>
      </w:r>
      <w:r w:rsidRPr="0074106A">
        <w:rPr>
          <w:rFonts w:ascii="Georgia" w:eastAsia="Times New Roman" w:hAnsi="Georgia" w:cs="Times New Roman"/>
          <w:i/>
          <w:iCs/>
          <w:sz w:val="24"/>
          <w:szCs w:val="24"/>
          <w:lang w:eastAsia="en-GB"/>
        </w:rPr>
        <w:t>See </w:t>
      </w:r>
      <w:hyperlink r:id="rId25" w:anchor="p635" w:history="1">
        <w:r w:rsidRPr="0074106A">
          <w:rPr>
            <w:rFonts w:ascii="Georgia" w:eastAsia="Times New Roman" w:hAnsi="Georgia" w:cs="Times New Roman"/>
            <w:i/>
            <w:iCs/>
            <w:color w:val="979797"/>
            <w:sz w:val="19"/>
            <w:szCs w:val="19"/>
            <w:lang w:eastAsia="en-GB"/>
          </w:rPr>
          <w:t>*635</w:t>
        </w:r>
      </w:hyperlink>
      <w:r w:rsidRPr="0074106A">
        <w:rPr>
          <w:rFonts w:ascii="Georgia" w:eastAsia="Times New Roman" w:hAnsi="Georgia" w:cs="Times New Roman"/>
          <w:sz w:val="24"/>
          <w:szCs w:val="24"/>
          <w:lang w:eastAsia="en-GB"/>
        </w:rPr>
        <w:t xml:space="preserve">Ark,Code Ann. §§ 20-10-1701 et seq. (the Arkansas Assisted Living Act of 2001, Act 1230). Appellant appended documents to her response to the motion for summary-judgment indicating that internet postings and insurance paperwork described Heritage as an assisted living facility. Appel-lee replied that Heritage’s manager, housekeeper, and occasional maintenance man had been deposed and that appellant failed to acquire admissible evidence to support the assertion that Heritage fit within the definition of an assisted living facility. Appellee asserted that the materials that appellant did provide were not admissible evidence for summary-judgment purposes. </w:t>
      </w:r>
      <w:r w:rsidRPr="0098048E">
        <w:rPr>
          <w:rFonts w:ascii="Georgia" w:eastAsia="Times New Roman" w:hAnsi="Georgia" w:cs="Times New Roman"/>
          <w:sz w:val="24"/>
          <w:szCs w:val="24"/>
          <w:highlight w:val="green"/>
          <w:lang w:eastAsia="en-GB"/>
        </w:rPr>
        <w:t>We hold that the trial court did not err in finding that appellant failed to meet proof with proof on this issue.</w:t>
      </w:r>
    </w:p>
    <w:p w14:paraId="03713AF9" w14:textId="59255AEA" w:rsidR="0074106A" w:rsidRPr="0074106A" w:rsidRDefault="0074106A" w:rsidP="0074106A">
      <w:pPr>
        <w:spacing w:before="100" w:beforeAutospacing="1" w:after="0" w:line="240" w:lineRule="auto"/>
        <w:rPr>
          <w:rFonts w:ascii="Georgia" w:eastAsia="Times New Roman" w:hAnsi="Georgia" w:cs="Times New Roman"/>
          <w:sz w:val="24"/>
          <w:szCs w:val="24"/>
          <w:lang w:eastAsia="en-GB"/>
        </w:rPr>
      </w:pPr>
      <w:r w:rsidRPr="0074106A">
        <w:rPr>
          <w:rFonts w:ascii="Georgia" w:eastAsia="Times New Roman" w:hAnsi="Georgia" w:cs="Times New Roman"/>
          <w:sz w:val="24"/>
          <w:szCs w:val="24"/>
          <w:lang w:eastAsia="en-GB"/>
        </w:rPr>
        <w:t>While appellant contends that discovery remained outstanding on Heritage’s corporate identity, appellant did not ask that the matter be continued so that further discovery could be had.</w:t>
      </w:r>
      <w:r w:rsidRPr="0074106A">
        <w:rPr>
          <w:rFonts w:ascii="Georgia" w:eastAsia="Times New Roman" w:hAnsi="Georgia" w:cs="Times New Roman"/>
          <w:b/>
          <w:bCs/>
          <w:color w:val="E878FF"/>
          <w:sz w:val="24"/>
          <w:szCs w:val="24"/>
          <w:vertAlign w:val="superscript"/>
          <w:lang w:eastAsia="en-GB"/>
        </w:rPr>
        <w:t>3</w:t>
      </w:r>
      <w:r w:rsidRPr="0074106A">
        <w:rPr>
          <w:rFonts w:ascii="Georgia" w:eastAsia="Times New Roman" w:hAnsi="Georgia" w:cs="Times New Roman"/>
          <w:sz w:val="24"/>
          <w:szCs w:val="24"/>
          <w:lang w:eastAsia="en-GB"/>
        </w:rPr>
        <w:t> Any such request would have been a discretionary decision of the trial court pursuant to Arkansas Rule of Civil Procedure 56(f).</w:t>
      </w:r>
      <w:hyperlink r:id="rId26" w:anchor="footnote_1_4" w:history="1">
        <w:r w:rsidRPr="0074106A">
          <w:rPr>
            <w:rFonts w:ascii="Georgia" w:eastAsia="Times New Roman" w:hAnsi="Georgia" w:cs="Times New Roman"/>
            <w:b/>
            <w:bCs/>
            <w:color w:val="E878FF"/>
            <w:sz w:val="24"/>
            <w:szCs w:val="24"/>
            <w:vertAlign w:val="superscript"/>
            <w:lang w:eastAsia="en-GB"/>
          </w:rPr>
          <w:t>4</w:t>
        </w:r>
      </w:hyperlink>
      <w:r w:rsidRPr="0074106A">
        <w:rPr>
          <w:rFonts w:ascii="Georgia" w:eastAsia="Times New Roman" w:hAnsi="Georgia" w:cs="Times New Roman"/>
          <w:sz w:val="24"/>
          <w:szCs w:val="24"/>
          <w:lang w:eastAsia="en-GB"/>
        </w:rPr>
        <w:t> Appellant merely stated |12that discovery was ongoing and might lead to further clarification of Heritage’s status. A request for more time to respond to a motion for summary judgment, including on the basis that a party desires further discovery, must comply with Rule 56(f), and appellant failed to comply with this Rule. </w:t>
      </w:r>
      <w:r w:rsidRPr="0074106A">
        <w:rPr>
          <w:rFonts w:ascii="Georgia" w:eastAsia="Times New Roman" w:hAnsi="Georgia" w:cs="Times New Roman"/>
          <w:i/>
          <w:iCs/>
          <w:sz w:val="24"/>
          <w:szCs w:val="24"/>
          <w:lang w:eastAsia="en-GB"/>
        </w:rPr>
        <w:t>See Loghry v. Rogers Grp., Inc., </w:t>
      </w:r>
      <w:r w:rsidRPr="0074106A">
        <w:rPr>
          <w:rFonts w:ascii="Georgia" w:eastAsia="Times New Roman" w:hAnsi="Georgia" w:cs="Times New Roman"/>
          <w:color w:val="007BFF"/>
          <w:sz w:val="24"/>
          <w:szCs w:val="24"/>
          <w:lang w:eastAsia="en-GB"/>
        </w:rPr>
        <w:t>348 Ark. 369</w:t>
      </w:r>
      <w:r w:rsidRPr="0074106A">
        <w:rPr>
          <w:rFonts w:ascii="Georgia" w:eastAsia="Times New Roman" w:hAnsi="Georgia" w:cs="Times New Roman"/>
          <w:sz w:val="24"/>
          <w:szCs w:val="24"/>
          <w:lang w:eastAsia="en-GB"/>
        </w:rPr>
        <w:t>, </w:t>
      </w:r>
      <w:hyperlink r:id="rId27" w:history="1">
        <w:r w:rsidRPr="0074106A">
          <w:rPr>
            <w:rFonts w:ascii="Georgia" w:eastAsia="Times New Roman" w:hAnsi="Georgia" w:cs="Times New Roman"/>
            <w:color w:val="007BFF"/>
            <w:sz w:val="24"/>
            <w:szCs w:val="24"/>
            <w:lang w:eastAsia="en-GB"/>
          </w:rPr>
          <w:t>72 S.W.3d 499</w:t>
        </w:r>
      </w:hyperlink>
      <w:r w:rsidRPr="0074106A">
        <w:rPr>
          <w:rFonts w:ascii="Georgia" w:eastAsia="Times New Roman" w:hAnsi="Georgia" w:cs="Times New Roman"/>
          <w:sz w:val="24"/>
          <w:szCs w:val="24"/>
          <w:lang w:eastAsia="en-GB"/>
        </w:rPr>
        <w:t> (2002).</w:t>
      </w:r>
    </w:p>
    <w:p w14:paraId="03713AFA" w14:textId="77777777" w:rsidR="0074106A" w:rsidRPr="0074106A" w:rsidRDefault="0074106A" w:rsidP="0074106A">
      <w:pPr>
        <w:spacing w:before="100" w:beforeAutospacing="1" w:after="225" w:line="240" w:lineRule="auto"/>
        <w:rPr>
          <w:rFonts w:ascii="Georgia" w:eastAsia="Times New Roman" w:hAnsi="Georgia" w:cs="Times New Roman"/>
          <w:sz w:val="24"/>
          <w:szCs w:val="24"/>
          <w:lang w:eastAsia="en-GB"/>
        </w:rPr>
      </w:pPr>
      <w:r w:rsidRPr="0098048E">
        <w:rPr>
          <w:rFonts w:ascii="Georgia" w:eastAsia="Times New Roman" w:hAnsi="Georgia" w:cs="Times New Roman"/>
          <w:sz w:val="24"/>
          <w:szCs w:val="24"/>
          <w:highlight w:val="green"/>
          <w:lang w:eastAsia="en-GB"/>
        </w:rPr>
        <w:t>Appellant also argued that, as to Heritage’s status as an assisted living facility, there were internet postings, a page from Phillips County’s chamber of commerce membership directory, and an insurance declarations page that evidenced an admission on Heritage’s part that it was, in fact, an assisted living facility. Heritage denied that it had adopted any of the statements made in the documents presented by appellant, instead arguing that this was inadmissible and unreliable hearsay.</w:t>
      </w:r>
    </w:p>
    <w:p w14:paraId="03713AFB" w14:textId="77777777" w:rsidR="0074106A" w:rsidRPr="0074106A" w:rsidRDefault="0074106A" w:rsidP="0074106A">
      <w:pPr>
        <w:spacing w:before="100" w:beforeAutospacing="1" w:after="225" w:line="240" w:lineRule="auto"/>
        <w:rPr>
          <w:rFonts w:ascii="Georgia" w:eastAsia="Times New Roman" w:hAnsi="Georgia" w:cs="Times New Roman"/>
          <w:sz w:val="24"/>
          <w:szCs w:val="24"/>
          <w:lang w:eastAsia="en-GB"/>
        </w:rPr>
      </w:pPr>
      <w:r w:rsidRPr="0098048E">
        <w:rPr>
          <w:rFonts w:ascii="Georgia" w:eastAsia="Times New Roman" w:hAnsi="Georgia" w:cs="Times New Roman"/>
          <w:sz w:val="24"/>
          <w:szCs w:val="24"/>
          <w:highlight w:val="magenta"/>
          <w:lang w:eastAsia="en-GB"/>
        </w:rPr>
        <w:t>The trial court rejected appellant’s arguments on the basis that the internet postings were “of unknown origin” and “not reliable,” whereas Heritage’s sworn testimony on this issue was “clear and convincing.”</w:t>
      </w:r>
      <w:r w:rsidRPr="0074106A">
        <w:rPr>
          <w:rFonts w:ascii="Georgia" w:eastAsia="Times New Roman" w:hAnsi="Georgia" w:cs="Times New Roman"/>
          <w:sz w:val="24"/>
          <w:szCs w:val="24"/>
          <w:lang w:eastAsia="en-GB"/>
        </w:rPr>
        <w:t xml:space="preserve"> </w:t>
      </w:r>
      <w:r w:rsidRPr="0098048E">
        <w:rPr>
          <w:rFonts w:ascii="Georgia" w:eastAsia="Times New Roman" w:hAnsi="Georgia" w:cs="Times New Roman"/>
          <w:sz w:val="24"/>
          <w:szCs w:val="24"/>
          <w:highlight w:val="green"/>
          <w:lang w:eastAsia="en-GB"/>
        </w:rPr>
        <w:t>We hold that the trial court was correct in ruling as it did.</w:t>
      </w:r>
    </w:p>
    <w:p w14:paraId="03713AFC" w14:textId="05A94210" w:rsidR="0074106A" w:rsidRPr="0074106A" w:rsidRDefault="0074106A" w:rsidP="0074106A">
      <w:pPr>
        <w:spacing w:before="100" w:beforeAutospacing="1" w:after="225" w:line="240" w:lineRule="auto"/>
        <w:rPr>
          <w:rFonts w:ascii="Georgia" w:eastAsia="Times New Roman" w:hAnsi="Georgia" w:cs="Times New Roman"/>
          <w:sz w:val="24"/>
          <w:szCs w:val="24"/>
          <w:lang w:eastAsia="en-GB"/>
        </w:rPr>
      </w:pPr>
      <w:r w:rsidRPr="0074106A">
        <w:rPr>
          <w:rFonts w:ascii="Georgia" w:eastAsia="Times New Roman" w:hAnsi="Georgia" w:cs="Times New Roman"/>
          <w:sz w:val="24"/>
          <w:szCs w:val="24"/>
          <w:lang w:eastAsia="en-GB"/>
        </w:rPr>
        <w:t>When considering a motion for summary judgment, the'‘trial court may consider the pleadings, depositions, answers ' to interrogatories, admissions on file, and affidavits. Ark. R. Civ. P. 56(c). A statement that is based on inadmissible hearsay will not be accepted as the basis for finding a material issue of fact' to deny entry of summary judgment. </w:t>
      </w:r>
      <w:r w:rsidRPr="0074106A">
        <w:rPr>
          <w:rFonts w:ascii="Georgia" w:eastAsia="Times New Roman" w:hAnsi="Georgia" w:cs="Times New Roman"/>
          <w:i/>
          <w:iCs/>
          <w:sz w:val="24"/>
          <w:szCs w:val="24"/>
          <w:lang w:eastAsia="en-GB"/>
        </w:rPr>
        <w:t>Compare Mercy Health Sys. of N.W. Ark., Inc. v. Bicak, </w:t>
      </w:r>
      <w:r w:rsidRPr="0074106A">
        <w:rPr>
          <w:rFonts w:ascii="Georgia" w:eastAsia="Times New Roman" w:hAnsi="Georgia" w:cs="Times New Roman"/>
          <w:color w:val="007BFF"/>
          <w:sz w:val="24"/>
          <w:szCs w:val="24"/>
          <w:lang w:eastAsia="en-GB"/>
        </w:rPr>
        <w:t>2011 Ark. App. 341</w:t>
      </w:r>
      <w:r w:rsidRPr="0074106A">
        <w:rPr>
          <w:rFonts w:ascii="Georgia" w:eastAsia="Times New Roman" w:hAnsi="Georgia" w:cs="Times New Roman"/>
          <w:sz w:val="24"/>
          <w:szCs w:val="24"/>
          <w:lang w:eastAsia="en-GB"/>
        </w:rPr>
        <w:t>, </w:t>
      </w:r>
      <w:hyperlink r:id="rId28" w:history="1">
        <w:r w:rsidRPr="0074106A">
          <w:rPr>
            <w:rFonts w:ascii="Georgia" w:eastAsia="Times New Roman" w:hAnsi="Georgia" w:cs="Times New Roman"/>
            <w:color w:val="007BFF"/>
            <w:sz w:val="24"/>
            <w:szCs w:val="24"/>
            <w:lang w:eastAsia="en-GB"/>
          </w:rPr>
          <w:t>383 S.W.3d 869</w:t>
        </w:r>
      </w:hyperlink>
      <w:r w:rsidRPr="0074106A">
        <w:rPr>
          <w:rFonts w:ascii="Georgia" w:eastAsia="Times New Roman" w:hAnsi="Georgia" w:cs="Times New Roman"/>
          <w:sz w:val="24"/>
          <w:szCs w:val="24"/>
          <w:lang w:eastAsia="en-GB"/>
        </w:rPr>
        <w:t>. Hearsay is a statement 'other than one made by the declarant while testifying at </w:t>
      </w:r>
      <w:r w:rsidRPr="0074106A">
        <w:rPr>
          <w:rFonts w:ascii="Georgia" w:eastAsia="Times New Roman" w:hAnsi="Georgia" w:cs="Times New Roman"/>
          <w:i/>
          <w:iCs/>
          <w:color w:val="979797"/>
          <w:sz w:val="19"/>
          <w:szCs w:val="19"/>
          <w:lang w:eastAsia="en-GB"/>
        </w:rPr>
        <w:t>*636</w:t>
      </w:r>
      <w:r w:rsidR="0098048E">
        <w:rPr>
          <w:rFonts w:ascii="Georgia" w:eastAsia="Times New Roman" w:hAnsi="Georgia" w:cs="Times New Roman"/>
          <w:sz w:val="24"/>
          <w:szCs w:val="24"/>
          <w:lang w:eastAsia="en-GB"/>
        </w:rPr>
        <w:t xml:space="preserve">the trial or hearing that </w:t>
      </w:r>
      <w:r w:rsidRPr="0074106A">
        <w:rPr>
          <w:rFonts w:ascii="Georgia" w:eastAsia="Times New Roman" w:hAnsi="Georgia" w:cs="Times New Roman"/>
          <w:sz w:val="24"/>
          <w:szCs w:val="24"/>
          <w:lang w:eastAsia="en-GB"/>
        </w:rPr>
        <w:t>is offered in evidence to prove the truth of the matter asserted. Ark.,R. Evid. 801(c) (2015). A statement is not hearsay if the statement is offered against a party and is a statement of which he has manifested his adoption or belief in its truth or a statement by a person authorized by him to make a statement concerning the subject. Ark. R. Évid. 801(d)(2). This is commonly called an adoptive or implied admission of a party opponent. </w:t>
      </w:r>
      <w:r w:rsidRPr="0074106A">
        <w:rPr>
          <w:rFonts w:ascii="Georgia" w:eastAsia="Times New Roman" w:hAnsi="Georgia" w:cs="Times New Roman"/>
          <w:i/>
          <w:iCs/>
          <w:sz w:val="24"/>
          <w:szCs w:val="24"/>
          <w:lang w:eastAsia="en-GB"/>
        </w:rPr>
        <w:t>See Thomas v. State, </w:t>
      </w:r>
      <w:hyperlink r:id="rId29" w:history="1">
        <w:r w:rsidRPr="0074106A">
          <w:rPr>
            <w:rFonts w:ascii="Georgia" w:eastAsia="Times New Roman" w:hAnsi="Georgia" w:cs="Times New Roman"/>
            <w:color w:val="007BFF"/>
            <w:sz w:val="24"/>
            <w:szCs w:val="24"/>
            <w:lang w:eastAsia="en-GB"/>
          </w:rPr>
          <w:t>10 Ark. App. 294</w:t>
        </w:r>
      </w:hyperlink>
      <w:r w:rsidRPr="0074106A">
        <w:rPr>
          <w:rFonts w:ascii="Georgia" w:eastAsia="Times New Roman" w:hAnsi="Georgia" w:cs="Times New Roman"/>
          <w:sz w:val="24"/>
          <w:szCs w:val="24"/>
          <w:lang w:eastAsia="en-GB"/>
        </w:rPr>
        <w:t>, </w:t>
      </w:r>
      <w:r w:rsidRPr="0074106A">
        <w:rPr>
          <w:rFonts w:ascii="Georgia" w:eastAsia="Times New Roman" w:hAnsi="Georgia" w:cs="Times New Roman"/>
          <w:color w:val="007BFF"/>
          <w:sz w:val="24"/>
          <w:szCs w:val="24"/>
          <w:lang w:eastAsia="en-GB"/>
        </w:rPr>
        <w:t>668 S.W.2d 745</w:t>
      </w:r>
      <w:r w:rsidRPr="0074106A">
        <w:rPr>
          <w:rFonts w:ascii="Georgia" w:eastAsia="Times New Roman" w:hAnsi="Georgia" w:cs="Times New Roman"/>
          <w:sz w:val="24"/>
          <w:szCs w:val="24"/>
          <w:lang w:eastAsia="en-GB"/>
        </w:rPr>
        <w:t> (1984).</w:t>
      </w:r>
    </w:p>
    <w:p w14:paraId="03713AFD" w14:textId="77777777" w:rsidR="0074106A" w:rsidRPr="0074106A" w:rsidRDefault="0074106A" w:rsidP="0074106A">
      <w:pPr>
        <w:spacing w:before="100" w:beforeAutospacing="1" w:after="225" w:line="240" w:lineRule="auto"/>
        <w:rPr>
          <w:rFonts w:ascii="Georgia" w:eastAsia="Times New Roman" w:hAnsi="Georgia" w:cs="Times New Roman"/>
          <w:sz w:val="24"/>
          <w:szCs w:val="24"/>
          <w:lang w:eastAsia="en-GB"/>
        </w:rPr>
      </w:pPr>
      <w:r w:rsidRPr="0098048E">
        <w:rPr>
          <w:rFonts w:ascii="Georgia" w:eastAsia="Times New Roman" w:hAnsi="Georgia" w:cs="Times New Roman"/>
          <w:sz w:val="24"/>
          <w:szCs w:val="24"/>
          <w:highlight w:val="green"/>
          <w:lang w:eastAsia="en-GB"/>
        </w:rPr>
        <w:t>The evidence provided by appellant was insufficient to withstand summary judgment in Heritage’s favor on this issue. As to the www.assistedliving.com internet post, the wording suggested that it was not authored or approved by Heritage, using the pronoun “their,” not “our,” and recommending that Heritage contact www. assistedliving.com if it wished to claim this listing. The local chamber of commerce described Heritage as an apartment building, and even if it was under the heading “Extended Care,” there was no evidence that Heritage adopted the listing as accurate. The Facebook page was of unknown origin, and it contained a disclaimer , that it was not associated with Heritage. The insurance declarations page listed a commercial policy covering multiple properties owned by a corporate entity other than Heritage; the policy generally described the business as nursing homes, neither an apartment complex nor an assisted living facility. Heritage specifically denied in sworn testimony that it was an assisted living facility and affirmatively stated that it was an apartment complex.</w:t>
      </w:r>
    </w:p>
    <w:p w14:paraId="03713AFE" w14:textId="15716DB5" w:rsidR="0074106A" w:rsidRPr="0074106A" w:rsidRDefault="0074106A" w:rsidP="0074106A">
      <w:pPr>
        <w:spacing w:before="100" w:beforeAutospacing="1" w:after="225" w:line="240" w:lineRule="auto"/>
        <w:rPr>
          <w:rFonts w:ascii="Georgia" w:eastAsia="Times New Roman" w:hAnsi="Georgia" w:cs="Times New Roman"/>
          <w:sz w:val="24"/>
          <w:szCs w:val="24"/>
          <w:lang w:eastAsia="en-GB"/>
        </w:rPr>
      </w:pPr>
      <w:r w:rsidRPr="0074106A">
        <w:rPr>
          <w:rFonts w:ascii="Georgia" w:eastAsia="Times New Roman" w:hAnsi="Georgia" w:cs="Times New Roman"/>
          <w:sz w:val="24"/>
          <w:szCs w:val="24"/>
          <w:lang w:eastAsia="en-GB"/>
        </w:rPr>
        <w:t>Where hearsay is offered and would not be admissible at trial, the hearsay is not considered in the summary-judgment analysis. </w:t>
      </w:r>
      <w:r w:rsidRPr="0074106A">
        <w:rPr>
          <w:rFonts w:ascii="Georgia" w:eastAsia="Times New Roman" w:hAnsi="Georgia" w:cs="Times New Roman"/>
          <w:i/>
          <w:iCs/>
          <w:sz w:val="24"/>
          <w:szCs w:val="24"/>
          <w:lang w:eastAsia="en-GB"/>
        </w:rPr>
        <w:t xml:space="preserve">See </w:t>
      </w:r>
      <w:r w:rsidRPr="0098048E">
        <w:rPr>
          <w:rFonts w:ascii="Georgia" w:eastAsia="Times New Roman" w:hAnsi="Georgia" w:cs="Times New Roman"/>
          <w:i/>
          <w:iCs/>
          <w:sz w:val="24"/>
          <w:szCs w:val="24"/>
          <w:highlight w:val="cyan"/>
          <w:lang w:eastAsia="en-GB"/>
        </w:rPr>
        <w:t>Holt Bonding Co. v. First Fed. Bank of Ark., </w:t>
      </w:r>
      <w:hyperlink r:id="rId30" w:history="1">
        <w:r w:rsidRPr="0098048E">
          <w:rPr>
            <w:rFonts w:ascii="Georgia" w:eastAsia="Times New Roman" w:hAnsi="Georgia" w:cs="Times New Roman"/>
            <w:color w:val="007BFF"/>
            <w:sz w:val="24"/>
            <w:szCs w:val="24"/>
            <w:highlight w:val="cyan"/>
            <w:lang w:eastAsia="en-GB"/>
          </w:rPr>
          <w:t>82 Ark. App. 8</w:t>
        </w:r>
      </w:hyperlink>
      <w:r w:rsidRPr="0098048E">
        <w:rPr>
          <w:rFonts w:ascii="Georgia" w:eastAsia="Times New Roman" w:hAnsi="Georgia" w:cs="Times New Roman"/>
          <w:sz w:val="24"/>
          <w:szCs w:val="24"/>
          <w:highlight w:val="cyan"/>
          <w:lang w:eastAsia="en-GB"/>
        </w:rPr>
        <w:t>, </w:t>
      </w:r>
      <w:r w:rsidRPr="0098048E">
        <w:rPr>
          <w:rFonts w:ascii="Georgia" w:eastAsia="Times New Roman" w:hAnsi="Georgia" w:cs="Times New Roman"/>
          <w:color w:val="007BFF"/>
          <w:sz w:val="24"/>
          <w:szCs w:val="24"/>
          <w:highlight w:val="cyan"/>
          <w:lang w:eastAsia="en-GB"/>
        </w:rPr>
        <w:t>110 S.W.3d 298</w:t>
      </w:r>
      <w:r w:rsidRPr="0098048E">
        <w:rPr>
          <w:rFonts w:ascii="Georgia" w:eastAsia="Times New Roman" w:hAnsi="Georgia" w:cs="Times New Roman"/>
          <w:sz w:val="24"/>
          <w:szCs w:val="24"/>
          <w:highlight w:val="cyan"/>
          <w:lang w:eastAsia="en-GB"/>
        </w:rPr>
        <w:t> (2003).</w:t>
      </w:r>
      <w:r w:rsidRPr="0074106A">
        <w:rPr>
          <w:rFonts w:ascii="Georgia" w:eastAsia="Times New Roman" w:hAnsi="Georgia" w:cs="Times New Roman"/>
          <w:sz w:val="24"/>
          <w:szCs w:val="24"/>
          <w:lang w:eastAsia="en-GB"/>
        </w:rPr>
        <w:t xml:space="preserve"> Stated different</w:t>
      </w:r>
      <w:r w:rsidR="0098048E">
        <w:rPr>
          <w:rFonts w:ascii="Georgia" w:eastAsia="Times New Roman" w:hAnsi="Georgia" w:cs="Times New Roman"/>
          <w:sz w:val="24"/>
          <w:szCs w:val="24"/>
          <w:lang w:eastAsia="en-GB"/>
        </w:rPr>
        <w:t xml:space="preserve">ly, all evidence submitted in </w:t>
      </w:r>
      <w:r w:rsidRPr="0074106A">
        <w:rPr>
          <w:rFonts w:ascii="Georgia" w:eastAsia="Times New Roman" w:hAnsi="Georgia" w:cs="Times New Roman"/>
          <w:sz w:val="24"/>
          <w:szCs w:val="24"/>
          <w:lang w:eastAsia="en-GB"/>
        </w:rPr>
        <w:t>the course of summary-judgment proceedings must be under oath.' </w:t>
      </w:r>
      <w:r w:rsidRPr="0074106A">
        <w:rPr>
          <w:rFonts w:ascii="Georgia" w:eastAsia="Times New Roman" w:hAnsi="Georgia" w:cs="Times New Roman"/>
          <w:i/>
          <w:iCs/>
          <w:sz w:val="24"/>
          <w:szCs w:val="24"/>
          <w:lang w:eastAsia="en-GB"/>
        </w:rPr>
        <w:t xml:space="preserve">See </w:t>
      </w:r>
      <w:r w:rsidRPr="0098048E">
        <w:rPr>
          <w:rFonts w:ascii="Georgia" w:eastAsia="Times New Roman" w:hAnsi="Georgia" w:cs="Times New Roman"/>
          <w:i/>
          <w:iCs/>
          <w:sz w:val="24"/>
          <w:szCs w:val="24"/>
          <w:highlight w:val="cyan"/>
          <w:lang w:eastAsia="en-GB"/>
        </w:rPr>
        <w:t>Davis v. Schneider, </w:t>
      </w:r>
      <w:hyperlink r:id="rId31" w:history="1">
        <w:r w:rsidRPr="0098048E">
          <w:rPr>
            <w:rFonts w:ascii="Georgia" w:eastAsia="Times New Roman" w:hAnsi="Georgia" w:cs="Times New Roman"/>
            <w:color w:val="007BFF"/>
            <w:sz w:val="24"/>
            <w:szCs w:val="24"/>
            <w:highlight w:val="cyan"/>
            <w:lang w:eastAsia="en-GB"/>
          </w:rPr>
          <w:t>2013 Ark. App. 737</w:t>
        </w:r>
      </w:hyperlink>
      <w:r w:rsidRPr="0098048E">
        <w:rPr>
          <w:rFonts w:ascii="Georgia" w:eastAsia="Times New Roman" w:hAnsi="Georgia" w:cs="Times New Roman"/>
          <w:sz w:val="24"/>
          <w:szCs w:val="24"/>
          <w:highlight w:val="cyan"/>
          <w:lang w:eastAsia="en-GB"/>
        </w:rPr>
        <w:t>, </w:t>
      </w:r>
      <w:r w:rsidRPr="0098048E">
        <w:rPr>
          <w:rFonts w:ascii="Georgia" w:eastAsia="Times New Roman" w:hAnsi="Georgia" w:cs="Times New Roman"/>
          <w:color w:val="007BFF"/>
          <w:sz w:val="24"/>
          <w:szCs w:val="24"/>
          <w:highlight w:val="cyan"/>
          <w:lang w:eastAsia="en-GB"/>
        </w:rPr>
        <w:t>431 S.W.3d 321</w:t>
      </w:r>
      <w:r w:rsidRPr="0098048E">
        <w:rPr>
          <w:rFonts w:ascii="Georgia" w:eastAsia="Times New Roman" w:hAnsi="Georgia" w:cs="Times New Roman"/>
          <w:sz w:val="24"/>
          <w:szCs w:val="24"/>
          <w:highlight w:val="cyan"/>
          <w:lang w:eastAsia="en-GB"/>
        </w:rPr>
        <w:t>.</w:t>
      </w:r>
      <w:r w:rsidRPr="0074106A">
        <w:rPr>
          <w:rFonts w:ascii="Georgia" w:eastAsia="Times New Roman" w:hAnsi="Georgia" w:cs="Times New Roman"/>
          <w:sz w:val="24"/>
          <w:szCs w:val="24"/>
          <w:lang w:eastAsia="en-GB"/>
        </w:rPr>
        <w:t xml:space="preserve"> An adverse party may not rest on the mere allegations or denials of her pleadings, but her response, by affidavits or' as otherwise provided in </w:t>
      </w:r>
      <w:r w:rsidRPr="0098048E">
        <w:rPr>
          <w:rFonts w:ascii="Georgia" w:eastAsia="Times New Roman" w:hAnsi="Georgia" w:cs="Times New Roman"/>
          <w:sz w:val="24"/>
          <w:szCs w:val="24"/>
          <w:highlight w:val="cyan"/>
          <w:lang w:eastAsia="en-GB"/>
        </w:rPr>
        <w:t>Rule 56</w:t>
      </w:r>
      <w:r w:rsidRPr="0074106A">
        <w:rPr>
          <w:rFonts w:ascii="Georgia" w:eastAsia="Times New Roman" w:hAnsi="Georgia" w:cs="Times New Roman"/>
          <w:sz w:val="24"/>
          <w:szCs w:val="24"/>
          <w:lang w:eastAsia="en-GB"/>
        </w:rPr>
        <w:t xml:space="preserve">, must set forth specific facts showing that there is a genuine issue for trial. </w:t>
      </w:r>
      <w:r w:rsidRPr="0098048E">
        <w:rPr>
          <w:rFonts w:ascii="Georgia" w:eastAsia="Times New Roman" w:hAnsi="Georgia" w:cs="Times New Roman"/>
          <w:sz w:val="24"/>
          <w:szCs w:val="24"/>
          <w:highlight w:val="cyan"/>
          <w:lang w:eastAsia="en-GB"/>
        </w:rPr>
        <w:t>Ark. R. Civ. P. 56(e)</w:t>
      </w:r>
      <w:r w:rsidRPr="0074106A">
        <w:rPr>
          <w:rFonts w:ascii="Georgia" w:eastAsia="Times New Roman" w:hAnsi="Georgia" w:cs="Times New Roman"/>
          <w:sz w:val="24"/>
          <w:szCs w:val="24"/>
          <w:lang w:eastAsia="en-GB"/>
        </w:rPr>
        <w:t xml:space="preserve">. </w:t>
      </w:r>
      <w:r w:rsidRPr="0098048E">
        <w:rPr>
          <w:rFonts w:ascii="Georgia" w:eastAsia="Times New Roman" w:hAnsi="Georgia" w:cs="Times New Roman"/>
          <w:sz w:val="24"/>
          <w:szCs w:val="24"/>
          <w:highlight w:val="green"/>
          <w:lang w:eastAsia="en-GB"/>
        </w:rPr>
        <w:t>There was simply no proper evidence to rebut Heritage’s sworn testimony that it was an apartment complex and not an assisted living facility. Thus, appellant’s argument on this point fails.</w:t>
      </w:r>
    </w:p>
    <w:p w14:paraId="03713AFF" w14:textId="77777777" w:rsidR="0074106A" w:rsidRPr="0074106A" w:rsidRDefault="0074106A" w:rsidP="0074106A">
      <w:pPr>
        <w:spacing w:before="100" w:beforeAutospacing="1" w:after="225" w:line="240" w:lineRule="auto"/>
        <w:rPr>
          <w:rFonts w:ascii="Georgia" w:eastAsia="Times New Roman" w:hAnsi="Georgia" w:cs="Times New Roman"/>
          <w:sz w:val="24"/>
          <w:szCs w:val="24"/>
          <w:lang w:eastAsia="en-GB"/>
        </w:rPr>
      </w:pPr>
      <w:r w:rsidRPr="0074106A">
        <w:rPr>
          <w:rFonts w:ascii="Georgia" w:eastAsia="Times New Roman" w:hAnsi="Georgia" w:cs="Times New Roman"/>
          <w:sz w:val="24"/>
          <w:szCs w:val="24"/>
          <w:lang w:eastAsia="en-GB"/>
        </w:rPr>
        <w:t>C. Open and Obvious Danger and Inability to Avoid Danger</w:t>
      </w:r>
    </w:p>
    <w:p w14:paraId="03713B00" w14:textId="77777777" w:rsidR="0074106A" w:rsidRPr="0074106A" w:rsidRDefault="0074106A" w:rsidP="0074106A">
      <w:pPr>
        <w:spacing w:before="100" w:beforeAutospacing="1" w:after="225" w:line="240" w:lineRule="auto"/>
        <w:rPr>
          <w:rFonts w:ascii="Georgia" w:eastAsia="Times New Roman" w:hAnsi="Georgia" w:cs="Times New Roman"/>
          <w:sz w:val="24"/>
          <w:szCs w:val="24"/>
          <w:lang w:eastAsia="en-GB"/>
        </w:rPr>
      </w:pPr>
      <w:r w:rsidRPr="0074106A">
        <w:rPr>
          <w:rFonts w:ascii="Georgia" w:eastAsia="Times New Roman" w:hAnsi="Georgia" w:cs="Times New Roman"/>
          <w:sz w:val="24"/>
          <w:szCs w:val="24"/>
          <w:lang w:eastAsia="en-GB"/>
        </w:rPr>
        <w:t>Appellant argues that the wet carpet was not an open and obvious danger, and even if it were, there remained fact questions on whether appellant could avoid this dangerous condition. We decline to reach this issue because we have affirmed for other reasons. Furthermore, the trial court did not rely on this basis in entering summary judgment.</w:t>
      </w:r>
    </w:p>
    <w:p w14:paraId="03713B01" w14:textId="77777777" w:rsidR="0074106A" w:rsidRPr="0098048E" w:rsidRDefault="0074106A" w:rsidP="0074106A">
      <w:pPr>
        <w:spacing w:before="100" w:beforeAutospacing="1" w:after="225" w:line="240" w:lineRule="auto"/>
        <w:rPr>
          <w:rFonts w:ascii="Georgia" w:eastAsia="Times New Roman" w:hAnsi="Georgia" w:cs="Times New Roman"/>
          <w:sz w:val="24"/>
          <w:szCs w:val="24"/>
          <w:highlight w:val="red"/>
          <w:lang w:eastAsia="en-GB"/>
        </w:rPr>
      </w:pPr>
      <w:r w:rsidRPr="0098048E">
        <w:rPr>
          <w:rFonts w:ascii="Georgia" w:eastAsia="Times New Roman" w:hAnsi="Georgia" w:cs="Times New Roman"/>
          <w:sz w:val="24"/>
          <w:szCs w:val="24"/>
          <w:highlight w:val="red"/>
          <w:lang w:eastAsia="en-GB"/>
        </w:rPr>
        <w:t>In summary, we affirm the entry of summary judgment in Heritage’s favor.</w:t>
      </w:r>
    </w:p>
    <w:p w14:paraId="03713B02" w14:textId="77777777" w:rsidR="0074106A" w:rsidRPr="0074106A" w:rsidRDefault="0074106A" w:rsidP="0074106A">
      <w:pPr>
        <w:spacing w:before="100" w:beforeAutospacing="1" w:after="225" w:line="240" w:lineRule="auto"/>
        <w:rPr>
          <w:rFonts w:ascii="Georgia" w:eastAsia="Times New Roman" w:hAnsi="Georgia" w:cs="Times New Roman"/>
          <w:sz w:val="24"/>
          <w:szCs w:val="24"/>
          <w:lang w:eastAsia="en-GB"/>
        </w:rPr>
      </w:pPr>
      <w:r w:rsidRPr="0098048E">
        <w:rPr>
          <w:rFonts w:ascii="Georgia" w:eastAsia="Times New Roman" w:hAnsi="Georgia" w:cs="Times New Roman"/>
          <w:sz w:val="24"/>
          <w:szCs w:val="24"/>
          <w:highlight w:val="red"/>
          <w:lang w:eastAsia="en-GB"/>
        </w:rPr>
        <w:t>Affirmed.</w:t>
      </w:r>
    </w:p>
    <w:p w14:paraId="03713B03" w14:textId="77777777" w:rsidR="0074106A" w:rsidRPr="0074106A" w:rsidRDefault="0074106A" w:rsidP="0074106A">
      <w:pPr>
        <w:spacing w:before="100" w:beforeAutospacing="1" w:after="225" w:line="240" w:lineRule="auto"/>
        <w:rPr>
          <w:rFonts w:ascii="Georgia" w:eastAsia="Times New Roman" w:hAnsi="Georgia" w:cs="Times New Roman"/>
          <w:sz w:val="24"/>
          <w:szCs w:val="24"/>
          <w:lang w:eastAsia="en-GB"/>
        </w:rPr>
      </w:pPr>
      <w:r w:rsidRPr="0074106A">
        <w:rPr>
          <w:rFonts w:ascii="Georgia" w:eastAsia="Times New Roman" w:hAnsi="Georgia" w:cs="Times New Roman"/>
          <w:sz w:val="24"/>
          <w:szCs w:val="24"/>
          <w:lang w:eastAsia="en-GB"/>
        </w:rPr>
        <w:t>Abramson and Glover, JJ., agree.</w:t>
      </w:r>
    </w:p>
    <w:p w14:paraId="03713B04" w14:textId="77777777" w:rsidR="0074106A" w:rsidRPr="0074106A" w:rsidRDefault="00184245" w:rsidP="0074106A">
      <w:pPr>
        <w:spacing w:after="0" w:line="240" w:lineRule="auto"/>
        <w:rPr>
          <w:rFonts w:ascii="Times New Roman" w:eastAsia="Times New Roman" w:hAnsi="Times New Roman" w:cs="Times New Roman"/>
          <w:sz w:val="24"/>
          <w:szCs w:val="24"/>
          <w:lang w:eastAsia="en-GB"/>
        </w:rPr>
      </w:pPr>
      <w:hyperlink r:id="rId32" w:anchor="ref_footnote_1_1" w:history="1">
        <w:r w:rsidR="0074106A" w:rsidRPr="0074106A">
          <w:rPr>
            <w:rFonts w:ascii="Georgia" w:eastAsia="Times New Roman" w:hAnsi="Georgia" w:cs="Times New Roman"/>
            <w:b/>
            <w:bCs/>
            <w:color w:val="E878FF"/>
            <w:sz w:val="24"/>
            <w:szCs w:val="24"/>
            <w:lang w:eastAsia="en-GB"/>
          </w:rPr>
          <w:t>1</w:t>
        </w:r>
      </w:hyperlink>
    </w:p>
    <w:p w14:paraId="03713B05" w14:textId="77777777" w:rsidR="0074106A" w:rsidRPr="0074106A" w:rsidRDefault="0074106A" w:rsidP="0074106A">
      <w:pPr>
        <w:spacing w:after="120" w:line="240" w:lineRule="auto"/>
        <w:rPr>
          <w:rFonts w:ascii="Georgia" w:eastAsia="Times New Roman" w:hAnsi="Georgia" w:cs="Times New Roman"/>
          <w:sz w:val="24"/>
          <w:szCs w:val="24"/>
          <w:lang w:eastAsia="en-GB"/>
        </w:rPr>
      </w:pPr>
      <w:r w:rsidRPr="0074106A">
        <w:rPr>
          <w:rFonts w:ascii="Georgia" w:eastAsia="Times New Roman" w:hAnsi="Georgia" w:cs="Times New Roman"/>
          <w:sz w:val="24"/>
          <w:szCs w:val="24"/>
          <w:lang w:eastAsia="en-GB"/>
        </w:rPr>
        <w:t>. Patterson filed her own lawsuit in Phillips County against Heritage based on her fall inside the apartment. Patterson's lawsuit was dismissed following the trial court’s grant of Heritage’s motion for summary judgment. Patterson appeals the entry of summary judgment, and it too has been submitted to our court for resolution. </w:t>
      </w:r>
      <w:r w:rsidRPr="0074106A">
        <w:rPr>
          <w:rFonts w:ascii="Georgia" w:eastAsia="Times New Roman" w:hAnsi="Georgia" w:cs="Times New Roman"/>
          <w:i/>
          <w:iCs/>
          <w:sz w:val="24"/>
          <w:szCs w:val="24"/>
          <w:lang w:eastAsia="en-GB"/>
        </w:rPr>
        <w:t>See Patterson v. Heritage Hill Manor, Inc., </w:t>
      </w:r>
      <w:r w:rsidRPr="0074106A">
        <w:rPr>
          <w:rFonts w:ascii="Georgia" w:eastAsia="Times New Roman" w:hAnsi="Georgia" w:cs="Times New Roman"/>
          <w:sz w:val="24"/>
          <w:szCs w:val="24"/>
          <w:lang w:eastAsia="en-GB"/>
        </w:rPr>
        <w:t>CV-15-835.</w:t>
      </w:r>
    </w:p>
    <w:p w14:paraId="03713B06" w14:textId="4AAB8AFB" w:rsidR="0074106A" w:rsidRPr="0074106A" w:rsidRDefault="0074106A" w:rsidP="0074106A">
      <w:pPr>
        <w:spacing w:after="0" w:line="240" w:lineRule="auto"/>
        <w:rPr>
          <w:rFonts w:ascii="Times New Roman" w:eastAsia="Times New Roman" w:hAnsi="Times New Roman" w:cs="Times New Roman"/>
          <w:sz w:val="24"/>
          <w:szCs w:val="24"/>
          <w:lang w:eastAsia="en-GB"/>
        </w:rPr>
      </w:pPr>
      <w:r w:rsidRPr="0074106A">
        <w:rPr>
          <w:rFonts w:ascii="Georgia" w:eastAsia="Times New Roman" w:hAnsi="Georgia" w:cs="Times New Roman"/>
          <w:b/>
          <w:bCs/>
          <w:color w:val="E878FF"/>
          <w:sz w:val="24"/>
          <w:szCs w:val="24"/>
          <w:lang w:eastAsia="en-GB"/>
        </w:rPr>
        <w:t>2</w:t>
      </w:r>
    </w:p>
    <w:p w14:paraId="03713B07" w14:textId="77777777" w:rsidR="0074106A" w:rsidRPr="0074106A" w:rsidRDefault="0074106A" w:rsidP="0074106A">
      <w:pPr>
        <w:spacing w:after="120" w:line="240" w:lineRule="auto"/>
        <w:rPr>
          <w:rFonts w:ascii="Georgia" w:eastAsia="Times New Roman" w:hAnsi="Georgia" w:cs="Times New Roman"/>
          <w:sz w:val="24"/>
          <w:szCs w:val="24"/>
          <w:lang w:eastAsia="en-GB"/>
        </w:rPr>
      </w:pPr>
      <w:r w:rsidRPr="0074106A">
        <w:rPr>
          <w:rFonts w:ascii="Georgia" w:eastAsia="Times New Roman" w:hAnsi="Georgia" w:cs="Times New Roman"/>
          <w:sz w:val="24"/>
          <w:szCs w:val="24"/>
          <w:lang w:eastAsia="en-GB"/>
        </w:rPr>
        <w:t>. The commercial insurance policy listed the named insured as Cap Care of Arkansas, Inc., and covered eight separate addresses in six different cities. Heritage was one of those addresses.</w:t>
      </w:r>
    </w:p>
    <w:p w14:paraId="03713B08" w14:textId="77777777" w:rsidR="0074106A" w:rsidRPr="0074106A" w:rsidRDefault="00184245" w:rsidP="0074106A">
      <w:pPr>
        <w:spacing w:after="0" w:line="240" w:lineRule="auto"/>
        <w:rPr>
          <w:rFonts w:ascii="Times New Roman" w:eastAsia="Times New Roman" w:hAnsi="Times New Roman" w:cs="Times New Roman"/>
          <w:sz w:val="24"/>
          <w:szCs w:val="24"/>
          <w:lang w:eastAsia="en-GB"/>
        </w:rPr>
      </w:pPr>
      <w:hyperlink r:id="rId33" w:anchor="ref_footnote_1_3" w:history="1">
        <w:r w:rsidR="0074106A" w:rsidRPr="0074106A">
          <w:rPr>
            <w:rFonts w:ascii="Georgia" w:eastAsia="Times New Roman" w:hAnsi="Georgia" w:cs="Times New Roman"/>
            <w:b/>
            <w:bCs/>
            <w:color w:val="E878FF"/>
            <w:sz w:val="24"/>
            <w:szCs w:val="24"/>
            <w:lang w:eastAsia="en-GB"/>
          </w:rPr>
          <w:t>3</w:t>
        </w:r>
      </w:hyperlink>
    </w:p>
    <w:p w14:paraId="03713B09" w14:textId="77777777" w:rsidR="0074106A" w:rsidRPr="0074106A" w:rsidRDefault="0074106A" w:rsidP="0074106A">
      <w:pPr>
        <w:spacing w:after="120" w:line="240" w:lineRule="auto"/>
        <w:rPr>
          <w:rFonts w:ascii="Georgia" w:eastAsia="Times New Roman" w:hAnsi="Georgia" w:cs="Times New Roman"/>
          <w:sz w:val="24"/>
          <w:szCs w:val="24"/>
          <w:lang w:eastAsia="en-GB"/>
        </w:rPr>
      </w:pPr>
      <w:r w:rsidRPr="0074106A">
        <w:rPr>
          <w:rFonts w:ascii="Georgia" w:eastAsia="Times New Roman" w:hAnsi="Georgia" w:cs="Times New Roman"/>
          <w:sz w:val="24"/>
          <w:szCs w:val="24"/>
          <w:lang w:eastAsia="en-GB"/>
        </w:rPr>
        <w:t>. While there was evidence that appellant requested a continuance for the purpose of deposing Gere Carnathan- (a relative of Lawrence’s), his testimony had no bearing on the identity of Heritage. Rather, the deposition was requested so that appellant could ascertain Gere Carnathan’s observations about the flooding, efforts to clean the water intrusion, the condition of the apartment before and after the water intrusion, and any warnings that might have been given to appellant prior to her fall.</w:t>
      </w:r>
    </w:p>
    <w:p w14:paraId="03713B0A" w14:textId="3747B9B6" w:rsidR="0074106A" w:rsidRPr="0074106A" w:rsidRDefault="0074106A" w:rsidP="0074106A">
      <w:pPr>
        <w:spacing w:after="0" w:line="240" w:lineRule="auto"/>
        <w:rPr>
          <w:rFonts w:ascii="Times New Roman" w:eastAsia="Times New Roman" w:hAnsi="Times New Roman" w:cs="Times New Roman"/>
          <w:sz w:val="24"/>
          <w:szCs w:val="24"/>
          <w:lang w:eastAsia="en-GB"/>
        </w:rPr>
      </w:pPr>
      <w:r w:rsidRPr="0074106A">
        <w:rPr>
          <w:rFonts w:ascii="Georgia" w:eastAsia="Times New Roman" w:hAnsi="Georgia" w:cs="Times New Roman"/>
          <w:b/>
          <w:bCs/>
          <w:color w:val="E878FF"/>
          <w:sz w:val="24"/>
          <w:szCs w:val="24"/>
          <w:lang w:eastAsia="en-GB"/>
        </w:rPr>
        <w:t>4</w:t>
      </w:r>
    </w:p>
    <w:p w14:paraId="03713B0B" w14:textId="77777777" w:rsidR="0074106A" w:rsidRPr="0074106A" w:rsidRDefault="0074106A" w:rsidP="0074106A">
      <w:pPr>
        <w:spacing w:after="120" w:line="240" w:lineRule="auto"/>
        <w:rPr>
          <w:rFonts w:ascii="Georgia" w:eastAsia="Times New Roman" w:hAnsi="Georgia" w:cs="Times New Roman"/>
          <w:sz w:val="24"/>
          <w:szCs w:val="24"/>
          <w:lang w:eastAsia="en-GB"/>
        </w:rPr>
      </w:pPr>
      <w:r w:rsidRPr="0074106A">
        <w:rPr>
          <w:rFonts w:ascii="Georgia" w:eastAsia="Times New Roman" w:hAnsi="Georgia" w:cs="Times New Roman"/>
          <w:sz w:val="24"/>
          <w:szCs w:val="24"/>
          <w:lang w:eastAsia="en-GB"/>
        </w:rPr>
        <w:t>. Rule 56(f), titled "When Affidavits Are Unavailable,” states as follows:. .</w:t>
      </w:r>
    </w:p>
    <w:p w14:paraId="03713B0C" w14:textId="77777777" w:rsidR="0074106A" w:rsidRPr="0074106A" w:rsidRDefault="0074106A" w:rsidP="0074106A">
      <w:pPr>
        <w:spacing w:after="120" w:line="240" w:lineRule="auto"/>
        <w:rPr>
          <w:rFonts w:ascii="Georgia" w:eastAsia="Times New Roman" w:hAnsi="Georgia" w:cs="Times New Roman"/>
          <w:color w:val="004FB3"/>
          <w:sz w:val="24"/>
          <w:szCs w:val="24"/>
          <w:lang w:eastAsia="en-GB"/>
        </w:rPr>
      </w:pPr>
      <w:r w:rsidRPr="0074106A">
        <w:rPr>
          <w:rFonts w:ascii="Georgia" w:eastAsia="Times New Roman" w:hAnsi="Georgia" w:cs="Times New Roman"/>
          <w:color w:val="004FB3"/>
          <w:sz w:val="24"/>
          <w:szCs w:val="24"/>
          <w:lang w:eastAsia="en-GB"/>
        </w:rPr>
        <w:t>Should it appear from the affidavits of a party opposing the motion that he cannot for reasons stated present by affidavit facts essential to justify his opposition, the court ,may refuse the application for judgment or may order a continuance to permit affidavits to be obtained or depositions to be taken of discovery to be had or may make such other order as is just.</w:t>
      </w:r>
    </w:p>
    <w:p w14:paraId="03713B0D" w14:textId="77777777" w:rsidR="00084B66" w:rsidRDefault="00084B66"/>
    <w:p w14:paraId="03713B0E" w14:textId="77777777" w:rsidR="00084B66" w:rsidRPr="009456D4" w:rsidRDefault="00084B66" w:rsidP="00084B66">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03713B0F" w14:textId="77777777" w:rsidR="0098048E" w:rsidRPr="0074106A" w:rsidRDefault="00491460" w:rsidP="00491460">
      <w:pPr>
        <w:rPr>
          <w:rFonts w:ascii="Georgia" w:eastAsia="Times New Roman" w:hAnsi="Georgia" w:cs="Times New Roman"/>
          <w:sz w:val="24"/>
          <w:szCs w:val="24"/>
          <w:lang w:eastAsia="en-GB"/>
        </w:rPr>
      </w:pPr>
      <w:r>
        <w:rPr>
          <w:rFonts w:ascii="Georgia" w:eastAsia="Times New Roman" w:hAnsi="Georgia" w:cs="Times New Roman"/>
          <w:sz w:val="28"/>
          <w:szCs w:val="24"/>
          <w:lang w:eastAsia="en-GB"/>
        </w:rPr>
        <w:t xml:space="preserve">Plaintiff sustained injuries after a slip and fall incident in an apartment owned by defendant. Summary judgment was granted to defendant. Plaintiff appealed. The appellate court affirmed, arguing that the defendant had not assumed a </w:t>
      </w:r>
      <w:r w:rsidRPr="00491460">
        <w:rPr>
          <w:rFonts w:ascii="Georgia" w:eastAsia="Times New Roman" w:hAnsi="Georgia" w:cs="Times New Roman"/>
          <w:sz w:val="28"/>
          <w:szCs w:val="24"/>
          <w:lang w:eastAsia="en-GB"/>
        </w:rPr>
        <w:t>legal duty to maintain or repair</w:t>
      </w:r>
      <w:r>
        <w:rPr>
          <w:rFonts w:ascii="Georgia" w:eastAsia="Times New Roman" w:hAnsi="Georgia" w:cs="Times New Roman"/>
          <w:sz w:val="28"/>
          <w:szCs w:val="24"/>
          <w:lang w:eastAsia="en-GB"/>
        </w:rPr>
        <w:t xml:space="preserve"> </w:t>
      </w:r>
      <w:r w:rsidRPr="00491460">
        <w:rPr>
          <w:rFonts w:ascii="Georgia" w:eastAsia="Times New Roman" w:hAnsi="Georgia" w:cs="Times New Roman"/>
          <w:sz w:val="28"/>
          <w:szCs w:val="24"/>
          <w:lang w:eastAsia="en-GB"/>
        </w:rPr>
        <w:t>the premises</w:t>
      </w:r>
      <w:r>
        <w:rPr>
          <w:rFonts w:ascii="Georgia" w:eastAsia="Times New Roman" w:hAnsi="Georgia" w:cs="Times New Roman"/>
          <w:sz w:val="28"/>
          <w:szCs w:val="24"/>
          <w:lang w:eastAsia="en-GB"/>
        </w:rPr>
        <w:t>, and, even if it had, there was no evidence of negligence</w:t>
      </w:r>
      <w:r w:rsidR="00084B66" w:rsidRPr="009456D4">
        <w:rPr>
          <w:rFonts w:ascii="Georgia" w:eastAsia="Times New Roman" w:hAnsi="Georgia" w:cs="Times New Roman"/>
          <w:sz w:val="28"/>
          <w:szCs w:val="24"/>
          <w:lang w:eastAsia="en-GB"/>
        </w:rPr>
        <w:t>.</w:t>
      </w:r>
    </w:p>
    <w:p w14:paraId="03713B10" w14:textId="77777777" w:rsidR="00084B66" w:rsidRDefault="00084B66"/>
    <w:sectPr w:rsidR="00084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4B66"/>
    <w:rsid w:val="0002798B"/>
    <w:rsid w:val="00084B66"/>
    <w:rsid w:val="00184245"/>
    <w:rsid w:val="001946F8"/>
    <w:rsid w:val="0036748D"/>
    <w:rsid w:val="003C7770"/>
    <w:rsid w:val="00491460"/>
    <w:rsid w:val="0074106A"/>
    <w:rsid w:val="0086445E"/>
    <w:rsid w:val="0098048E"/>
    <w:rsid w:val="009B12AE"/>
    <w:rsid w:val="00A03A79"/>
    <w:rsid w:val="00AD3AEE"/>
    <w:rsid w:val="00AE7B05"/>
    <w:rsid w:val="00EC2990"/>
    <w:rsid w:val="00FF48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13AD3"/>
  <w15:docId w15:val="{3EF5CBC6-9035-4C4D-892A-E398D2972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4B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B66"/>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084B66"/>
  </w:style>
  <w:style w:type="character" w:customStyle="1" w:styleId="court-name">
    <w:name w:val="court-name"/>
    <w:basedOn w:val="DefaultParagraphFont"/>
    <w:rsid w:val="00084B66"/>
  </w:style>
  <w:style w:type="character" w:customStyle="1" w:styleId="docket-number">
    <w:name w:val="docket-number"/>
    <w:basedOn w:val="DefaultParagraphFont"/>
    <w:rsid w:val="00084B66"/>
  </w:style>
  <w:style w:type="character" w:customStyle="1" w:styleId="case-name-v">
    <w:name w:val="case-name-v"/>
    <w:basedOn w:val="DefaultParagraphFont"/>
    <w:rsid w:val="00084B66"/>
  </w:style>
  <w:style w:type="paragraph" w:customStyle="1" w:styleId="citation">
    <w:name w:val="citation"/>
    <w:basedOn w:val="Normal"/>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84B66"/>
    <w:rPr>
      <w:color w:val="0000FF"/>
      <w:u w:val="single"/>
    </w:rPr>
  </w:style>
  <w:style w:type="character" w:styleId="FollowedHyperlink">
    <w:name w:val="FollowedHyperlink"/>
    <w:basedOn w:val="DefaultParagraphFont"/>
    <w:uiPriority w:val="99"/>
    <w:semiHidden/>
    <w:unhideWhenUsed/>
    <w:rsid w:val="00084B66"/>
    <w:rPr>
      <w:color w:val="800080"/>
      <w:u w:val="single"/>
    </w:rPr>
  </w:style>
  <w:style w:type="paragraph" w:customStyle="1" w:styleId="author">
    <w:name w:val="author"/>
    <w:basedOn w:val="Normal"/>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84B66"/>
    <w:rPr>
      <w:i/>
      <w:iCs/>
    </w:rPr>
  </w:style>
  <w:style w:type="paragraph" w:customStyle="1" w:styleId="judges">
    <w:name w:val="judges"/>
    <w:basedOn w:val="Normal"/>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EC299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88181">
      <w:bodyDiv w:val="1"/>
      <w:marLeft w:val="0"/>
      <w:marRight w:val="0"/>
      <w:marTop w:val="0"/>
      <w:marBottom w:val="0"/>
      <w:divBdr>
        <w:top w:val="none" w:sz="0" w:space="0" w:color="auto"/>
        <w:left w:val="none" w:sz="0" w:space="0" w:color="auto"/>
        <w:bottom w:val="none" w:sz="0" w:space="0" w:color="auto"/>
        <w:right w:val="none" w:sz="0" w:space="0" w:color="auto"/>
      </w:divBdr>
      <w:divsChild>
        <w:div w:id="1518696302">
          <w:marLeft w:val="0"/>
          <w:marRight w:val="0"/>
          <w:marTop w:val="0"/>
          <w:marBottom w:val="0"/>
          <w:divBdr>
            <w:top w:val="none" w:sz="0" w:space="0" w:color="auto"/>
            <w:left w:val="none" w:sz="0" w:space="0" w:color="auto"/>
            <w:bottom w:val="none" w:sz="0" w:space="0" w:color="auto"/>
            <w:right w:val="none" w:sz="0" w:space="0" w:color="auto"/>
          </w:divBdr>
        </w:div>
        <w:div w:id="1563444160">
          <w:marLeft w:val="0"/>
          <w:marRight w:val="0"/>
          <w:marTop w:val="0"/>
          <w:marBottom w:val="0"/>
          <w:divBdr>
            <w:top w:val="none" w:sz="0" w:space="0" w:color="auto"/>
            <w:left w:val="none" w:sz="0" w:space="0" w:color="auto"/>
            <w:bottom w:val="none" w:sz="0" w:space="0" w:color="auto"/>
            <w:right w:val="none" w:sz="0" w:space="0" w:color="auto"/>
          </w:divBdr>
        </w:div>
        <w:div w:id="1967931158">
          <w:marLeft w:val="0"/>
          <w:marRight w:val="0"/>
          <w:marTop w:val="0"/>
          <w:marBottom w:val="0"/>
          <w:divBdr>
            <w:top w:val="none" w:sz="0" w:space="0" w:color="auto"/>
            <w:left w:val="none" w:sz="0" w:space="0" w:color="auto"/>
            <w:bottom w:val="none" w:sz="0" w:space="0" w:color="auto"/>
            <w:right w:val="none" w:sz="0" w:space="0" w:color="auto"/>
          </w:divBdr>
          <w:divsChild>
            <w:div w:id="990523448">
              <w:marLeft w:val="1417"/>
              <w:marRight w:val="0"/>
              <w:marTop w:val="0"/>
              <w:marBottom w:val="0"/>
              <w:divBdr>
                <w:top w:val="none" w:sz="0" w:space="0" w:color="auto"/>
                <w:left w:val="none" w:sz="0" w:space="0" w:color="auto"/>
                <w:bottom w:val="none" w:sz="0" w:space="0" w:color="auto"/>
                <w:right w:val="none" w:sz="0" w:space="0" w:color="auto"/>
              </w:divBdr>
            </w:div>
          </w:divsChild>
        </w:div>
        <w:div w:id="1020399160">
          <w:blockQuote w:val="1"/>
          <w:marLeft w:val="720"/>
          <w:marRight w:val="720"/>
          <w:marTop w:val="100"/>
          <w:marBottom w:val="100"/>
          <w:divBdr>
            <w:top w:val="none" w:sz="0" w:space="0" w:color="auto"/>
            <w:left w:val="none" w:sz="0" w:space="0" w:color="auto"/>
            <w:bottom w:val="none" w:sz="0" w:space="0" w:color="auto"/>
            <w:right w:val="none" w:sz="0" w:space="0" w:color="auto"/>
          </w:divBdr>
        </w:div>
        <w:div w:id="35787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41691">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 w:id="199631091">
      <w:bodyDiv w:val="1"/>
      <w:marLeft w:val="0"/>
      <w:marRight w:val="0"/>
      <w:marTop w:val="0"/>
      <w:marBottom w:val="0"/>
      <w:divBdr>
        <w:top w:val="none" w:sz="0" w:space="0" w:color="auto"/>
        <w:left w:val="none" w:sz="0" w:space="0" w:color="auto"/>
        <w:bottom w:val="none" w:sz="0" w:space="0" w:color="auto"/>
        <w:right w:val="none" w:sz="0" w:space="0" w:color="auto"/>
      </w:divBdr>
      <w:divsChild>
        <w:div w:id="1210068706">
          <w:marLeft w:val="0"/>
          <w:marRight w:val="0"/>
          <w:marTop w:val="0"/>
          <w:marBottom w:val="0"/>
          <w:divBdr>
            <w:top w:val="none" w:sz="0" w:space="0" w:color="auto"/>
            <w:left w:val="none" w:sz="0" w:space="0" w:color="auto"/>
            <w:bottom w:val="none" w:sz="0" w:space="0" w:color="auto"/>
            <w:right w:val="none" w:sz="0" w:space="0" w:color="auto"/>
          </w:divBdr>
        </w:div>
        <w:div w:id="598295571">
          <w:marLeft w:val="0"/>
          <w:marRight w:val="0"/>
          <w:marTop w:val="0"/>
          <w:marBottom w:val="0"/>
          <w:divBdr>
            <w:top w:val="none" w:sz="0" w:space="0" w:color="auto"/>
            <w:left w:val="none" w:sz="0" w:space="0" w:color="auto"/>
            <w:bottom w:val="none" w:sz="0" w:space="0" w:color="auto"/>
            <w:right w:val="none" w:sz="0" w:space="0" w:color="auto"/>
          </w:divBdr>
        </w:div>
        <w:div w:id="1890454819">
          <w:marLeft w:val="0"/>
          <w:marRight w:val="0"/>
          <w:marTop w:val="0"/>
          <w:marBottom w:val="0"/>
          <w:divBdr>
            <w:top w:val="none" w:sz="0" w:space="0" w:color="auto"/>
            <w:left w:val="none" w:sz="0" w:space="0" w:color="auto"/>
            <w:bottom w:val="none" w:sz="0" w:space="0" w:color="auto"/>
            <w:right w:val="none" w:sz="0" w:space="0" w:color="auto"/>
          </w:divBdr>
          <w:divsChild>
            <w:div w:id="823472404">
              <w:marLeft w:val="1417"/>
              <w:marRight w:val="0"/>
              <w:marTop w:val="0"/>
              <w:marBottom w:val="0"/>
              <w:divBdr>
                <w:top w:val="none" w:sz="0" w:space="0" w:color="auto"/>
                <w:left w:val="none" w:sz="0" w:space="0" w:color="auto"/>
                <w:bottom w:val="none" w:sz="0" w:space="0" w:color="auto"/>
                <w:right w:val="none" w:sz="0" w:space="0" w:color="auto"/>
              </w:divBdr>
            </w:div>
          </w:divsChild>
        </w:div>
        <w:div w:id="262151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399921">
          <w:blockQuote w:val="1"/>
          <w:marLeft w:val="720"/>
          <w:marRight w:val="720"/>
          <w:marTop w:val="100"/>
          <w:marBottom w:val="100"/>
          <w:divBdr>
            <w:top w:val="none" w:sz="0" w:space="0" w:color="auto"/>
            <w:left w:val="none" w:sz="0" w:space="0" w:color="auto"/>
            <w:bottom w:val="none" w:sz="0" w:space="0" w:color="auto"/>
            <w:right w:val="none" w:sz="0" w:space="0" w:color="auto"/>
          </w:divBdr>
        </w:div>
        <w:div w:id="39848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365759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567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921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537857">
          <w:blockQuote w:val="1"/>
          <w:marLeft w:val="720"/>
          <w:marRight w:val="720"/>
          <w:marTop w:val="100"/>
          <w:marBottom w:val="100"/>
          <w:divBdr>
            <w:top w:val="none" w:sz="0" w:space="0" w:color="auto"/>
            <w:left w:val="none" w:sz="0" w:space="0" w:color="auto"/>
            <w:bottom w:val="none" w:sz="0" w:space="0" w:color="auto"/>
            <w:right w:val="none" w:sz="0" w:space="0" w:color="auto"/>
          </w:divBdr>
        </w:div>
        <w:div w:id="353461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786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657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179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42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18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862128">
          <w:blockQuote w:val="1"/>
          <w:marLeft w:val="720"/>
          <w:marRight w:val="720"/>
          <w:marTop w:val="100"/>
          <w:marBottom w:val="100"/>
          <w:divBdr>
            <w:top w:val="none" w:sz="0" w:space="0" w:color="auto"/>
            <w:left w:val="none" w:sz="0" w:space="0" w:color="auto"/>
            <w:bottom w:val="none" w:sz="0" w:space="0" w:color="auto"/>
            <w:right w:val="none" w:sz="0" w:space="0" w:color="auto"/>
          </w:divBdr>
        </w:div>
        <w:div w:id="548612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1501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742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835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569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600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071397">
          <w:blockQuote w:val="1"/>
          <w:marLeft w:val="720"/>
          <w:marRight w:val="720"/>
          <w:marTop w:val="100"/>
          <w:marBottom w:val="100"/>
          <w:divBdr>
            <w:top w:val="none" w:sz="0" w:space="0" w:color="auto"/>
            <w:left w:val="none" w:sz="0" w:space="0" w:color="auto"/>
            <w:bottom w:val="none" w:sz="0" w:space="0" w:color="auto"/>
            <w:right w:val="none" w:sz="0" w:space="0" w:color="auto"/>
          </w:divBdr>
        </w:div>
        <w:div w:id="364256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675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737099">
      <w:bodyDiv w:val="1"/>
      <w:marLeft w:val="0"/>
      <w:marRight w:val="0"/>
      <w:marTop w:val="0"/>
      <w:marBottom w:val="0"/>
      <w:divBdr>
        <w:top w:val="none" w:sz="0" w:space="0" w:color="auto"/>
        <w:left w:val="none" w:sz="0" w:space="0" w:color="auto"/>
        <w:bottom w:val="none" w:sz="0" w:space="0" w:color="auto"/>
        <w:right w:val="none" w:sz="0" w:space="0" w:color="auto"/>
      </w:divBdr>
      <w:divsChild>
        <w:div w:id="1888712109">
          <w:marLeft w:val="0"/>
          <w:marRight w:val="0"/>
          <w:marTop w:val="0"/>
          <w:marBottom w:val="0"/>
          <w:divBdr>
            <w:top w:val="none" w:sz="0" w:space="0" w:color="auto"/>
            <w:left w:val="none" w:sz="0" w:space="0" w:color="auto"/>
            <w:bottom w:val="none" w:sz="0" w:space="0" w:color="auto"/>
            <w:right w:val="none" w:sz="0" w:space="0" w:color="auto"/>
          </w:divBdr>
        </w:div>
        <w:div w:id="642154022">
          <w:marLeft w:val="0"/>
          <w:marRight w:val="0"/>
          <w:marTop w:val="0"/>
          <w:marBottom w:val="0"/>
          <w:divBdr>
            <w:top w:val="none" w:sz="0" w:space="0" w:color="auto"/>
            <w:left w:val="none" w:sz="0" w:space="0" w:color="auto"/>
            <w:bottom w:val="none" w:sz="0" w:space="0" w:color="auto"/>
            <w:right w:val="none" w:sz="0" w:space="0" w:color="auto"/>
          </w:divBdr>
        </w:div>
        <w:div w:id="1006901471">
          <w:marLeft w:val="0"/>
          <w:marRight w:val="0"/>
          <w:marTop w:val="0"/>
          <w:marBottom w:val="0"/>
          <w:divBdr>
            <w:top w:val="none" w:sz="0" w:space="0" w:color="auto"/>
            <w:left w:val="none" w:sz="0" w:space="0" w:color="auto"/>
            <w:bottom w:val="none" w:sz="0" w:space="0" w:color="auto"/>
            <w:right w:val="none" w:sz="0" w:space="0" w:color="auto"/>
          </w:divBdr>
          <w:divsChild>
            <w:div w:id="678969003">
              <w:marLeft w:val="1417"/>
              <w:marRight w:val="0"/>
              <w:marTop w:val="0"/>
              <w:marBottom w:val="0"/>
              <w:divBdr>
                <w:top w:val="none" w:sz="0" w:space="0" w:color="auto"/>
                <w:left w:val="none" w:sz="0" w:space="0" w:color="auto"/>
                <w:bottom w:val="none" w:sz="0" w:space="0" w:color="auto"/>
                <w:right w:val="none" w:sz="0" w:space="0" w:color="auto"/>
              </w:divBdr>
            </w:div>
          </w:divsChild>
        </w:div>
        <w:div w:id="1012492977">
          <w:blockQuote w:val="1"/>
          <w:marLeft w:val="720"/>
          <w:marRight w:val="720"/>
          <w:marTop w:val="100"/>
          <w:marBottom w:val="100"/>
          <w:divBdr>
            <w:top w:val="none" w:sz="0" w:space="0" w:color="auto"/>
            <w:left w:val="none" w:sz="0" w:space="0" w:color="auto"/>
            <w:bottom w:val="none" w:sz="0" w:space="0" w:color="auto"/>
            <w:right w:val="none" w:sz="0" w:space="0" w:color="auto"/>
          </w:divBdr>
        </w:div>
        <w:div w:id="696926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619726">
          <w:blockQuote w:val="1"/>
          <w:marLeft w:val="720"/>
          <w:marRight w:val="720"/>
          <w:marTop w:val="100"/>
          <w:marBottom w:val="100"/>
          <w:divBdr>
            <w:top w:val="none" w:sz="0" w:space="0" w:color="auto"/>
            <w:left w:val="none" w:sz="0" w:space="0" w:color="auto"/>
            <w:bottom w:val="none" w:sz="0" w:space="0" w:color="auto"/>
            <w:right w:val="none" w:sz="0" w:space="0" w:color="auto"/>
          </w:divBdr>
        </w:div>
        <w:div w:id="2681240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582525">
          <w:blockQuote w:val="1"/>
          <w:marLeft w:val="720"/>
          <w:marRight w:val="720"/>
          <w:marTop w:val="100"/>
          <w:marBottom w:val="100"/>
          <w:divBdr>
            <w:top w:val="none" w:sz="0" w:space="0" w:color="auto"/>
            <w:left w:val="none" w:sz="0" w:space="0" w:color="auto"/>
            <w:bottom w:val="none" w:sz="0" w:space="0" w:color="auto"/>
            <w:right w:val="none" w:sz="0" w:space="0" w:color="auto"/>
          </w:divBdr>
        </w:div>
        <w:div w:id="67063908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7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110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287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595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2729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59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036331">
          <w:blockQuote w:val="1"/>
          <w:marLeft w:val="720"/>
          <w:marRight w:val="720"/>
          <w:marTop w:val="100"/>
          <w:marBottom w:val="100"/>
          <w:divBdr>
            <w:top w:val="none" w:sz="0" w:space="0" w:color="auto"/>
            <w:left w:val="none" w:sz="0" w:space="0" w:color="auto"/>
            <w:bottom w:val="none" w:sz="0" w:space="0" w:color="auto"/>
            <w:right w:val="none" w:sz="0" w:space="0" w:color="auto"/>
          </w:divBdr>
        </w:div>
        <w:div w:id="884950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153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797300">
          <w:blockQuote w:val="1"/>
          <w:marLeft w:val="720"/>
          <w:marRight w:val="720"/>
          <w:marTop w:val="100"/>
          <w:marBottom w:val="100"/>
          <w:divBdr>
            <w:top w:val="none" w:sz="0" w:space="0" w:color="auto"/>
            <w:left w:val="none" w:sz="0" w:space="0" w:color="auto"/>
            <w:bottom w:val="none" w:sz="0" w:space="0" w:color="auto"/>
            <w:right w:val="none" w:sz="0" w:space="0" w:color="auto"/>
          </w:divBdr>
        </w:div>
        <w:div w:id="8131053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21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557391">
          <w:blockQuote w:val="1"/>
          <w:marLeft w:val="720"/>
          <w:marRight w:val="720"/>
          <w:marTop w:val="100"/>
          <w:marBottom w:val="100"/>
          <w:divBdr>
            <w:top w:val="none" w:sz="0" w:space="0" w:color="auto"/>
            <w:left w:val="none" w:sz="0" w:space="0" w:color="auto"/>
            <w:bottom w:val="none" w:sz="0" w:space="0" w:color="auto"/>
            <w:right w:val="none" w:sz="0" w:space="0" w:color="auto"/>
          </w:divBdr>
        </w:div>
        <w:div w:id="839392525">
          <w:blockQuote w:val="1"/>
          <w:marLeft w:val="720"/>
          <w:marRight w:val="720"/>
          <w:marTop w:val="100"/>
          <w:marBottom w:val="100"/>
          <w:divBdr>
            <w:top w:val="none" w:sz="0" w:space="0" w:color="auto"/>
            <w:left w:val="none" w:sz="0" w:space="0" w:color="auto"/>
            <w:bottom w:val="none" w:sz="0" w:space="0" w:color="auto"/>
            <w:right w:val="none" w:sz="0" w:space="0" w:color="auto"/>
          </w:divBdr>
        </w:div>
        <w:div w:id="5060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449046">
          <w:blockQuote w:val="1"/>
          <w:marLeft w:val="720"/>
          <w:marRight w:val="720"/>
          <w:marTop w:val="100"/>
          <w:marBottom w:val="100"/>
          <w:divBdr>
            <w:top w:val="none" w:sz="0" w:space="0" w:color="auto"/>
            <w:left w:val="none" w:sz="0" w:space="0" w:color="auto"/>
            <w:bottom w:val="none" w:sz="0" w:space="0" w:color="auto"/>
            <w:right w:val="none" w:sz="0" w:space="0" w:color="auto"/>
          </w:divBdr>
        </w:div>
        <w:div w:id="63526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118482">
          <w:blockQuote w:val="1"/>
          <w:marLeft w:val="720"/>
          <w:marRight w:val="720"/>
          <w:marTop w:val="100"/>
          <w:marBottom w:val="100"/>
          <w:divBdr>
            <w:top w:val="none" w:sz="0" w:space="0" w:color="auto"/>
            <w:left w:val="none" w:sz="0" w:space="0" w:color="auto"/>
            <w:bottom w:val="none" w:sz="0" w:space="0" w:color="auto"/>
            <w:right w:val="none" w:sz="0" w:space="0" w:color="auto"/>
          </w:divBdr>
        </w:div>
        <w:div w:id="388966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83044">
          <w:blockQuote w:val="1"/>
          <w:marLeft w:val="720"/>
          <w:marRight w:val="720"/>
          <w:marTop w:val="100"/>
          <w:marBottom w:val="100"/>
          <w:divBdr>
            <w:top w:val="none" w:sz="0" w:space="0" w:color="auto"/>
            <w:left w:val="none" w:sz="0" w:space="0" w:color="auto"/>
            <w:bottom w:val="none" w:sz="0" w:space="0" w:color="auto"/>
            <w:right w:val="none" w:sz="0" w:space="0" w:color="auto"/>
          </w:divBdr>
        </w:div>
        <w:div w:id="5474502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988396">
          <w:blockQuote w:val="1"/>
          <w:marLeft w:val="720"/>
          <w:marRight w:val="720"/>
          <w:marTop w:val="100"/>
          <w:marBottom w:val="100"/>
          <w:divBdr>
            <w:top w:val="none" w:sz="0" w:space="0" w:color="auto"/>
            <w:left w:val="none" w:sz="0" w:space="0" w:color="auto"/>
            <w:bottom w:val="none" w:sz="0" w:space="0" w:color="auto"/>
            <w:right w:val="none" w:sz="0" w:space="0" w:color="auto"/>
          </w:divBdr>
        </w:div>
        <w:div w:id="596868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1527">
          <w:blockQuote w:val="1"/>
          <w:marLeft w:val="720"/>
          <w:marRight w:val="720"/>
          <w:marTop w:val="100"/>
          <w:marBottom w:val="100"/>
          <w:divBdr>
            <w:top w:val="none" w:sz="0" w:space="0" w:color="auto"/>
            <w:left w:val="none" w:sz="0" w:space="0" w:color="auto"/>
            <w:bottom w:val="none" w:sz="0" w:space="0" w:color="auto"/>
            <w:right w:val="none" w:sz="0" w:space="0" w:color="auto"/>
          </w:divBdr>
        </w:div>
        <w:div w:id="26496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16248">
      <w:bodyDiv w:val="1"/>
      <w:marLeft w:val="0"/>
      <w:marRight w:val="0"/>
      <w:marTop w:val="0"/>
      <w:marBottom w:val="0"/>
      <w:divBdr>
        <w:top w:val="none" w:sz="0" w:space="0" w:color="auto"/>
        <w:left w:val="none" w:sz="0" w:space="0" w:color="auto"/>
        <w:bottom w:val="none" w:sz="0" w:space="0" w:color="auto"/>
        <w:right w:val="none" w:sz="0" w:space="0" w:color="auto"/>
      </w:divBdr>
      <w:divsChild>
        <w:div w:id="1093165030">
          <w:marLeft w:val="0"/>
          <w:marRight w:val="0"/>
          <w:marTop w:val="0"/>
          <w:marBottom w:val="0"/>
          <w:divBdr>
            <w:top w:val="none" w:sz="0" w:space="0" w:color="auto"/>
            <w:left w:val="none" w:sz="0" w:space="0" w:color="auto"/>
            <w:bottom w:val="none" w:sz="0" w:space="0" w:color="auto"/>
            <w:right w:val="none" w:sz="0" w:space="0" w:color="auto"/>
          </w:divBdr>
        </w:div>
        <w:div w:id="770978145">
          <w:marLeft w:val="0"/>
          <w:marRight w:val="0"/>
          <w:marTop w:val="0"/>
          <w:marBottom w:val="0"/>
          <w:divBdr>
            <w:top w:val="none" w:sz="0" w:space="0" w:color="auto"/>
            <w:left w:val="none" w:sz="0" w:space="0" w:color="auto"/>
            <w:bottom w:val="none" w:sz="0" w:space="0" w:color="auto"/>
            <w:right w:val="none" w:sz="0" w:space="0" w:color="auto"/>
          </w:divBdr>
        </w:div>
        <w:div w:id="523789440">
          <w:marLeft w:val="0"/>
          <w:marRight w:val="0"/>
          <w:marTop w:val="0"/>
          <w:marBottom w:val="0"/>
          <w:divBdr>
            <w:top w:val="none" w:sz="0" w:space="0" w:color="auto"/>
            <w:left w:val="none" w:sz="0" w:space="0" w:color="auto"/>
            <w:bottom w:val="none" w:sz="0" w:space="0" w:color="auto"/>
            <w:right w:val="none" w:sz="0" w:space="0" w:color="auto"/>
          </w:divBdr>
          <w:divsChild>
            <w:div w:id="1642269023">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 w:id="586158541">
      <w:bodyDiv w:val="1"/>
      <w:marLeft w:val="0"/>
      <w:marRight w:val="0"/>
      <w:marTop w:val="0"/>
      <w:marBottom w:val="0"/>
      <w:divBdr>
        <w:top w:val="none" w:sz="0" w:space="0" w:color="auto"/>
        <w:left w:val="none" w:sz="0" w:space="0" w:color="auto"/>
        <w:bottom w:val="none" w:sz="0" w:space="0" w:color="auto"/>
        <w:right w:val="none" w:sz="0" w:space="0" w:color="auto"/>
      </w:divBdr>
      <w:divsChild>
        <w:div w:id="2138837949">
          <w:marLeft w:val="0"/>
          <w:marRight w:val="0"/>
          <w:marTop w:val="0"/>
          <w:marBottom w:val="0"/>
          <w:divBdr>
            <w:top w:val="none" w:sz="0" w:space="0" w:color="auto"/>
            <w:left w:val="none" w:sz="0" w:space="0" w:color="auto"/>
            <w:bottom w:val="none" w:sz="0" w:space="0" w:color="auto"/>
            <w:right w:val="none" w:sz="0" w:space="0" w:color="auto"/>
          </w:divBdr>
        </w:div>
        <w:div w:id="1158224471">
          <w:marLeft w:val="0"/>
          <w:marRight w:val="0"/>
          <w:marTop w:val="0"/>
          <w:marBottom w:val="0"/>
          <w:divBdr>
            <w:top w:val="none" w:sz="0" w:space="0" w:color="auto"/>
            <w:left w:val="none" w:sz="0" w:space="0" w:color="auto"/>
            <w:bottom w:val="none" w:sz="0" w:space="0" w:color="auto"/>
            <w:right w:val="none" w:sz="0" w:space="0" w:color="auto"/>
          </w:divBdr>
        </w:div>
        <w:div w:id="1940942529">
          <w:marLeft w:val="0"/>
          <w:marRight w:val="0"/>
          <w:marTop w:val="0"/>
          <w:marBottom w:val="0"/>
          <w:divBdr>
            <w:top w:val="none" w:sz="0" w:space="0" w:color="auto"/>
            <w:left w:val="none" w:sz="0" w:space="0" w:color="auto"/>
            <w:bottom w:val="none" w:sz="0" w:space="0" w:color="auto"/>
            <w:right w:val="none" w:sz="0" w:space="0" w:color="auto"/>
          </w:divBdr>
          <w:divsChild>
            <w:div w:id="113913815">
              <w:marLeft w:val="1417"/>
              <w:marRight w:val="0"/>
              <w:marTop w:val="0"/>
              <w:marBottom w:val="0"/>
              <w:divBdr>
                <w:top w:val="none" w:sz="0" w:space="0" w:color="auto"/>
                <w:left w:val="none" w:sz="0" w:space="0" w:color="auto"/>
                <w:bottom w:val="none" w:sz="0" w:space="0" w:color="auto"/>
                <w:right w:val="none" w:sz="0" w:space="0" w:color="auto"/>
              </w:divBdr>
            </w:div>
          </w:divsChild>
        </w:div>
        <w:div w:id="435683812">
          <w:blockQuote w:val="1"/>
          <w:marLeft w:val="720"/>
          <w:marRight w:val="720"/>
          <w:marTop w:val="100"/>
          <w:marBottom w:val="100"/>
          <w:divBdr>
            <w:top w:val="none" w:sz="0" w:space="0" w:color="auto"/>
            <w:left w:val="none" w:sz="0" w:space="0" w:color="auto"/>
            <w:bottom w:val="none" w:sz="0" w:space="0" w:color="auto"/>
            <w:right w:val="none" w:sz="0" w:space="0" w:color="auto"/>
          </w:divBdr>
        </w:div>
        <w:div w:id="479273994">
          <w:blockQuote w:val="1"/>
          <w:marLeft w:val="720"/>
          <w:marRight w:val="720"/>
          <w:marTop w:val="100"/>
          <w:marBottom w:val="100"/>
          <w:divBdr>
            <w:top w:val="none" w:sz="0" w:space="0" w:color="auto"/>
            <w:left w:val="none" w:sz="0" w:space="0" w:color="auto"/>
            <w:bottom w:val="none" w:sz="0" w:space="0" w:color="auto"/>
            <w:right w:val="none" w:sz="0" w:space="0" w:color="auto"/>
          </w:divBdr>
        </w:div>
        <w:div w:id="720515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3849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440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334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703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72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224229">
      <w:bodyDiv w:val="1"/>
      <w:marLeft w:val="0"/>
      <w:marRight w:val="0"/>
      <w:marTop w:val="0"/>
      <w:marBottom w:val="0"/>
      <w:divBdr>
        <w:top w:val="none" w:sz="0" w:space="0" w:color="auto"/>
        <w:left w:val="none" w:sz="0" w:space="0" w:color="auto"/>
        <w:bottom w:val="none" w:sz="0" w:space="0" w:color="auto"/>
        <w:right w:val="none" w:sz="0" w:space="0" w:color="auto"/>
      </w:divBdr>
      <w:divsChild>
        <w:div w:id="1875732105">
          <w:marLeft w:val="0"/>
          <w:marRight w:val="0"/>
          <w:marTop w:val="0"/>
          <w:marBottom w:val="0"/>
          <w:divBdr>
            <w:top w:val="none" w:sz="0" w:space="0" w:color="auto"/>
            <w:left w:val="none" w:sz="0" w:space="0" w:color="auto"/>
            <w:bottom w:val="none" w:sz="0" w:space="0" w:color="auto"/>
            <w:right w:val="none" w:sz="0" w:space="0" w:color="auto"/>
          </w:divBdr>
        </w:div>
        <w:div w:id="875313278">
          <w:marLeft w:val="0"/>
          <w:marRight w:val="0"/>
          <w:marTop w:val="0"/>
          <w:marBottom w:val="0"/>
          <w:divBdr>
            <w:top w:val="none" w:sz="0" w:space="0" w:color="auto"/>
            <w:left w:val="none" w:sz="0" w:space="0" w:color="auto"/>
            <w:bottom w:val="none" w:sz="0" w:space="0" w:color="auto"/>
            <w:right w:val="none" w:sz="0" w:space="0" w:color="auto"/>
          </w:divBdr>
        </w:div>
        <w:div w:id="975573509">
          <w:marLeft w:val="0"/>
          <w:marRight w:val="0"/>
          <w:marTop w:val="0"/>
          <w:marBottom w:val="0"/>
          <w:divBdr>
            <w:top w:val="none" w:sz="0" w:space="0" w:color="auto"/>
            <w:left w:val="none" w:sz="0" w:space="0" w:color="auto"/>
            <w:bottom w:val="none" w:sz="0" w:space="0" w:color="auto"/>
            <w:right w:val="none" w:sz="0" w:space="0" w:color="auto"/>
          </w:divBdr>
          <w:divsChild>
            <w:div w:id="1232350302">
              <w:marLeft w:val="1417"/>
              <w:marRight w:val="0"/>
              <w:marTop w:val="0"/>
              <w:marBottom w:val="0"/>
              <w:divBdr>
                <w:top w:val="none" w:sz="0" w:space="0" w:color="auto"/>
                <w:left w:val="none" w:sz="0" w:space="0" w:color="auto"/>
                <w:bottom w:val="none" w:sz="0" w:space="0" w:color="auto"/>
                <w:right w:val="none" w:sz="0" w:space="0" w:color="auto"/>
              </w:divBdr>
            </w:div>
          </w:divsChild>
        </w:div>
        <w:div w:id="1458328743">
          <w:blockQuote w:val="1"/>
          <w:marLeft w:val="720"/>
          <w:marRight w:val="720"/>
          <w:marTop w:val="100"/>
          <w:marBottom w:val="100"/>
          <w:divBdr>
            <w:top w:val="none" w:sz="0" w:space="0" w:color="auto"/>
            <w:left w:val="none" w:sz="0" w:space="0" w:color="auto"/>
            <w:bottom w:val="none" w:sz="0" w:space="0" w:color="auto"/>
            <w:right w:val="none" w:sz="0" w:space="0" w:color="auto"/>
          </w:divBdr>
        </w:div>
        <w:div w:id="518541863">
          <w:blockQuote w:val="1"/>
          <w:marLeft w:val="720"/>
          <w:marRight w:val="720"/>
          <w:marTop w:val="100"/>
          <w:marBottom w:val="100"/>
          <w:divBdr>
            <w:top w:val="none" w:sz="0" w:space="0" w:color="auto"/>
            <w:left w:val="none" w:sz="0" w:space="0" w:color="auto"/>
            <w:bottom w:val="none" w:sz="0" w:space="0" w:color="auto"/>
            <w:right w:val="none" w:sz="0" w:space="0" w:color="auto"/>
          </w:divBdr>
        </w:div>
        <w:div w:id="815949936">
          <w:blockQuote w:val="1"/>
          <w:marLeft w:val="720"/>
          <w:marRight w:val="720"/>
          <w:marTop w:val="100"/>
          <w:marBottom w:val="100"/>
          <w:divBdr>
            <w:top w:val="none" w:sz="0" w:space="0" w:color="auto"/>
            <w:left w:val="none" w:sz="0" w:space="0" w:color="auto"/>
            <w:bottom w:val="none" w:sz="0" w:space="0" w:color="auto"/>
            <w:right w:val="none" w:sz="0" w:space="0" w:color="auto"/>
          </w:divBdr>
        </w:div>
        <w:div w:id="7375600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190279">
          <w:blockQuote w:val="1"/>
          <w:marLeft w:val="720"/>
          <w:marRight w:val="720"/>
          <w:marTop w:val="100"/>
          <w:marBottom w:val="100"/>
          <w:divBdr>
            <w:top w:val="none" w:sz="0" w:space="0" w:color="auto"/>
            <w:left w:val="none" w:sz="0" w:space="0" w:color="auto"/>
            <w:bottom w:val="none" w:sz="0" w:space="0" w:color="auto"/>
            <w:right w:val="none" w:sz="0" w:space="0" w:color="auto"/>
          </w:divBdr>
        </w:div>
        <w:div w:id="986207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7615">
      <w:bodyDiv w:val="1"/>
      <w:marLeft w:val="0"/>
      <w:marRight w:val="0"/>
      <w:marTop w:val="0"/>
      <w:marBottom w:val="0"/>
      <w:divBdr>
        <w:top w:val="none" w:sz="0" w:space="0" w:color="auto"/>
        <w:left w:val="none" w:sz="0" w:space="0" w:color="auto"/>
        <w:bottom w:val="none" w:sz="0" w:space="0" w:color="auto"/>
        <w:right w:val="none" w:sz="0" w:space="0" w:color="auto"/>
      </w:divBdr>
      <w:divsChild>
        <w:div w:id="893196988">
          <w:marLeft w:val="0"/>
          <w:marRight w:val="0"/>
          <w:marTop w:val="0"/>
          <w:marBottom w:val="0"/>
          <w:divBdr>
            <w:top w:val="none" w:sz="0" w:space="0" w:color="auto"/>
            <w:left w:val="none" w:sz="0" w:space="0" w:color="auto"/>
            <w:bottom w:val="none" w:sz="0" w:space="0" w:color="auto"/>
            <w:right w:val="none" w:sz="0" w:space="0" w:color="auto"/>
          </w:divBdr>
        </w:div>
        <w:div w:id="684095792">
          <w:marLeft w:val="0"/>
          <w:marRight w:val="0"/>
          <w:marTop w:val="0"/>
          <w:marBottom w:val="0"/>
          <w:divBdr>
            <w:top w:val="none" w:sz="0" w:space="0" w:color="auto"/>
            <w:left w:val="none" w:sz="0" w:space="0" w:color="auto"/>
            <w:bottom w:val="none" w:sz="0" w:space="0" w:color="auto"/>
            <w:right w:val="none" w:sz="0" w:space="0" w:color="auto"/>
          </w:divBdr>
        </w:div>
        <w:div w:id="1521702496">
          <w:marLeft w:val="0"/>
          <w:marRight w:val="0"/>
          <w:marTop w:val="0"/>
          <w:marBottom w:val="0"/>
          <w:divBdr>
            <w:top w:val="none" w:sz="0" w:space="0" w:color="auto"/>
            <w:left w:val="none" w:sz="0" w:space="0" w:color="auto"/>
            <w:bottom w:val="none" w:sz="0" w:space="0" w:color="auto"/>
            <w:right w:val="none" w:sz="0" w:space="0" w:color="auto"/>
          </w:divBdr>
          <w:divsChild>
            <w:div w:id="1090352419">
              <w:marLeft w:val="1417"/>
              <w:marRight w:val="0"/>
              <w:marTop w:val="0"/>
              <w:marBottom w:val="0"/>
              <w:divBdr>
                <w:top w:val="none" w:sz="0" w:space="0" w:color="auto"/>
                <w:left w:val="none" w:sz="0" w:space="0" w:color="auto"/>
                <w:bottom w:val="none" w:sz="0" w:space="0" w:color="auto"/>
                <w:right w:val="none" w:sz="0" w:space="0" w:color="auto"/>
              </w:divBdr>
            </w:div>
          </w:divsChild>
        </w:div>
        <w:div w:id="1415589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215309">
          <w:blockQuote w:val="1"/>
          <w:marLeft w:val="720"/>
          <w:marRight w:val="720"/>
          <w:marTop w:val="100"/>
          <w:marBottom w:val="100"/>
          <w:divBdr>
            <w:top w:val="none" w:sz="0" w:space="0" w:color="auto"/>
            <w:left w:val="none" w:sz="0" w:space="0" w:color="auto"/>
            <w:bottom w:val="none" w:sz="0" w:space="0" w:color="auto"/>
            <w:right w:val="none" w:sz="0" w:space="0" w:color="auto"/>
          </w:divBdr>
        </w:div>
        <w:div w:id="230433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948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768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136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sw3d/473/60/" TargetMode="External"/><Relationship Id="rId18" Type="http://schemas.openxmlformats.org/officeDocument/2006/relationships/hyperlink" Target="https://cite.case.law/ark/326/623/" TargetMode="External"/><Relationship Id="rId26" Type="http://schemas.openxmlformats.org/officeDocument/2006/relationships/hyperlink" Target="https://cite.case.law/sw3d/495/628/" TargetMode="External"/><Relationship Id="rId3" Type="http://schemas.openxmlformats.org/officeDocument/2006/relationships/webSettings" Target="webSettings.xml"/><Relationship Id="rId21" Type="http://schemas.openxmlformats.org/officeDocument/2006/relationships/hyperlink" Target="https://cite.case.law/ark/303/603/" TargetMode="External"/><Relationship Id="rId34" Type="http://schemas.openxmlformats.org/officeDocument/2006/relationships/fontTable" Target="fontTable.xml"/><Relationship Id="rId7" Type="http://schemas.openxmlformats.org/officeDocument/2006/relationships/hyperlink" Target="https://cite.case.law/ark/371/559/" TargetMode="External"/><Relationship Id="rId12" Type="http://schemas.openxmlformats.org/officeDocument/2006/relationships/hyperlink" Target="https://cite.case.law/sw3d/342/274/" TargetMode="External"/><Relationship Id="rId17" Type="http://schemas.openxmlformats.org/officeDocument/2006/relationships/hyperlink" Target="https://cite.case.law/sw3d/430/7/" TargetMode="External"/><Relationship Id="rId25" Type="http://schemas.openxmlformats.org/officeDocument/2006/relationships/hyperlink" Target="https://cite.case.law/sw3d/495/628/" TargetMode="External"/><Relationship Id="rId33" Type="http://schemas.openxmlformats.org/officeDocument/2006/relationships/hyperlink" Target="https://cite.case.law/sw3d/495/628/" TargetMode="External"/><Relationship Id="rId2" Type="http://schemas.openxmlformats.org/officeDocument/2006/relationships/settings" Target="settings.xml"/><Relationship Id="rId16" Type="http://schemas.openxmlformats.org/officeDocument/2006/relationships/hyperlink" Target="https://cite.case.law/sw3d/378/109/" TargetMode="External"/><Relationship Id="rId20" Type="http://schemas.openxmlformats.org/officeDocument/2006/relationships/hyperlink" Target="https://cite.case.law/ark/303/603/" TargetMode="External"/><Relationship Id="rId29" Type="http://schemas.openxmlformats.org/officeDocument/2006/relationships/hyperlink" Target="https://cite.case.law/ark-app/10/294/" TargetMode="External"/><Relationship Id="rId1" Type="http://schemas.openxmlformats.org/officeDocument/2006/relationships/styles" Target="styles.xml"/><Relationship Id="rId6" Type="http://schemas.openxmlformats.org/officeDocument/2006/relationships/hyperlink" Target="https://cite.case.law/sw3d/495/628/" TargetMode="External"/><Relationship Id="rId11" Type="http://schemas.openxmlformats.org/officeDocument/2006/relationships/hyperlink" Target="https://cite.case.law/ark/355/138/" TargetMode="External"/><Relationship Id="rId24" Type="http://schemas.openxmlformats.org/officeDocument/2006/relationships/hyperlink" Target="https://cite.case.law/sw3d/386/439/" TargetMode="External"/><Relationship Id="rId32" Type="http://schemas.openxmlformats.org/officeDocument/2006/relationships/hyperlink" Target="https://cite.case.law/sw3d/495/628/" TargetMode="External"/><Relationship Id="rId5" Type="http://schemas.openxmlformats.org/officeDocument/2006/relationships/hyperlink" Target="https://cite.case.law/sw3d/495/628/" TargetMode="External"/><Relationship Id="rId15" Type="http://schemas.openxmlformats.org/officeDocument/2006/relationships/hyperlink" Target="https://cite.case.law/sw3d/470/293/" TargetMode="External"/><Relationship Id="rId23" Type="http://schemas.openxmlformats.org/officeDocument/2006/relationships/hyperlink" Target="https://cite.case.law/ark/303/603/" TargetMode="External"/><Relationship Id="rId28" Type="http://schemas.openxmlformats.org/officeDocument/2006/relationships/hyperlink" Target="https://cite.case.law/sw3d/383/869/" TargetMode="External"/><Relationship Id="rId10" Type="http://schemas.openxmlformats.org/officeDocument/2006/relationships/hyperlink" Target="https://cite.case.law/ark/329/354/" TargetMode="External"/><Relationship Id="rId19" Type="http://schemas.openxmlformats.org/officeDocument/2006/relationships/hyperlink" Target="https://cite.case.law/ark/63/430/" TargetMode="External"/><Relationship Id="rId31" Type="http://schemas.openxmlformats.org/officeDocument/2006/relationships/hyperlink" Target="https://cite.case.law/sw3d/431/321/" TargetMode="External"/><Relationship Id="rId4" Type="http://schemas.openxmlformats.org/officeDocument/2006/relationships/hyperlink" Target="https://cite.case.law/sw3d/495/628/" TargetMode="External"/><Relationship Id="rId9" Type="http://schemas.openxmlformats.org/officeDocument/2006/relationships/hyperlink" Target="https://cite.case.law/ark/371/559/" TargetMode="External"/><Relationship Id="rId14" Type="http://schemas.openxmlformats.org/officeDocument/2006/relationships/hyperlink" Target="https://cite.case.law/ark/340/563/" TargetMode="External"/><Relationship Id="rId22" Type="http://schemas.openxmlformats.org/officeDocument/2006/relationships/hyperlink" Target="https://cite.case.law/sw3d/495/628/" TargetMode="External"/><Relationship Id="rId27" Type="http://schemas.openxmlformats.org/officeDocument/2006/relationships/hyperlink" Target="https://cite.case.law/ark/348/369/" TargetMode="External"/><Relationship Id="rId30" Type="http://schemas.openxmlformats.org/officeDocument/2006/relationships/hyperlink" Target="https://cite.case.law/ark-app/82/8/" TargetMode="External"/><Relationship Id="rId35" Type="http://schemas.openxmlformats.org/officeDocument/2006/relationships/theme" Target="theme/theme1.xml"/><Relationship Id="rId8" Type="http://schemas.openxmlformats.org/officeDocument/2006/relationships/hyperlink" Target="https://cite.case.law/ark/371/5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4070</Words>
  <Characters>23203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2024-09-17T13:44:00Z</dcterms:created>
  <dcterms:modified xsi:type="dcterms:W3CDTF">2024-09-17T13:44:00Z</dcterms:modified>
</cp:coreProperties>
</file>