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A6482" w14:textId="77777777" w:rsidR="00694528" w:rsidRPr="00694528" w:rsidRDefault="00694528" w:rsidP="00694528">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694528">
        <w:rPr>
          <w:rFonts w:ascii="Times New Roman" w:eastAsia="Times New Roman" w:hAnsi="Times New Roman" w:cs="Times New Roman"/>
          <w:b/>
          <w:bCs/>
          <w:kern w:val="36"/>
          <w:sz w:val="48"/>
          <w:szCs w:val="48"/>
          <w:lang w:eastAsia="en-AU"/>
        </w:rPr>
        <w:t>Lloyd v. Pier West Property Owners Ass'n, 470 S.W.3d 293, 2015 Ark. App. 487 (2015)</w:t>
      </w:r>
    </w:p>
    <w:p w14:paraId="364EA5B2" w14:textId="77777777" w:rsidR="00694528" w:rsidRPr="00694528" w:rsidRDefault="00694528" w:rsidP="00694528">
      <w:pPr>
        <w:spacing w:after="0" w:line="240" w:lineRule="auto"/>
        <w:jc w:val="left"/>
        <w:rPr>
          <w:rFonts w:ascii="Times New Roman" w:eastAsia="Times New Roman" w:hAnsi="Times New Roman" w:cs="Times New Roman"/>
          <w:sz w:val="24"/>
          <w:szCs w:val="24"/>
          <w:lang w:eastAsia="en-AU"/>
        </w:rPr>
      </w:pPr>
      <w:r w:rsidRPr="00694528">
        <w:rPr>
          <w:rFonts w:ascii="Times New Roman" w:eastAsia="Times New Roman" w:hAnsi="Times New Roman" w:cs="Times New Roman"/>
          <w:sz w:val="24"/>
          <w:szCs w:val="24"/>
          <w:lang w:eastAsia="en-AU"/>
        </w:rPr>
        <w:t xml:space="preserve">Sept. 16, 2015 · Arkansas Court of Appeals · No. CV-14-905 </w:t>
      </w:r>
    </w:p>
    <w:p w14:paraId="023768AC" w14:textId="77777777" w:rsidR="00694528" w:rsidRPr="00694528" w:rsidRDefault="00694528" w:rsidP="00694528">
      <w:pPr>
        <w:spacing w:after="0" w:line="240" w:lineRule="auto"/>
        <w:jc w:val="left"/>
        <w:rPr>
          <w:rFonts w:ascii="Times New Roman" w:eastAsia="Times New Roman" w:hAnsi="Times New Roman" w:cs="Times New Roman"/>
          <w:sz w:val="24"/>
          <w:szCs w:val="24"/>
          <w:lang w:eastAsia="en-AU"/>
        </w:rPr>
      </w:pPr>
      <w:r w:rsidRPr="00694528">
        <w:rPr>
          <w:rFonts w:ascii="Times New Roman" w:eastAsia="Times New Roman" w:hAnsi="Times New Roman" w:cs="Times New Roman"/>
          <w:sz w:val="24"/>
          <w:szCs w:val="24"/>
          <w:lang w:eastAsia="en-AU"/>
        </w:rPr>
        <w:t xml:space="preserve">470 S.W.3d 293, 2015 Ark. App. 487 </w:t>
      </w:r>
    </w:p>
    <w:p w14:paraId="22B73B25" w14:textId="77777777" w:rsidR="00694528" w:rsidRPr="00694528" w:rsidRDefault="00694528" w:rsidP="00694528">
      <w:pPr>
        <w:spacing w:after="0" w:line="240" w:lineRule="auto"/>
        <w:jc w:val="left"/>
        <w:rPr>
          <w:rFonts w:ascii="Times New Roman" w:eastAsia="Times New Roman" w:hAnsi="Times New Roman" w:cs="Times New Roman"/>
          <w:sz w:val="24"/>
          <w:szCs w:val="24"/>
          <w:lang w:eastAsia="en-AU"/>
        </w:rPr>
      </w:pPr>
      <w:r w:rsidRPr="00694528">
        <w:rPr>
          <w:rFonts w:ascii="Times New Roman" w:eastAsia="Times New Roman" w:hAnsi="Times New Roman" w:cs="Times New Roman"/>
          <w:sz w:val="24"/>
          <w:szCs w:val="24"/>
          <w:lang w:eastAsia="en-AU"/>
        </w:rPr>
        <w:t xml:space="preserve">Gary Steve LLOYD, Appellant, v. PIER WEST PROPERTY OWNERS ASSOCIATION and State Farm Fire &amp; Casualty Company, Appellees </w:t>
      </w:r>
    </w:p>
    <w:p w14:paraId="6A64B7CF" w14:textId="77777777" w:rsidR="00694528" w:rsidRPr="00694528" w:rsidRDefault="00694528" w:rsidP="0069452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94528">
        <w:rPr>
          <w:rFonts w:ascii="Times New Roman" w:eastAsia="Times New Roman" w:hAnsi="Times New Roman" w:cs="Times New Roman"/>
          <w:sz w:val="24"/>
          <w:szCs w:val="24"/>
          <w:lang w:eastAsia="en-AU"/>
        </w:rPr>
        <w:t>2015 Ark. App. 487</w:t>
      </w:r>
    </w:p>
    <w:p w14:paraId="34EC67FA" w14:textId="77777777" w:rsidR="00694528" w:rsidRPr="00694528" w:rsidRDefault="00694528" w:rsidP="0069452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94528">
        <w:rPr>
          <w:rFonts w:ascii="Times New Roman" w:eastAsia="Times New Roman" w:hAnsi="Times New Roman" w:cs="Times New Roman"/>
          <w:sz w:val="24"/>
          <w:szCs w:val="24"/>
          <w:lang w:eastAsia="en-AU"/>
        </w:rPr>
        <w:t>Court of Appeals of Arkansas, DIVISION IV.</w:t>
      </w:r>
    </w:p>
    <w:p w14:paraId="6C5DAB3F" w14:textId="77777777" w:rsidR="00694528" w:rsidRPr="00694528" w:rsidRDefault="00694528" w:rsidP="0069452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94528">
        <w:rPr>
          <w:rFonts w:ascii="Times New Roman" w:eastAsia="Times New Roman" w:hAnsi="Times New Roman" w:cs="Times New Roman"/>
          <w:sz w:val="24"/>
          <w:szCs w:val="24"/>
          <w:lang w:eastAsia="en-AU"/>
        </w:rPr>
        <w:t>Rehearing Denied October 28, 2015</w:t>
      </w:r>
    </w:p>
    <w:p w14:paraId="607F9063" w14:textId="71ADDC68" w:rsidR="00694528" w:rsidRPr="00694528" w:rsidRDefault="00694528" w:rsidP="0069452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94528">
        <w:rPr>
          <w:rFonts w:ascii="Times New Roman" w:eastAsia="Times New Roman" w:hAnsi="Times New Roman" w:cs="Times New Roman"/>
          <w:color w:val="0000FF"/>
          <w:sz w:val="24"/>
          <w:szCs w:val="24"/>
          <w:u w:val="single"/>
          <w:lang w:eastAsia="en-AU"/>
        </w:rPr>
        <w:t>*296</w:t>
      </w:r>
      <w:r w:rsidRPr="00694528">
        <w:rPr>
          <w:rFonts w:ascii="Times New Roman" w:eastAsia="Times New Roman" w:hAnsi="Times New Roman" w:cs="Times New Roman"/>
          <w:sz w:val="24"/>
          <w:szCs w:val="24"/>
          <w:lang w:eastAsia="en-AU"/>
        </w:rPr>
        <w:t>Jackson Law Firm, PA, Little Rock, by: Jim Jackson; Cullen &amp; Co., PLLC, by: Tim Cullen; and Callis L. Childs, PA, Conway, by: Callis Childs, for appellant.</w:t>
      </w:r>
    </w:p>
    <w:p w14:paraId="18D31396" w14:textId="77777777" w:rsidR="00694528" w:rsidRPr="00694528" w:rsidRDefault="00694528" w:rsidP="0069452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94528">
        <w:rPr>
          <w:rFonts w:ascii="Times New Roman" w:eastAsia="Times New Roman" w:hAnsi="Times New Roman" w:cs="Times New Roman"/>
          <w:sz w:val="24"/>
          <w:szCs w:val="24"/>
          <w:lang w:eastAsia="en-AU"/>
        </w:rPr>
        <w:t>Elliott Law Firm, by: Jeffrey C. Elliott, for appellee.</w:t>
      </w:r>
    </w:p>
    <w:p w14:paraId="74A3315D" w14:textId="77777777" w:rsidR="00694528" w:rsidRPr="00694528" w:rsidRDefault="00694528" w:rsidP="0069452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94528">
        <w:rPr>
          <w:rFonts w:ascii="Times New Roman" w:eastAsia="Times New Roman" w:hAnsi="Times New Roman" w:cs="Times New Roman"/>
          <w:sz w:val="24"/>
          <w:szCs w:val="24"/>
          <w:lang w:eastAsia="en-AU"/>
        </w:rPr>
        <w:t>KENNETH S. HIXSON, Judge</w:t>
      </w:r>
    </w:p>
    <w:p w14:paraId="33A9AEC1" w14:textId="4D81A277" w:rsidR="00694528" w:rsidRPr="00694528" w:rsidRDefault="00694528" w:rsidP="0069452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94528">
        <w:rPr>
          <w:rFonts w:ascii="Times New Roman" w:eastAsia="Times New Roman" w:hAnsi="Times New Roman" w:cs="Times New Roman"/>
          <w:sz w:val="24"/>
          <w:szCs w:val="24"/>
          <w:lang w:eastAsia="en-AU"/>
        </w:rPr>
        <w:t xml:space="preserve">1 </w:t>
      </w:r>
      <w:r w:rsidRPr="00C254F2">
        <w:rPr>
          <w:rFonts w:ascii="Times New Roman" w:eastAsia="Times New Roman" w:hAnsi="Times New Roman" w:cs="Times New Roman"/>
          <w:sz w:val="24"/>
          <w:szCs w:val="24"/>
          <w:highlight w:val="yellow"/>
          <w:lang w:eastAsia="en-AU"/>
        </w:rPr>
        <w:t>Appellant Gary Steve Lloyd was seriously and permanently injured as the result of a fall from a second floor common-area balcony of a condominium building located at'100 Bayou Point in Hot Springs, Arkansas. The property is known as Pier West Condominiums. Lloyd attended a party as a social guest of a friend who leased Unit D-4 in the condominium complex</w:t>
      </w:r>
      <w:r w:rsidRPr="00694528">
        <w:rPr>
          <w:rFonts w:ascii="Times New Roman" w:eastAsia="Times New Roman" w:hAnsi="Times New Roman" w:cs="Times New Roman"/>
          <w:sz w:val="24"/>
          <w:szCs w:val="24"/>
          <w:lang w:eastAsia="en-AU"/>
        </w:rPr>
        <w:t xml:space="preserve">. Lloyd alleged that during the party, </w:t>
      </w:r>
      <w:r w:rsidRPr="00C254F2">
        <w:rPr>
          <w:rFonts w:ascii="Times New Roman" w:eastAsia="Times New Roman" w:hAnsi="Times New Roman" w:cs="Times New Roman"/>
          <w:sz w:val="24"/>
          <w:szCs w:val="24"/>
          <w:highlight w:val="yellow"/>
          <w:lang w:eastAsia="en-AU"/>
        </w:rPr>
        <w:t>the wooden guardrail attached to the second floor balcony collapsed, causing him to fall to the ground below and sustain personal injuries</w:t>
      </w:r>
      <w:r w:rsidRPr="00694528">
        <w:rPr>
          <w:rFonts w:ascii="Times New Roman" w:eastAsia="Times New Roman" w:hAnsi="Times New Roman" w:cs="Times New Roman"/>
          <w:sz w:val="24"/>
          <w:szCs w:val="24"/>
          <w:lang w:eastAsia="en-AU"/>
        </w:rPr>
        <w:t xml:space="preserve">. Lloyd filed suit against </w:t>
      </w:r>
      <w:r w:rsidRPr="00C254F2">
        <w:rPr>
          <w:rFonts w:ascii="Times New Roman" w:eastAsia="Times New Roman" w:hAnsi="Times New Roman" w:cs="Times New Roman"/>
          <w:sz w:val="24"/>
          <w:szCs w:val="24"/>
          <w:highlight w:val="yellow"/>
          <w:lang w:eastAsia="en-AU"/>
        </w:rPr>
        <w:t>appellee, Pier West Property Owners Association (“Pier West POA”),</w:t>
      </w:r>
      <w:r w:rsidRPr="00694528">
        <w:rPr>
          <w:rFonts w:ascii="Times New Roman" w:eastAsia="Times New Roman" w:hAnsi="Times New Roman" w:cs="Times New Roman"/>
          <w:sz w:val="24"/>
          <w:szCs w:val="24"/>
          <w:lang w:eastAsia="en-AU"/>
        </w:rPr>
        <w:t xml:space="preserve"> alleging that Pier West POA was negligent in its installation and maintenance of the balcony railing.</w:t>
      </w:r>
      <w:r w:rsidRPr="00694528">
        <w:rPr>
          <w:rFonts w:ascii="Times New Roman" w:eastAsia="Times New Roman" w:hAnsi="Times New Roman" w:cs="Times New Roman"/>
          <w:color w:val="0000FF"/>
          <w:sz w:val="24"/>
          <w:szCs w:val="24"/>
          <w:u w:val="single"/>
          <w:lang w:eastAsia="en-AU"/>
        </w:rPr>
        <w:t>1</w:t>
      </w:r>
      <w:r w:rsidRPr="00694528">
        <w:rPr>
          <w:rFonts w:ascii="Times New Roman" w:eastAsia="Times New Roman" w:hAnsi="Times New Roman" w:cs="Times New Roman"/>
          <w:sz w:val="24"/>
          <w:szCs w:val="24"/>
          <w:lang w:eastAsia="en-AU"/>
        </w:rPr>
        <w:t xml:space="preserve"> </w:t>
      </w:r>
      <w:r w:rsidRPr="00DE642C">
        <w:rPr>
          <w:rFonts w:ascii="Times New Roman" w:eastAsia="Times New Roman" w:hAnsi="Times New Roman" w:cs="Times New Roman"/>
          <w:sz w:val="24"/>
          <w:szCs w:val="24"/>
          <w:highlight w:val="magenta"/>
          <w:lang w:eastAsia="en-AU"/>
        </w:rPr>
        <w:t>The trial court granted summary judgment to Pier West POA finding that, as a | ¿matter of law, Lloyd’s status was that of a licensee, that there was no willful or wanton conduct on the part of Pier West POA, that Lloyd failed to produce evidence that Pier West POA had knowledge of the alleged dangerous condition, and that Lloyd failed to present any evidence of a conscious disregard of the safety of others</w:t>
      </w:r>
      <w:r w:rsidRPr="00694528">
        <w:rPr>
          <w:rFonts w:ascii="Times New Roman" w:eastAsia="Times New Roman" w:hAnsi="Times New Roman" w:cs="Times New Roman"/>
          <w:sz w:val="24"/>
          <w:szCs w:val="24"/>
          <w:lang w:eastAsia="en-AU"/>
        </w:rPr>
        <w:t>. Lloyd appeals the entry of summary judgment against him and posits the following arguments for reversal and remand for trial:</w:t>
      </w:r>
    </w:p>
    <w:p w14:paraId="0FA1E03B" w14:textId="77777777" w:rsidR="00694528" w:rsidRPr="00694528" w:rsidRDefault="00694528" w:rsidP="00694528">
      <w:pPr>
        <w:spacing w:after="100" w:line="240" w:lineRule="auto"/>
        <w:jc w:val="left"/>
        <w:rPr>
          <w:rFonts w:ascii="Times New Roman" w:eastAsia="Times New Roman" w:hAnsi="Times New Roman" w:cs="Times New Roman"/>
          <w:sz w:val="24"/>
          <w:szCs w:val="24"/>
          <w:lang w:eastAsia="en-AU"/>
        </w:rPr>
      </w:pPr>
      <w:r w:rsidRPr="00694528">
        <w:rPr>
          <w:rFonts w:ascii="Times New Roman" w:eastAsia="Times New Roman" w:hAnsi="Times New Roman" w:cs="Times New Roman"/>
          <w:sz w:val="24"/>
          <w:szCs w:val="24"/>
          <w:lang w:eastAsia="en-AU"/>
        </w:rPr>
        <w:t>(1) That Pier West owed a duty of reasonable care to Lloyd;</w:t>
      </w:r>
    </w:p>
    <w:p w14:paraId="5024012A" w14:textId="77777777" w:rsidR="00694528" w:rsidRPr="00694528" w:rsidRDefault="00694528" w:rsidP="00694528">
      <w:pPr>
        <w:spacing w:after="100" w:line="240" w:lineRule="auto"/>
        <w:jc w:val="left"/>
        <w:rPr>
          <w:rFonts w:ascii="Times New Roman" w:eastAsia="Times New Roman" w:hAnsi="Times New Roman" w:cs="Times New Roman"/>
          <w:sz w:val="24"/>
          <w:szCs w:val="24"/>
          <w:lang w:eastAsia="en-AU"/>
        </w:rPr>
      </w:pPr>
      <w:r w:rsidRPr="00694528">
        <w:rPr>
          <w:rFonts w:ascii="Times New Roman" w:eastAsia="Times New Roman" w:hAnsi="Times New Roman" w:cs="Times New Roman"/>
          <w:sz w:val="24"/>
          <w:szCs w:val="24"/>
          <w:lang w:eastAsia="en-AU"/>
        </w:rPr>
        <w:t>(2) That Pier West’s assumption of that duty extends to all persons on the property whether an invitee or licensee;</w:t>
      </w:r>
    </w:p>
    <w:p w14:paraId="104D77E9" w14:textId="77777777" w:rsidR="00694528" w:rsidRPr="00694528" w:rsidRDefault="00694528" w:rsidP="00694528">
      <w:pPr>
        <w:spacing w:after="100" w:line="240" w:lineRule="auto"/>
        <w:jc w:val="left"/>
        <w:rPr>
          <w:rFonts w:ascii="Times New Roman" w:eastAsia="Times New Roman" w:hAnsi="Times New Roman" w:cs="Times New Roman"/>
          <w:sz w:val="24"/>
          <w:szCs w:val="24"/>
          <w:lang w:eastAsia="en-AU"/>
        </w:rPr>
      </w:pPr>
      <w:r w:rsidRPr="00694528">
        <w:rPr>
          <w:rFonts w:ascii="Times New Roman" w:eastAsia="Times New Roman" w:hAnsi="Times New Roman" w:cs="Times New Roman"/>
          <w:sz w:val="24"/>
          <w:szCs w:val="24"/>
          <w:lang w:eastAsia="en-AU"/>
        </w:rPr>
        <w:t>(3) That Pier West’s purchase of business liability insurance is further evidence that it assumed a duty of care to third party invitees such as Lloyd; and</w:t>
      </w:r>
    </w:p>
    <w:p w14:paraId="06FDDC59" w14:textId="77777777" w:rsidR="00694528" w:rsidRPr="00694528" w:rsidRDefault="00694528" w:rsidP="00694528">
      <w:pPr>
        <w:spacing w:after="100" w:line="240" w:lineRule="auto"/>
        <w:jc w:val="left"/>
        <w:rPr>
          <w:rFonts w:ascii="Times New Roman" w:eastAsia="Times New Roman" w:hAnsi="Times New Roman" w:cs="Times New Roman"/>
          <w:sz w:val="24"/>
          <w:szCs w:val="24"/>
          <w:lang w:eastAsia="en-AU"/>
        </w:rPr>
      </w:pPr>
      <w:r w:rsidRPr="00694528">
        <w:rPr>
          <w:rFonts w:ascii="Times New Roman" w:eastAsia="Times New Roman" w:hAnsi="Times New Roman" w:cs="Times New Roman"/>
          <w:sz w:val="24"/>
          <w:szCs w:val="24"/>
          <w:lang w:eastAsia="en-AU"/>
        </w:rPr>
        <w:t>(4) That Pier West owed a duty to Lloyd, who was a public invitee.</w:t>
      </w:r>
    </w:p>
    <w:p w14:paraId="53FAE65F" w14:textId="65D2C3AE" w:rsidR="00694528" w:rsidRPr="00694528" w:rsidRDefault="00694528" w:rsidP="0069452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94528">
        <w:rPr>
          <w:rFonts w:ascii="Times New Roman" w:eastAsia="Times New Roman" w:hAnsi="Times New Roman" w:cs="Times New Roman"/>
          <w:sz w:val="24"/>
          <w:szCs w:val="24"/>
          <w:lang w:eastAsia="en-AU"/>
        </w:rPr>
        <w:t xml:space="preserve">This appeal returns to -us after we ordered supplementation of the record and appellant’s addendum to include necessary documents pertinent to our appellate review. </w:t>
      </w:r>
      <w:r w:rsidRPr="00694528">
        <w:rPr>
          <w:rFonts w:ascii="Times New Roman" w:eastAsia="Times New Roman" w:hAnsi="Times New Roman" w:cs="Times New Roman"/>
          <w:i/>
          <w:iCs/>
          <w:sz w:val="24"/>
          <w:szCs w:val="24"/>
          <w:lang w:eastAsia="en-AU"/>
        </w:rPr>
        <w:t xml:space="preserve">Lloyd v. Pier West Prop. Owners Ass’n, et al., </w:t>
      </w:r>
      <w:r w:rsidRPr="00694528">
        <w:rPr>
          <w:rFonts w:ascii="Times New Roman" w:eastAsia="Times New Roman" w:hAnsi="Times New Roman" w:cs="Times New Roman"/>
          <w:color w:val="0000FF"/>
          <w:sz w:val="24"/>
          <w:szCs w:val="24"/>
          <w:u w:val="single"/>
          <w:lang w:eastAsia="en-AU"/>
        </w:rPr>
        <w:t>2015 Ark. App. 244</w:t>
      </w:r>
      <w:r w:rsidRPr="00694528">
        <w:rPr>
          <w:rFonts w:ascii="Times New Roman" w:eastAsia="Times New Roman" w:hAnsi="Times New Roman" w:cs="Times New Roman"/>
          <w:sz w:val="24"/>
          <w:szCs w:val="24"/>
          <w:lang w:eastAsia="en-AU"/>
        </w:rPr>
        <w:t xml:space="preserve">, </w:t>
      </w:r>
      <w:r w:rsidRPr="00694528">
        <w:rPr>
          <w:rFonts w:ascii="Times New Roman" w:eastAsia="Times New Roman" w:hAnsi="Times New Roman" w:cs="Times New Roman"/>
          <w:color w:val="0000FF"/>
          <w:sz w:val="24"/>
          <w:szCs w:val="24"/>
          <w:u w:val="single"/>
          <w:lang w:eastAsia="en-AU"/>
        </w:rPr>
        <w:t>2015 WL 1761926</w:t>
      </w:r>
      <w:r w:rsidRPr="00694528">
        <w:rPr>
          <w:rFonts w:ascii="Times New Roman" w:eastAsia="Times New Roman" w:hAnsi="Times New Roman" w:cs="Times New Roman"/>
          <w:sz w:val="24"/>
          <w:szCs w:val="24"/>
          <w:lang w:eastAsia="en-AU"/>
        </w:rPr>
        <w:t>. Those materials have been provided, and thus we address the merits at this time.</w:t>
      </w:r>
    </w:p>
    <w:p w14:paraId="5B64B283" w14:textId="77777777" w:rsidR="00694528" w:rsidRPr="00694528" w:rsidRDefault="00694528" w:rsidP="0069452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90E56">
        <w:rPr>
          <w:rFonts w:ascii="Times New Roman" w:eastAsia="Times New Roman" w:hAnsi="Times New Roman" w:cs="Times New Roman"/>
          <w:sz w:val="24"/>
          <w:szCs w:val="24"/>
          <w:highlight w:val="red"/>
          <w:lang w:eastAsia="en-AU"/>
        </w:rPr>
        <w:lastRenderedPageBreak/>
        <w:t>We hold that the trial court correctly determined that Lloyd was a licensee and not an invitee. We disagree with the trial court, however, that there was no evidence to support the existence of a duty owed by Pier West POA to Lloyd.</w:t>
      </w:r>
    </w:p>
    <w:p w14:paraId="412129ED" w14:textId="6B83683E" w:rsidR="00694528" w:rsidRPr="00694528" w:rsidRDefault="00694528" w:rsidP="0069452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94528">
        <w:rPr>
          <w:rFonts w:ascii="Times New Roman" w:eastAsia="Times New Roman" w:hAnsi="Times New Roman" w:cs="Times New Roman"/>
          <w:sz w:val="24"/>
          <w:szCs w:val="24"/>
          <w:lang w:eastAsia="en-AU"/>
        </w:rPr>
        <w:t xml:space="preserve">There are at least three possible sources that could impose a duty of ordinary care on the part of Pier West POA to maintain and repair the balcony to Unit D-4. First, Pier West POA could have the duty to use ordinary </w:t>
      </w:r>
      <w:r w:rsidR="00F976C0">
        <w:rPr>
          <w:rFonts w:ascii="Times New Roman" w:eastAsia="Times New Roman" w:hAnsi="Times New Roman" w:cs="Times New Roman"/>
          <w:sz w:val="24"/>
          <w:szCs w:val="24"/>
          <w:lang w:eastAsia="en-AU"/>
        </w:rPr>
        <w:t>c</w:t>
      </w:r>
      <w:r w:rsidRPr="00694528">
        <w:rPr>
          <w:rFonts w:ascii="Times New Roman" w:eastAsia="Times New Roman" w:hAnsi="Times New Roman" w:cs="Times New Roman"/>
          <w:sz w:val="24"/>
          <w:szCs w:val="24"/>
          <w:lang w:eastAsia="en-AU"/>
        </w:rPr>
        <w:t xml:space="preserve">are to make the condition safe or to warn a | .-¡licensee who does not have reason to know of the danger. Second, Pier West POA may have contractually assumed the duty of ordinary care. Third, Pier West POA may have assumed the duty of ordinary care by agreeing to repair </w:t>
      </w:r>
      <w:r w:rsidRPr="00694528">
        <w:rPr>
          <w:rFonts w:ascii="Times New Roman" w:eastAsia="Times New Roman" w:hAnsi="Times New Roman" w:cs="Times New Roman"/>
          <w:color w:val="0000FF"/>
          <w:sz w:val="24"/>
          <w:szCs w:val="24"/>
          <w:u w:val="single"/>
          <w:lang w:eastAsia="en-AU"/>
        </w:rPr>
        <w:t>*297</w:t>
      </w:r>
      <w:r w:rsidRPr="00694528">
        <w:rPr>
          <w:rFonts w:ascii="Times New Roman" w:eastAsia="Times New Roman" w:hAnsi="Times New Roman" w:cs="Times New Roman"/>
          <w:sz w:val="24"/>
          <w:szCs w:val="24"/>
          <w:lang w:eastAsia="en-AU"/>
        </w:rPr>
        <w:t xml:space="preserve">and maintain the balcony. We hold that there is evidence in the record that supports that </w:t>
      </w:r>
      <w:r w:rsidRPr="00E4009D">
        <w:rPr>
          <w:rFonts w:ascii="Times New Roman" w:eastAsia="Times New Roman" w:hAnsi="Times New Roman" w:cs="Times New Roman"/>
          <w:sz w:val="24"/>
          <w:szCs w:val="24"/>
          <w:highlight w:val="green"/>
          <w:lang w:eastAsia="en-AU"/>
        </w:rPr>
        <w:t>Pier West POA assumed the duty of ordinary care</w:t>
      </w:r>
      <w:r w:rsidRPr="00694528">
        <w:rPr>
          <w:rFonts w:ascii="Times New Roman" w:eastAsia="Times New Roman" w:hAnsi="Times New Roman" w:cs="Times New Roman"/>
          <w:sz w:val="24"/>
          <w:szCs w:val="24"/>
          <w:lang w:eastAsia="en-AU"/>
        </w:rPr>
        <w:t>, which renders fact questions remaining on whether it breached that duty and whether it proximately caused Lloyd’s damages.</w:t>
      </w:r>
    </w:p>
    <w:p w14:paraId="305236E0" w14:textId="253363DE" w:rsidR="00694528" w:rsidRPr="00694528" w:rsidRDefault="00694528" w:rsidP="0069452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94528">
        <w:rPr>
          <w:rFonts w:ascii="Times New Roman" w:eastAsia="Times New Roman" w:hAnsi="Times New Roman" w:cs="Times New Roman"/>
          <w:sz w:val="24"/>
          <w:szCs w:val="24"/>
          <w:lang w:eastAsia="en-AU"/>
        </w:rPr>
        <w:t xml:space="preserve">The standard of review that we apply to cases in which summary judgment has been granted is well settled. Our court need only decide if the trial court’s grant of summary judgment was appropriate based on whether the evidence presented by the moving party left a material question of fact unanswered. </w:t>
      </w:r>
      <w:r w:rsidRPr="00694528">
        <w:rPr>
          <w:rFonts w:ascii="Times New Roman" w:eastAsia="Times New Roman" w:hAnsi="Times New Roman" w:cs="Times New Roman"/>
          <w:i/>
          <w:iCs/>
          <w:sz w:val="24"/>
          <w:szCs w:val="24"/>
          <w:lang w:eastAsia="en-AU"/>
        </w:rPr>
        <w:t xml:space="preserve">Moses v. Bridge-man, </w:t>
      </w:r>
      <w:r w:rsidRPr="00694528">
        <w:rPr>
          <w:rFonts w:ascii="Times New Roman" w:eastAsia="Times New Roman" w:hAnsi="Times New Roman" w:cs="Times New Roman"/>
          <w:color w:val="0000FF"/>
          <w:sz w:val="24"/>
          <w:szCs w:val="24"/>
          <w:u w:val="single"/>
          <w:lang w:eastAsia="en-AU"/>
        </w:rPr>
        <w:t>355 Ark. 460</w:t>
      </w:r>
      <w:r w:rsidRPr="00694528">
        <w:rPr>
          <w:rFonts w:ascii="Times New Roman" w:eastAsia="Times New Roman" w:hAnsi="Times New Roman" w:cs="Times New Roman"/>
          <w:sz w:val="24"/>
          <w:szCs w:val="24"/>
          <w:lang w:eastAsia="en-AU"/>
        </w:rPr>
        <w:t xml:space="preserve">, </w:t>
      </w:r>
      <w:r w:rsidRPr="00694528">
        <w:rPr>
          <w:rFonts w:ascii="Times New Roman" w:eastAsia="Times New Roman" w:hAnsi="Times New Roman" w:cs="Times New Roman"/>
          <w:color w:val="0000FF"/>
          <w:sz w:val="24"/>
          <w:szCs w:val="24"/>
          <w:u w:val="single"/>
          <w:lang w:eastAsia="en-AU"/>
        </w:rPr>
        <w:t>189 S.W.3d 503</w:t>
      </w:r>
      <w:r w:rsidRPr="00694528">
        <w:rPr>
          <w:rFonts w:ascii="Times New Roman" w:eastAsia="Times New Roman" w:hAnsi="Times New Roman" w:cs="Times New Roman"/>
          <w:sz w:val="24"/>
          <w:szCs w:val="24"/>
          <w:lang w:eastAsia="en-AU"/>
        </w:rPr>
        <w:t xml:space="preserve"> (2003). The moving party always bears the burden of sustaining a motion for summary judgment. </w:t>
      </w:r>
      <w:r w:rsidRPr="00694528">
        <w:rPr>
          <w:rFonts w:ascii="Times New Roman" w:eastAsia="Times New Roman" w:hAnsi="Times New Roman" w:cs="Times New Roman"/>
          <w:i/>
          <w:iCs/>
          <w:color w:val="0000FF"/>
          <w:sz w:val="24"/>
          <w:szCs w:val="24"/>
          <w:u w:val="single"/>
          <w:lang w:eastAsia="en-AU"/>
        </w:rPr>
        <w:t>Id.</w:t>
      </w:r>
      <w:r w:rsidRPr="00694528">
        <w:rPr>
          <w:rFonts w:ascii="Times New Roman" w:eastAsia="Times New Roman" w:hAnsi="Times New Roman" w:cs="Times New Roman"/>
          <w:i/>
          <w:iCs/>
          <w:sz w:val="24"/>
          <w:szCs w:val="24"/>
          <w:lang w:eastAsia="en-AU"/>
        </w:rPr>
        <w:t xml:space="preserve"> </w:t>
      </w:r>
      <w:r w:rsidRPr="00694528">
        <w:rPr>
          <w:rFonts w:ascii="Times New Roman" w:eastAsia="Times New Roman" w:hAnsi="Times New Roman" w:cs="Times New Roman"/>
          <w:sz w:val="24"/>
          <w:szCs w:val="24"/>
          <w:lang w:eastAsia="en-AU"/>
        </w:rPr>
        <w:t xml:space="preserve">All proof must be viewed in the light most favorable to the resisting party, and any doubts and inferences must be resolved against the moving party. </w:t>
      </w:r>
      <w:r w:rsidRPr="00694528">
        <w:rPr>
          <w:rFonts w:ascii="Times New Roman" w:eastAsia="Times New Roman" w:hAnsi="Times New Roman" w:cs="Times New Roman"/>
          <w:i/>
          <w:iCs/>
          <w:color w:val="0000FF"/>
          <w:sz w:val="24"/>
          <w:szCs w:val="24"/>
          <w:u w:val="single"/>
          <w:lang w:eastAsia="en-AU"/>
        </w:rPr>
        <w:t>Id.</w:t>
      </w:r>
      <w:r w:rsidRPr="00694528">
        <w:rPr>
          <w:rFonts w:ascii="Times New Roman" w:eastAsia="Times New Roman" w:hAnsi="Times New Roman" w:cs="Times New Roman"/>
          <w:i/>
          <w:iCs/>
          <w:sz w:val="24"/>
          <w:szCs w:val="24"/>
          <w:lang w:eastAsia="en-AU"/>
        </w:rPr>
        <w:t xml:space="preserve"> </w:t>
      </w:r>
      <w:r w:rsidRPr="00694528">
        <w:rPr>
          <w:rFonts w:ascii="Times New Roman" w:eastAsia="Times New Roman" w:hAnsi="Times New Roman" w:cs="Times New Roman"/>
          <w:sz w:val="24"/>
          <w:szCs w:val="24"/>
          <w:lang w:eastAsia="en-AU"/>
        </w:rPr>
        <w:t xml:space="preserve">The moving party is entitled to summary judgment if the pleadings, depositions, answers to interrogatories, and admissions on file, together with affidavits, if any, show that there is no genuine issue of material fact and that the moving party is entitled to judgment as a matter of law. </w:t>
      </w:r>
      <w:r w:rsidRPr="00694528">
        <w:rPr>
          <w:rFonts w:ascii="Times New Roman" w:eastAsia="Times New Roman" w:hAnsi="Times New Roman" w:cs="Times New Roman"/>
          <w:i/>
          <w:iCs/>
          <w:color w:val="0000FF"/>
          <w:sz w:val="24"/>
          <w:szCs w:val="24"/>
          <w:u w:val="single"/>
          <w:lang w:eastAsia="en-AU"/>
        </w:rPr>
        <w:t>Id.</w:t>
      </w:r>
      <w:r w:rsidRPr="00694528">
        <w:rPr>
          <w:rFonts w:ascii="Times New Roman" w:eastAsia="Times New Roman" w:hAnsi="Times New Roman" w:cs="Times New Roman"/>
          <w:i/>
          <w:iCs/>
          <w:sz w:val="24"/>
          <w:szCs w:val="24"/>
          <w:lang w:eastAsia="en-AU"/>
        </w:rPr>
        <w:t xml:space="preserve"> </w:t>
      </w:r>
      <w:r w:rsidRPr="00694528">
        <w:rPr>
          <w:rFonts w:ascii="Times New Roman" w:eastAsia="Times New Roman" w:hAnsi="Times New Roman" w:cs="Times New Roman"/>
          <w:sz w:val="24"/>
          <w:szCs w:val="24"/>
          <w:lang w:eastAsia="en-AU"/>
        </w:rPr>
        <w:t xml:space="preserve">Once the moving party makes a prima facie showing that it is entitled to summary judgment, the opponent must meet proof with proof by showing a material issue of fact. </w:t>
      </w:r>
      <w:r w:rsidRPr="00694528">
        <w:rPr>
          <w:rFonts w:ascii="Times New Roman" w:eastAsia="Times New Roman" w:hAnsi="Times New Roman" w:cs="Times New Roman"/>
          <w:i/>
          <w:iCs/>
          <w:color w:val="0000FF"/>
          <w:sz w:val="24"/>
          <w:szCs w:val="24"/>
          <w:u w:val="single"/>
          <w:lang w:eastAsia="en-AU"/>
        </w:rPr>
        <w:t>Id.</w:t>
      </w:r>
      <w:r w:rsidRPr="00694528">
        <w:rPr>
          <w:rFonts w:ascii="Times New Roman" w:eastAsia="Times New Roman" w:hAnsi="Times New Roman" w:cs="Times New Roman"/>
          <w:i/>
          <w:iCs/>
          <w:sz w:val="24"/>
          <w:szCs w:val="24"/>
          <w:lang w:eastAsia="en-AU"/>
        </w:rPr>
        <w:t xml:space="preserve"> </w:t>
      </w:r>
      <w:r w:rsidRPr="00694528">
        <w:rPr>
          <w:rFonts w:ascii="Times New Roman" w:eastAsia="Times New Roman" w:hAnsi="Times New Roman" w:cs="Times New Roman"/>
          <w:sz w:val="24"/>
          <w:szCs w:val="24"/>
          <w:lang w:eastAsia="en-AU"/>
        </w:rPr>
        <w:t xml:space="preserve">Summary judgment should not be granted when reasonable minds could differ as to the conclusions that can be drawn from the facts presented. </w:t>
      </w:r>
      <w:r w:rsidRPr="00694528">
        <w:rPr>
          <w:rFonts w:ascii="Times New Roman" w:eastAsia="Times New Roman" w:hAnsi="Times New Roman" w:cs="Times New Roman"/>
          <w:i/>
          <w:iCs/>
          <w:color w:val="0000FF"/>
          <w:sz w:val="24"/>
          <w:szCs w:val="24"/>
          <w:u w:val="single"/>
          <w:lang w:eastAsia="en-AU"/>
        </w:rPr>
        <w:t>Id.</w:t>
      </w:r>
      <w:r w:rsidRPr="00694528">
        <w:rPr>
          <w:rFonts w:ascii="Times New Roman" w:eastAsia="Times New Roman" w:hAnsi="Times New Roman" w:cs="Times New Roman"/>
          <w:sz w:val="24"/>
          <w:szCs w:val="24"/>
          <w:lang w:eastAsia="en-AU"/>
        </w:rPr>
        <w:t xml:space="preserve"> </w:t>
      </w:r>
    </w:p>
    <w:p w14:paraId="5D0FF7AE" w14:textId="51214715" w:rsidR="00694528" w:rsidRPr="00694528" w:rsidRDefault="00694528" w:rsidP="0069452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94528">
        <w:rPr>
          <w:rFonts w:ascii="Times New Roman" w:eastAsia="Times New Roman" w:hAnsi="Times New Roman" w:cs="Times New Roman"/>
          <w:sz w:val="24"/>
          <w:szCs w:val="24"/>
          <w:lang w:eastAsia="en-AU"/>
        </w:rPr>
        <w:t xml:space="preserve">|4In order to prevail on a claim of negligence, the plaintiff must prove that the defendant owed a duty to the plaintiff, that the defendant breached that duty, and that the breach was the proximate cause of the plaintiffs damages. </w:t>
      </w:r>
      <w:r w:rsidRPr="00694528">
        <w:rPr>
          <w:rFonts w:ascii="Times New Roman" w:eastAsia="Times New Roman" w:hAnsi="Times New Roman" w:cs="Times New Roman"/>
          <w:i/>
          <w:iCs/>
          <w:sz w:val="24"/>
          <w:szCs w:val="24"/>
          <w:lang w:eastAsia="en-AU"/>
        </w:rPr>
        <w:t xml:space="preserve">Branscumb v. Freeman, </w:t>
      </w:r>
      <w:r w:rsidRPr="00694528">
        <w:rPr>
          <w:rFonts w:ascii="Times New Roman" w:eastAsia="Times New Roman" w:hAnsi="Times New Roman" w:cs="Times New Roman"/>
          <w:color w:val="0000FF"/>
          <w:sz w:val="24"/>
          <w:szCs w:val="24"/>
          <w:u w:val="single"/>
          <w:lang w:eastAsia="en-AU"/>
        </w:rPr>
        <w:t>360 Ark. 171</w:t>
      </w:r>
      <w:r w:rsidRPr="00694528">
        <w:rPr>
          <w:rFonts w:ascii="Times New Roman" w:eastAsia="Times New Roman" w:hAnsi="Times New Roman" w:cs="Times New Roman"/>
          <w:sz w:val="24"/>
          <w:szCs w:val="24"/>
          <w:lang w:eastAsia="en-AU"/>
        </w:rPr>
        <w:t xml:space="preserve">, </w:t>
      </w:r>
      <w:r w:rsidRPr="00694528">
        <w:rPr>
          <w:rFonts w:ascii="Times New Roman" w:eastAsia="Times New Roman" w:hAnsi="Times New Roman" w:cs="Times New Roman"/>
          <w:color w:val="0000FF"/>
          <w:sz w:val="24"/>
          <w:szCs w:val="24"/>
          <w:u w:val="single"/>
          <w:lang w:eastAsia="en-AU"/>
        </w:rPr>
        <w:t>200 S.W.3d 411</w:t>
      </w:r>
      <w:r w:rsidRPr="00694528">
        <w:rPr>
          <w:rFonts w:ascii="Times New Roman" w:eastAsia="Times New Roman" w:hAnsi="Times New Roman" w:cs="Times New Roman"/>
          <w:sz w:val="24"/>
          <w:szCs w:val="24"/>
          <w:lang w:eastAsia="en-AU"/>
        </w:rPr>
        <w:t xml:space="preserve"> (2004). The first issue in deciding whether there was actionable negligence is whether Pier West POA owed any duty to Lloyd, and if so, what duty is owed. </w:t>
      </w:r>
      <w:r w:rsidRPr="00694528">
        <w:rPr>
          <w:rFonts w:ascii="Times New Roman" w:eastAsia="Times New Roman" w:hAnsi="Times New Roman" w:cs="Times New Roman"/>
          <w:i/>
          <w:iCs/>
          <w:sz w:val="24"/>
          <w:szCs w:val="24"/>
          <w:lang w:eastAsia="en-AU"/>
        </w:rPr>
        <w:t xml:space="preserve">Young v. Paxton, </w:t>
      </w:r>
      <w:r w:rsidRPr="00694528">
        <w:rPr>
          <w:rFonts w:ascii="Times New Roman" w:eastAsia="Times New Roman" w:hAnsi="Times New Roman" w:cs="Times New Roman"/>
          <w:color w:val="0000FF"/>
          <w:sz w:val="24"/>
          <w:szCs w:val="24"/>
          <w:u w:val="single"/>
          <w:lang w:eastAsia="en-AU"/>
        </w:rPr>
        <w:t>316 Ark. 655</w:t>
      </w:r>
      <w:r w:rsidRPr="00694528">
        <w:rPr>
          <w:rFonts w:ascii="Times New Roman" w:eastAsia="Times New Roman" w:hAnsi="Times New Roman" w:cs="Times New Roman"/>
          <w:sz w:val="24"/>
          <w:szCs w:val="24"/>
          <w:lang w:eastAsia="en-AU"/>
        </w:rPr>
        <w:t xml:space="preserve">, </w:t>
      </w:r>
      <w:r w:rsidRPr="00694528">
        <w:rPr>
          <w:rFonts w:ascii="Times New Roman" w:eastAsia="Times New Roman" w:hAnsi="Times New Roman" w:cs="Times New Roman"/>
          <w:color w:val="0000FF"/>
          <w:sz w:val="24"/>
          <w:szCs w:val="24"/>
          <w:u w:val="single"/>
          <w:lang w:eastAsia="en-AU"/>
        </w:rPr>
        <w:t>873 S.W.2d 546</w:t>
      </w:r>
      <w:r w:rsidRPr="00694528">
        <w:rPr>
          <w:rFonts w:ascii="Times New Roman" w:eastAsia="Times New Roman" w:hAnsi="Times New Roman" w:cs="Times New Roman"/>
          <w:sz w:val="24"/>
          <w:szCs w:val="24"/>
          <w:lang w:eastAsia="en-AU"/>
        </w:rPr>
        <w:t xml:space="preserve"> (1994). Duty is a concept that arises out of the recognition that the relationship between individuals may impose on one a legal obligation for the other. </w:t>
      </w:r>
      <w:r w:rsidRPr="00996799">
        <w:rPr>
          <w:rFonts w:ascii="Times New Roman" w:eastAsia="Times New Roman" w:hAnsi="Times New Roman" w:cs="Times New Roman"/>
          <w:i/>
          <w:iCs/>
          <w:sz w:val="24"/>
          <w:szCs w:val="24"/>
          <w:highlight w:val="cyan"/>
          <w:lang w:eastAsia="en-AU"/>
        </w:rPr>
        <w:t xml:space="preserve">Yanmar Co. v. Slater, </w:t>
      </w:r>
      <w:r w:rsidRPr="00996799">
        <w:rPr>
          <w:rFonts w:ascii="Times New Roman" w:eastAsia="Times New Roman" w:hAnsi="Times New Roman" w:cs="Times New Roman"/>
          <w:color w:val="0000FF"/>
          <w:sz w:val="24"/>
          <w:szCs w:val="24"/>
          <w:highlight w:val="cyan"/>
          <w:u w:val="single"/>
          <w:lang w:eastAsia="en-AU"/>
        </w:rPr>
        <w:t>2012 Ark. 36</w:t>
      </w:r>
      <w:r w:rsidRPr="00996799">
        <w:rPr>
          <w:rFonts w:ascii="Times New Roman" w:eastAsia="Times New Roman" w:hAnsi="Times New Roman" w:cs="Times New Roman"/>
          <w:sz w:val="24"/>
          <w:szCs w:val="24"/>
          <w:highlight w:val="cyan"/>
          <w:lang w:eastAsia="en-AU"/>
        </w:rPr>
        <w:t xml:space="preserve">, </w:t>
      </w:r>
      <w:r w:rsidRPr="00996799">
        <w:rPr>
          <w:rFonts w:ascii="Times New Roman" w:eastAsia="Times New Roman" w:hAnsi="Times New Roman" w:cs="Times New Roman"/>
          <w:color w:val="0000FF"/>
          <w:sz w:val="24"/>
          <w:szCs w:val="24"/>
          <w:highlight w:val="cyan"/>
          <w:u w:val="single"/>
          <w:lang w:eastAsia="en-AU"/>
        </w:rPr>
        <w:t>386 S.W.3d 439</w:t>
      </w:r>
      <w:r w:rsidRPr="00694528">
        <w:rPr>
          <w:rFonts w:ascii="Times New Roman" w:eastAsia="Times New Roman" w:hAnsi="Times New Roman" w:cs="Times New Roman"/>
          <w:sz w:val="24"/>
          <w:szCs w:val="24"/>
          <w:lang w:eastAsia="en-AU"/>
        </w:rPr>
        <w:t xml:space="preserve">. The question of the duty owed by one person to another is always a question of law and never one for the jury. </w:t>
      </w:r>
      <w:r w:rsidRPr="00694528">
        <w:rPr>
          <w:rFonts w:ascii="Times New Roman" w:eastAsia="Times New Roman" w:hAnsi="Times New Roman" w:cs="Times New Roman"/>
          <w:i/>
          <w:iCs/>
          <w:sz w:val="24"/>
          <w:szCs w:val="24"/>
          <w:lang w:eastAsia="en-AU"/>
        </w:rPr>
        <w:t xml:space="preserve">Kowalski v. Rose Drugs of Dardanelle, Inc., </w:t>
      </w:r>
      <w:r w:rsidRPr="00694528">
        <w:rPr>
          <w:rFonts w:ascii="Times New Roman" w:eastAsia="Times New Roman" w:hAnsi="Times New Roman" w:cs="Times New Roman"/>
          <w:color w:val="0000FF"/>
          <w:sz w:val="24"/>
          <w:szCs w:val="24"/>
          <w:u w:val="single"/>
          <w:lang w:eastAsia="en-AU"/>
        </w:rPr>
        <w:t>2011 Ark. 44</w:t>
      </w:r>
      <w:r w:rsidRPr="00694528">
        <w:rPr>
          <w:rFonts w:ascii="Times New Roman" w:eastAsia="Times New Roman" w:hAnsi="Times New Roman" w:cs="Times New Roman"/>
          <w:sz w:val="24"/>
          <w:szCs w:val="24"/>
          <w:lang w:eastAsia="en-AU"/>
        </w:rPr>
        <w:t xml:space="preserve">, </w:t>
      </w:r>
      <w:r w:rsidRPr="00694528">
        <w:rPr>
          <w:rFonts w:ascii="Times New Roman" w:eastAsia="Times New Roman" w:hAnsi="Times New Roman" w:cs="Times New Roman"/>
          <w:color w:val="0000FF"/>
          <w:sz w:val="24"/>
          <w:szCs w:val="24"/>
          <w:u w:val="single"/>
          <w:lang w:eastAsia="en-AU"/>
        </w:rPr>
        <w:t>378 S.W.3d 109</w:t>
      </w:r>
      <w:r w:rsidRPr="00694528">
        <w:rPr>
          <w:rFonts w:ascii="Times New Roman" w:eastAsia="Times New Roman" w:hAnsi="Times New Roman" w:cs="Times New Roman"/>
          <w:sz w:val="24"/>
          <w:szCs w:val="24"/>
          <w:lang w:eastAsia="en-AU"/>
        </w:rPr>
        <w:t xml:space="preserve">; </w:t>
      </w:r>
      <w:r w:rsidRPr="00694528">
        <w:rPr>
          <w:rFonts w:ascii="Times New Roman" w:eastAsia="Times New Roman" w:hAnsi="Times New Roman" w:cs="Times New Roman"/>
          <w:i/>
          <w:iCs/>
          <w:sz w:val="24"/>
          <w:szCs w:val="24"/>
          <w:lang w:eastAsia="en-AU"/>
        </w:rPr>
        <w:t xml:space="preserve">Moses v. Bridge-man, </w:t>
      </w:r>
      <w:r w:rsidRPr="00694528">
        <w:rPr>
          <w:rFonts w:ascii="Times New Roman" w:eastAsia="Times New Roman" w:hAnsi="Times New Roman" w:cs="Times New Roman"/>
          <w:color w:val="0000FF"/>
          <w:sz w:val="24"/>
          <w:szCs w:val="24"/>
          <w:u w:val="single"/>
          <w:lang w:eastAsia="en-AU"/>
        </w:rPr>
        <w:t>355 Ark. 460</w:t>
      </w:r>
      <w:r w:rsidRPr="00694528">
        <w:rPr>
          <w:rFonts w:ascii="Times New Roman" w:eastAsia="Times New Roman" w:hAnsi="Times New Roman" w:cs="Times New Roman"/>
          <w:sz w:val="24"/>
          <w:szCs w:val="24"/>
          <w:lang w:eastAsia="en-AU"/>
        </w:rPr>
        <w:t xml:space="preserve">, </w:t>
      </w:r>
      <w:r w:rsidRPr="00694528">
        <w:rPr>
          <w:rFonts w:ascii="Times New Roman" w:eastAsia="Times New Roman" w:hAnsi="Times New Roman" w:cs="Times New Roman"/>
          <w:color w:val="0000FF"/>
          <w:sz w:val="24"/>
          <w:szCs w:val="24"/>
          <w:u w:val="single"/>
          <w:lang w:eastAsia="en-AU"/>
        </w:rPr>
        <w:t>139 S.W.3d 503</w:t>
      </w:r>
      <w:r w:rsidRPr="00694528">
        <w:rPr>
          <w:rFonts w:ascii="Times New Roman" w:eastAsia="Times New Roman" w:hAnsi="Times New Roman" w:cs="Times New Roman"/>
          <w:sz w:val="24"/>
          <w:szCs w:val="24"/>
          <w:lang w:eastAsia="en-AU"/>
        </w:rPr>
        <w:t xml:space="preserve"> (2003). We review questions of law de novo. </w:t>
      </w:r>
      <w:r w:rsidRPr="00694528">
        <w:rPr>
          <w:rFonts w:ascii="Times New Roman" w:eastAsia="Times New Roman" w:hAnsi="Times New Roman" w:cs="Times New Roman"/>
          <w:i/>
          <w:iCs/>
          <w:sz w:val="24"/>
          <w:szCs w:val="24"/>
          <w:lang w:eastAsia="en-AU"/>
        </w:rPr>
        <w:t xml:space="preserve">Gulf-co of La. v. Brantley, </w:t>
      </w:r>
      <w:r w:rsidRPr="00694528">
        <w:rPr>
          <w:rFonts w:ascii="Times New Roman" w:eastAsia="Times New Roman" w:hAnsi="Times New Roman" w:cs="Times New Roman"/>
          <w:color w:val="0000FF"/>
          <w:sz w:val="24"/>
          <w:szCs w:val="24"/>
          <w:u w:val="single"/>
          <w:lang w:eastAsia="en-AU"/>
        </w:rPr>
        <w:t>2013 Ark. 367</w:t>
      </w:r>
      <w:r w:rsidRPr="00694528">
        <w:rPr>
          <w:rFonts w:ascii="Times New Roman" w:eastAsia="Times New Roman" w:hAnsi="Times New Roman" w:cs="Times New Roman"/>
          <w:sz w:val="24"/>
          <w:szCs w:val="24"/>
          <w:lang w:eastAsia="en-AU"/>
        </w:rPr>
        <w:t xml:space="preserve">, </w:t>
      </w:r>
      <w:r w:rsidRPr="00694528">
        <w:rPr>
          <w:rFonts w:ascii="Times New Roman" w:eastAsia="Times New Roman" w:hAnsi="Times New Roman" w:cs="Times New Roman"/>
          <w:color w:val="0000FF"/>
          <w:sz w:val="24"/>
          <w:szCs w:val="24"/>
          <w:u w:val="single"/>
          <w:lang w:eastAsia="en-AU"/>
        </w:rPr>
        <w:t>430 S.W.3d 7</w:t>
      </w:r>
      <w:r w:rsidRPr="00694528">
        <w:rPr>
          <w:rFonts w:ascii="Times New Roman" w:eastAsia="Times New Roman" w:hAnsi="Times New Roman" w:cs="Times New Roman"/>
          <w:sz w:val="24"/>
          <w:szCs w:val="24"/>
          <w:lang w:eastAsia="en-AU"/>
        </w:rPr>
        <w:t>.</w:t>
      </w:r>
    </w:p>
    <w:p w14:paraId="489DB2EA" w14:textId="676737FC" w:rsidR="00694528" w:rsidRPr="00694528" w:rsidRDefault="00694528" w:rsidP="0069452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94528">
        <w:rPr>
          <w:rFonts w:ascii="Times New Roman" w:eastAsia="Times New Roman" w:hAnsi="Times New Roman" w:cs="Times New Roman"/>
          <w:sz w:val="24"/>
          <w:szCs w:val="24"/>
          <w:lang w:eastAsia="en-AU"/>
        </w:rPr>
        <w:t xml:space="preserve">The first possible source of the imposition of duty of ordinary care arises as a duty to a licensee. In Arkansas, for purposes of premises liability, there are three basic categories of persons present on another’s property who may allege injury against the landowner: trespasser, licensee, and invitee. Arkansas courts adhere to common law distinctions between the duties owed to these three categories of persons. </w:t>
      </w:r>
      <w:r w:rsidRPr="00694528">
        <w:rPr>
          <w:rFonts w:ascii="Times New Roman" w:eastAsia="Times New Roman" w:hAnsi="Times New Roman" w:cs="Times New Roman"/>
          <w:i/>
          <w:iCs/>
          <w:sz w:val="24"/>
          <w:szCs w:val="24"/>
          <w:lang w:eastAsia="en-AU"/>
        </w:rPr>
        <w:t xml:space="preserve">Baldwin v. Mosley, </w:t>
      </w:r>
      <w:r w:rsidRPr="00694528">
        <w:rPr>
          <w:rFonts w:ascii="Times New Roman" w:eastAsia="Times New Roman" w:hAnsi="Times New Roman" w:cs="Times New Roman"/>
          <w:color w:val="0000FF"/>
          <w:sz w:val="24"/>
          <w:szCs w:val="24"/>
          <w:u w:val="single"/>
          <w:lang w:eastAsia="en-AU"/>
        </w:rPr>
        <w:t>295 Ark. 285</w:t>
      </w:r>
      <w:r w:rsidRPr="00694528">
        <w:rPr>
          <w:rFonts w:ascii="Times New Roman" w:eastAsia="Times New Roman" w:hAnsi="Times New Roman" w:cs="Times New Roman"/>
          <w:sz w:val="24"/>
          <w:szCs w:val="24"/>
          <w:lang w:eastAsia="en-AU"/>
        </w:rPr>
        <w:t xml:space="preserve">, </w:t>
      </w:r>
      <w:r w:rsidRPr="00694528">
        <w:rPr>
          <w:rFonts w:ascii="Times New Roman" w:eastAsia="Times New Roman" w:hAnsi="Times New Roman" w:cs="Times New Roman"/>
          <w:color w:val="0000FF"/>
          <w:sz w:val="24"/>
          <w:szCs w:val="24"/>
          <w:u w:val="single"/>
          <w:lang w:eastAsia="en-AU"/>
        </w:rPr>
        <w:t>748 S.W.2d 146</w:t>
      </w:r>
      <w:r w:rsidRPr="00694528">
        <w:rPr>
          <w:rFonts w:ascii="Times New Roman" w:eastAsia="Times New Roman" w:hAnsi="Times New Roman" w:cs="Times New Roman"/>
          <w:sz w:val="24"/>
          <w:szCs w:val="24"/>
          <w:lang w:eastAsia="en-AU"/>
        </w:rPr>
        <w:t xml:space="preserve"> (1988). When determining whether a visitor qualifies as either an invitee or licensee, it is important to look to the purpose of the visit and the property owner’s invitation. </w:t>
      </w:r>
      <w:r w:rsidRPr="00A913EB">
        <w:rPr>
          <w:rFonts w:ascii="Times New Roman" w:eastAsia="Times New Roman" w:hAnsi="Times New Roman" w:cs="Times New Roman"/>
          <w:i/>
          <w:iCs/>
          <w:sz w:val="24"/>
          <w:szCs w:val="24"/>
          <w:highlight w:val="cyan"/>
          <w:lang w:eastAsia="en-AU"/>
        </w:rPr>
        <w:t xml:space="preserve">Slavin v. Plumbers &amp; Steamfitters Local 29, </w:t>
      </w:r>
      <w:r w:rsidRPr="00A913EB">
        <w:rPr>
          <w:rFonts w:ascii="Times New Roman" w:eastAsia="Times New Roman" w:hAnsi="Times New Roman" w:cs="Times New Roman"/>
          <w:color w:val="0000FF"/>
          <w:sz w:val="24"/>
          <w:szCs w:val="24"/>
          <w:highlight w:val="cyan"/>
          <w:u w:val="single"/>
          <w:lang w:eastAsia="en-AU"/>
        </w:rPr>
        <w:t>91 Ark. App. 43</w:t>
      </w:r>
      <w:r w:rsidRPr="00A913EB">
        <w:rPr>
          <w:rFonts w:ascii="Times New Roman" w:eastAsia="Times New Roman" w:hAnsi="Times New Roman" w:cs="Times New Roman"/>
          <w:sz w:val="24"/>
          <w:szCs w:val="24"/>
          <w:highlight w:val="cyan"/>
          <w:lang w:eastAsia="en-AU"/>
        </w:rPr>
        <w:t xml:space="preserve">, </w:t>
      </w:r>
      <w:r w:rsidRPr="00A913EB">
        <w:rPr>
          <w:rFonts w:ascii="Times New Roman" w:eastAsia="Times New Roman" w:hAnsi="Times New Roman" w:cs="Times New Roman"/>
          <w:color w:val="0000FF"/>
          <w:sz w:val="24"/>
          <w:szCs w:val="24"/>
          <w:highlight w:val="cyan"/>
          <w:u w:val="single"/>
          <w:lang w:eastAsia="en-AU"/>
        </w:rPr>
        <w:t>207 S.W.3d 586</w:t>
      </w:r>
      <w:r w:rsidRPr="00A913EB">
        <w:rPr>
          <w:rFonts w:ascii="Times New Roman" w:eastAsia="Times New Roman" w:hAnsi="Times New Roman" w:cs="Times New Roman"/>
          <w:sz w:val="24"/>
          <w:szCs w:val="24"/>
          <w:highlight w:val="cyan"/>
          <w:lang w:eastAsia="en-AU"/>
        </w:rPr>
        <w:t xml:space="preserve"> (2005).</w:t>
      </w:r>
    </w:p>
    <w:p w14:paraId="64E599A4" w14:textId="6DB5F2C1" w:rsidR="00694528" w:rsidRPr="00694528" w:rsidRDefault="00694528" w:rsidP="0069452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94528">
        <w:rPr>
          <w:rFonts w:ascii="Times New Roman" w:eastAsia="Times New Roman" w:hAnsi="Times New Roman" w:cs="Times New Roman"/>
          <w:sz w:val="24"/>
          <w:szCs w:val="24"/>
          <w:lang w:eastAsia="en-AU"/>
        </w:rPr>
        <w:lastRenderedPageBreak/>
        <w:t xml:space="preserve">A licensee is one who goes on the premises of another with the consent of the owner for one’s own purposes and not for the mutual benefit of oneself and the owner. </w:t>
      </w:r>
      <w:r w:rsidRPr="00694528">
        <w:rPr>
          <w:rFonts w:ascii="Times New Roman" w:eastAsia="Times New Roman" w:hAnsi="Times New Roman" w:cs="Times New Roman"/>
          <w:i/>
          <w:iCs/>
          <w:sz w:val="24"/>
          <w:szCs w:val="24"/>
          <w:lang w:eastAsia="en-AU"/>
        </w:rPr>
        <w:t xml:space="preserve">Heigle v. Miller, </w:t>
      </w:r>
      <w:r w:rsidRPr="00694528">
        <w:rPr>
          <w:rFonts w:ascii="Times New Roman" w:eastAsia="Times New Roman" w:hAnsi="Times New Roman" w:cs="Times New Roman"/>
          <w:color w:val="0000FF"/>
          <w:sz w:val="24"/>
          <w:szCs w:val="24"/>
          <w:u w:val="single"/>
          <w:lang w:eastAsia="en-AU"/>
        </w:rPr>
        <w:t>332 Ark. 315</w:t>
      </w:r>
      <w:r w:rsidRPr="00694528">
        <w:rPr>
          <w:rFonts w:ascii="Times New Roman" w:eastAsia="Times New Roman" w:hAnsi="Times New Roman" w:cs="Times New Roman"/>
          <w:sz w:val="24"/>
          <w:szCs w:val="24"/>
          <w:lang w:eastAsia="en-AU"/>
        </w:rPr>
        <w:t xml:space="preserve">, </w:t>
      </w:r>
      <w:r w:rsidRPr="00694528">
        <w:rPr>
          <w:rFonts w:ascii="Times New Roman" w:eastAsia="Times New Roman" w:hAnsi="Times New Roman" w:cs="Times New Roman"/>
          <w:color w:val="0000FF"/>
          <w:sz w:val="24"/>
          <w:szCs w:val="24"/>
          <w:u w:val="single"/>
          <w:lang w:eastAsia="en-AU"/>
        </w:rPr>
        <w:t>965 S.W.2d 116</w:t>
      </w:r>
      <w:r w:rsidRPr="00694528">
        <w:rPr>
          <w:rFonts w:ascii="Times New Roman" w:eastAsia="Times New Roman" w:hAnsi="Times New Roman" w:cs="Times New Roman"/>
          <w:sz w:val="24"/>
          <w:szCs w:val="24"/>
          <w:lang w:eastAsia="en-AU"/>
        </w:rPr>
        <w:t xml:space="preserve"> (1998). Our supreme court has generally held that a primarily social guest is a licensee. </w:t>
      </w:r>
      <w:r w:rsidRPr="00694528">
        <w:rPr>
          <w:rFonts w:ascii="Times New Roman" w:eastAsia="Times New Roman" w:hAnsi="Times New Roman" w:cs="Times New Roman"/>
          <w:i/>
          <w:iCs/>
          <w:color w:val="0000FF"/>
          <w:sz w:val="24"/>
          <w:szCs w:val="24"/>
          <w:u w:val="single"/>
          <w:lang w:eastAsia="en-AU"/>
        </w:rPr>
        <w:t>Id.</w:t>
      </w:r>
      <w:r w:rsidRPr="00694528">
        <w:rPr>
          <w:rFonts w:ascii="Times New Roman" w:eastAsia="Times New Roman" w:hAnsi="Times New Roman" w:cs="Times New Roman"/>
          <w:i/>
          <w:iCs/>
          <w:sz w:val="24"/>
          <w:szCs w:val="24"/>
          <w:lang w:eastAsia="en-AU"/>
        </w:rPr>
        <w:t xml:space="preserve"> </w:t>
      </w:r>
      <w:r w:rsidRPr="00694528">
        <w:rPr>
          <w:rFonts w:ascii="Times New Roman" w:eastAsia="Times New Roman" w:hAnsi="Times New Roman" w:cs="Times New Roman"/>
          <w:sz w:val="24"/>
          <w:szCs w:val="24"/>
          <w:lang w:eastAsia="en-AU"/>
        </w:rPr>
        <w:t xml:space="preserve">An invitee, in contrast, is one induced to come onto property for the business benefit of the possessor. </w:t>
      </w:r>
      <w:r w:rsidRPr="00694528">
        <w:rPr>
          <w:rFonts w:ascii="Times New Roman" w:eastAsia="Times New Roman" w:hAnsi="Times New Roman" w:cs="Times New Roman"/>
          <w:i/>
          <w:iCs/>
          <w:sz w:val="24"/>
          <w:szCs w:val="24"/>
          <w:lang w:eastAsia="en-AU"/>
        </w:rPr>
        <w:t xml:space="preserve">Bader v. Lawson, </w:t>
      </w:r>
      <w:r w:rsidRPr="00694528">
        <w:rPr>
          <w:rFonts w:ascii="Times New Roman" w:eastAsia="Times New Roman" w:hAnsi="Times New Roman" w:cs="Times New Roman"/>
          <w:color w:val="0000FF"/>
          <w:sz w:val="24"/>
          <w:szCs w:val="24"/>
          <w:u w:val="single"/>
          <w:lang w:eastAsia="en-AU"/>
        </w:rPr>
        <w:t>320 Ark. 561</w:t>
      </w:r>
      <w:r w:rsidRPr="00694528">
        <w:rPr>
          <w:rFonts w:ascii="Times New Roman" w:eastAsia="Times New Roman" w:hAnsi="Times New Roman" w:cs="Times New Roman"/>
          <w:sz w:val="24"/>
          <w:szCs w:val="24"/>
          <w:lang w:eastAsia="en-AU"/>
        </w:rPr>
        <w:t xml:space="preserve">, </w:t>
      </w:r>
      <w:r w:rsidRPr="00694528">
        <w:rPr>
          <w:rFonts w:ascii="Times New Roman" w:eastAsia="Times New Roman" w:hAnsi="Times New Roman" w:cs="Times New Roman"/>
          <w:color w:val="0000FF"/>
          <w:sz w:val="24"/>
          <w:szCs w:val="24"/>
          <w:u w:val="single"/>
          <w:lang w:eastAsia="en-AU"/>
        </w:rPr>
        <w:t>898 S.W.2d 40</w:t>
      </w:r>
      <w:r w:rsidRPr="00694528">
        <w:rPr>
          <w:rFonts w:ascii="Times New Roman" w:eastAsia="Times New Roman" w:hAnsi="Times New Roman" w:cs="Times New Roman"/>
          <w:sz w:val="24"/>
          <w:szCs w:val="24"/>
          <w:lang w:eastAsia="en-AU"/>
        </w:rPr>
        <w:t xml:space="preserve"> (1995). There are two types of invitees: public and business. A public invitee is invited to enter or remain on the property as a member of the public for a purpose for which the property is held open to the public, such as a hospital or library. </w:t>
      </w:r>
      <w:r w:rsidRPr="00694528">
        <w:rPr>
          <w:rFonts w:ascii="Times New Roman" w:eastAsia="Times New Roman" w:hAnsi="Times New Roman" w:cs="Times New Roman"/>
          <w:i/>
          <w:iCs/>
          <w:sz w:val="24"/>
          <w:szCs w:val="24"/>
          <w:lang w:eastAsia="en-AU"/>
        </w:rPr>
        <w:t xml:space="preserve">Lively v. Libbey Mem’l Physical ■Med.- Ctr., Inc., </w:t>
      </w:r>
      <w:r w:rsidRPr="00694528">
        <w:rPr>
          <w:rFonts w:ascii="Times New Roman" w:eastAsia="Times New Roman" w:hAnsi="Times New Roman" w:cs="Times New Roman"/>
          <w:color w:val="0000FF"/>
          <w:sz w:val="24"/>
          <w:szCs w:val="24"/>
          <w:u w:val="single"/>
          <w:lang w:eastAsia="en-AU"/>
        </w:rPr>
        <w:t>311 Ark. 41</w:t>
      </w:r>
      <w:r w:rsidRPr="00694528">
        <w:rPr>
          <w:rFonts w:ascii="Times New Roman" w:eastAsia="Times New Roman" w:hAnsi="Times New Roman" w:cs="Times New Roman"/>
          <w:sz w:val="24"/>
          <w:szCs w:val="24"/>
          <w:lang w:eastAsia="en-AU"/>
        </w:rPr>
        <w:t xml:space="preserve">, </w:t>
      </w:r>
      <w:r w:rsidRPr="00694528">
        <w:rPr>
          <w:rFonts w:ascii="Times New Roman" w:eastAsia="Times New Roman" w:hAnsi="Times New Roman" w:cs="Times New Roman"/>
          <w:color w:val="0000FF"/>
          <w:sz w:val="24"/>
          <w:szCs w:val="24"/>
          <w:u w:val="single"/>
          <w:lang w:eastAsia="en-AU"/>
        </w:rPr>
        <w:t>841 S.W.2d 609</w:t>
      </w:r>
      <w:r w:rsidRPr="00694528">
        <w:rPr>
          <w:rFonts w:ascii="Times New Roman" w:eastAsia="Times New Roman" w:hAnsi="Times New Roman" w:cs="Times New Roman"/>
          <w:sz w:val="24"/>
          <w:szCs w:val="24"/>
          <w:lang w:eastAsia="en-AU"/>
        </w:rPr>
        <w:t xml:space="preserve"> (1992). A business invitee is invited to enter or remain on the 'property for a purpose directly or indirectly connected with the business dealings of the possessor of the property. </w:t>
      </w:r>
      <w:r w:rsidRPr="00694528">
        <w:rPr>
          <w:rFonts w:ascii="Times New Roman" w:eastAsia="Times New Roman" w:hAnsi="Times New Roman" w:cs="Times New Roman"/>
          <w:i/>
          <w:iCs/>
          <w:color w:val="0000FF"/>
          <w:sz w:val="24"/>
          <w:szCs w:val="24"/>
          <w:u w:val="single"/>
          <w:lang w:eastAsia="en-AU"/>
        </w:rPr>
        <w:t>Id.</w:t>
      </w:r>
      <w:r w:rsidRPr="00694528">
        <w:rPr>
          <w:rFonts w:ascii="Times New Roman" w:eastAsia="Times New Roman" w:hAnsi="Times New Roman" w:cs="Times New Roman"/>
          <w:i/>
          <w:iCs/>
          <w:sz w:val="24"/>
          <w:szCs w:val="24"/>
          <w:lang w:eastAsia="en-AU"/>
        </w:rPr>
        <w:t xml:space="preserve"> </w:t>
      </w:r>
      <w:r w:rsidRPr="00694528">
        <w:rPr>
          <w:rFonts w:ascii="Times New Roman" w:eastAsia="Times New Roman" w:hAnsi="Times New Roman" w:cs="Times New Roman"/>
          <w:sz w:val="24"/>
          <w:szCs w:val="24"/>
          <w:lang w:eastAsia="en-AU"/>
        </w:rPr>
        <w:t xml:space="preserve">Our supreme court has declined to expand the definition of invitee beyond that of a public or business invitee to one whose presence is primarily social. </w:t>
      </w:r>
      <w:r w:rsidRPr="00694528">
        <w:rPr>
          <w:rFonts w:ascii="Times New Roman" w:eastAsia="Times New Roman" w:hAnsi="Times New Roman" w:cs="Times New Roman"/>
          <w:i/>
          <w:iCs/>
          <w:sz w:val="24"/>
          <w:szCs w:val="24"/>
          <w:lang w:eastAsia="en-AU"/>
        </w:rPr>
        <w:t xml:space="preserve">Heigle, </w:t>
      </w:r>
      <w:r w:rsidRPr="00694528">
        <w:rPr>
          <w:rFonts w:ascii="Times New Roman" w:eastAsia="Times New Roman" w:hAnsi="Times New Roman" w:cs="Times New Roman"/>
          <w:i/>
          <w:iCs/>
          <w:color w:val="0000FF"/>
          <w:sz w:val="24"/>
          <w:szCs w:val="24"/>
          <w:u w:val="single"/>
          <w:lang w:eastAsia="en-AU"/>
        </w:rPr>
        <w:t>supra;</w:t>
      </w:r>
      <w:r w:rsidRPr="00694528">
        <w:rPr>
          <w:rFonts w:ascii="Times New Roman" w:eastAsia="Times New Roman" w:hAnsi="Times New Roman" w:cs="Times New Roman"/>
          <w:i/>
          <w:iCs/>
          <w:sz w:val="24"/>
          <w:szCs w:val="24"/>
          <w:lang w:eastAsia="en-AU"/>
        </w:rPr>
        <w:t xml:space="preserve"> Bader, </w:t>
      </w:r>
      <w:r w:rsidRPr="00694528">
        <w:rPr>
          <w:rFonts w:ascii="Times New Roman" w:eastAsia="Times New Roman" w:hAnsi="Times New Roman" w:cs="Times New Roman"/>
          <w:i/>
          <w:iCs/>
          <w:color w:val="0000FF"/>
          <w:sz w:val="24"/>
          <w:szCs w:val="24"/>
          <w:u w:val="single"/>
          <w:lang w:eastAsia="en-AU"/>
        </w:rPr>
        <w:t>supra.</w:t>
      </w:r>
      <w:r w:rsidRPr="00694528">
        <w:rPr>
          <w:rFonts w:ascii="Times New Roman" w:eastAsia="Times New Roman" w:hAnsi="Times New Roman" w:cs="Times New Roman"/>
          <w:i/>
          <w:iCs/>
          <w:sz w:val="24"/>
          <w:szCs w:val="24"/>
          <w:lang w:eastAsia="en-AU"/>
        </w:rPr>
        <w:t xml:space="preserve"> </w:t>
      </w:r>
      <w:r w:rsidRPr="00694528">
        <w:rPr>
          <w:rFonts w:ascii="Times New Roman" w:eastAsia="Times New Roman" w:hAnsi="Times New Roman" w:cs="Times New Roman"/>
          <w:sz w:val="24"/>
          <w:szCs w:val="24"/>
          <w:lang w:eastAsia="en-AU"/>
        </w:rPr>
        <w:t xml:space="preserve">As stated above, </w:t>
      </w:r>
      <w:r w:rsidRPr="005A0F73">
        <w:rPr>
          <w:rFonts w:ascii="Times New Roman" w:eastAsia="Times New Roman" w:hAnsi="Times New Roman" w:cs="Times New Roman"/>
          <w:sz w:val="24"/>
          <w:szCs w:val="24"/>
          <w:highlight w:val="red"/>
          <w:lang w:eastAsia="en-AU"/>
        </w:rPr>
        <w:t>we hold that the trial court was correct in its determination that Lloyd was a licensee</w:t>
      </w:r>
      <w:r w:rsidRPr="00694528">
        <w:rPr>
          <w:rFonts w:ascii="Times New Roman" w:eastAsia="Times New Roman" w:hAnsi="Times New Roman" w:cs="Times New Roman"/>
          <w:sz w:val="24"/>
          <w:szCs w:val="24"/>
          <w:lang w:eastAsia="en-AU"/>
        </w:rPr>
        <w:t>. There remain no disputed questions of fact on this issue, nor is there any other reasonable conclusion to be drawn except that Lloyd was a licensee. We reject Lloyd’s argument that he was a public invitee.</w:t>
      </w:r>
    </w:p>
    <w:p w14:paraId="5744123A" w14:textId="77F0B916" w:rsidR="00694528" w:rsidRPr="00694528" w:rsidRDefault="00694528" w:rsidP="0069452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94528">
        <w:rPr>
          <w:rFonts w:ascii="Times New Roman" w:eastAsia="Times New Roman" w:hAnsi="Times New Roman" w:cs="Times New Roman"/>
          <w:sz w:val="24"/>
          <w:szCs w:val="24"/>
          <w:lang w:eastAsia="en-AU"/>
        </w:rPr>
        <w:t>A landowner owes a licensee the duty to refrain from injuring him through willful or wanton conduct, except that where the lando</w:t>
      </w:r>
      <w:r w:rsidR="00E97B3B">
        <w:rPr>
          <w:rFonts w:ascii="Times New Roman" w:eastAsia="Times New Roman" w:hAnsi="Times New Roman" w:cs="Times New Roman"/>
          <w:sz w:val="24"/>
          <w:szCs w:val="24"/>
          <w:lang w:eastAsia="en-AU"/>
        </w:rPr>
        <w:t>wn</w:t>
      </w:r>
      <w:r w:rsidRPr="00694528">
        <w:rPr>
          <w:rFonts w:ascii="Times New Roman" w:eastAsia="Times New Roman" w:hAnsi="Times New Roman" w:cs="Times New Roman"/>
          <w:sz w:val="24"/>
          <w:szCs w:val="24"/>
          <w:lang w:eastAsia="en-AU"/>
        </w:rPr>
        <w:t xml:space="preserve">er discovers that a licensee is in peril, he has a duty 'of ordinary care to avoid injury to the licensee. </w:t>
      </w:r>
      <w:r w:rsidRPr="00694528">
        <w:rPr>
          <w:rFonts w:ascii="Times New Roman" w:eastAsia="Times New Roman" w:hAnsi="Times New Roman" w:cs="Times New Roman"/>
          <w:i/>
          <w:iCs/>
          <w:sz w:val="24"/>
          <w:szCs w:val="24"/>
          <w:lang w:eastAsia="en-AU"/>
        </w:rPr>
        <w:t xml:space="preserve">Bader, </w:t>
      </w:r>
      <w:r w:rsidRPr="00694528">
        <w:rPr>
          <w:rFonts w:ascii="Times New Roman" w:eastAsia="Times New Roman" w:hAnsi="Times New Roman" w:cs="Times New Roman"/>
          <w:i/>
          <w:iCs/>
          <w:color w:val="0000FF"/>
          <w:sz w:val="24"/>
          <w:szCs w:val="24"/>
          <w:u w:val="single"/>
          <w:lang w:eastAsia="en-AU"/>
        </w:rPr>
        <w:t>supra.</w:t>
      </w:r>
      <w:r w:rsidRPr="00694528">
        <w:rPr>
          <w:rFonts w:ascii="Times New Roman" w:eastAsia="Times New Roman" w:hAnsi="Times New Roman" w:cs="Times New Roman"/>
          <w:i/>
          <w:iCs/>
          <w:sz w:val="24"/>
          <w:szCs w:val="24"/>
          <w:lang w:eastAsia="en-AU"/>
        </w:rPr>
        <w:t xml:space="preserve"> </w:t>
      </w:r>
      <w:r w:rsidRPr="00694528">
        <w:rPr>
          <w:rFonts w:ascii="Times New Roman" w:eastAsia="Times New Roman" w:hAnsi="Times New Roman" w:cs="Times New Roman"/>
          <w:sz w:val="24"/>
          <w:szCs w:val="24"/>
          <w:lang w:eastAsia="en-AU"/>
        </w:rPr>
        <w:t xml:space="preserve">That duty takes the form of warning a licensee of hidden dangers if the licensee does not know or have reason to know of the conditions or risks involved. </w:t>
      </w:r>
      <w:r w:rsidRPr="007A797C">
        <w:rPr>
          <w:rFonts w:ascii="Times New Roman" w:eastAsia="Times New Roman" w:hAnsi="Times New Roman" w:cs="Times New Roman"/>
          <w:i/>
          <w:iCs/>
          <w:sz w:val="24"/>
          <w:szCs w:val="24"/>
          <w:highlight w:val="cyan"/>
          <w:lang w:eastAsia="en-AU"/>
        </w:rPr>
        <w:t xml:space="preserve">Heigle v. Miller, </w:t>
      </w:r>
      <w:r w:rsidRPr="007A797C">
        <w:rPr>
          <w:rFonts w:ascii="Times New Roman" w:eastAsia="Times New Roman" w:hAnsi="Times New Roman" w:cs="Times New Roman"/>
          <w:color w:val="0000FF"/>
          <w:sz w:val="24"/>
          <w:szCs w:val="24"/>
          <w:highlight w:val="cyan"/>
          <w:u w:val="single"/>
          <w:lang w:eastAsia="en-AU"/>
        </w:rPr>
        <w:t>332 Ark. 315</w:t>
      </w:r>
      <w:r w:rsidRPr="007A797C">
        <w:rPr>
          <w:rFonts w:ascii="Times New Roman" w:eastAsia="Times New Roman" w:hAnsi="Times New Roman" w:cs="Times New Roman"/>
          <w:sz w:val="24"/>
          <w:szCs w:val="24"/>
          <w:highlight w:val="cyan"/>
          <w:lang w:eastAsia="en-AU"/>
        </w:rPr>
        <w:t xml:space="preserve">, </w:t>
      </w:r>
      <w:r w:rsidRPr="007A797C">
        <w:rPr>
          <w:rFonts w:ascii="Times New Roman" w:eastAsia="Times New Roman" w:hAnsi="Times New Roman" w:cs="Times New Roman"/>
          <w:color w:val="0000FF"/>
          <w:sz w:val="24"/>
          <w:szCs w:val="24"/>
          <w:highlight w:val="cyan"/>
          <w:u w:val="single"/>
          <w:lang w:eastAsia="en-AU"/>
        </w:rPr>
        <w:t>965 S.W.2d 116</w:t>
      </w:r>
      <w:r w:rsidRPr="007A797C">
        <w:rPr>
          <w:rFonts w:ascii="Times New Roman" w:eastAsia="Times New Roman" w:hAnsi="Times New Roman" w:cs="Times New Roman"/>
          <w:sz w:val="24"/>
          <w:szCs w:val="24"/>
          <w:highlight w:val="cyan"/>
          <w:lang w:eastAsia="en-AU"/>
        </w:rPr>
        <w:t xml:space="preserve"> (1998).</w:t>
      </w:r>
      <w:r w:rsidRPr="00694528">
        <w:rPr>
          <w:rFonts w:ascii="Times New Roman" w:eastAsia="Times New Roman" w:hAnsi="Times New Roman" w:cs="Times New Roman"/>
          <w:sz w:val="24"/>
          <w:szCs w:val="24"/>
          <w:lang w:eastAsia="en-AU"/>
        </w:rPr>
        <w:t xml:space="preserve"> | To constitute willful or wanton conduct, there must be deliberate intention to harm or an utter indifference to, or conscious disregard of, the safety of others. </w:t>
      </w:r>
      <w:r w:rsidRPr="00694528">
        <w:rPr>
          <w:rFonts w:ascii="Times New Roman" w:eastAsia="Times New Roman" w:hAnsi="Times New Roman" w:cs="Times New Roman"/>
          <w:i/>
          <w:iCs/>
          <w:sz w:val="24"/>
          <w:szCs w:val="24"/>
          <w:lang w:eastAsia="en-AU"/>
        </w:rPr>
        <w:t xml:space="preserve">Young v. Paxton, </w:t>
      </w:r>
      <w:r w:rsidRPr="00694528">
        <w:rPr>
          <w:rFonts w:ascii="Times New Roman" w:eastAsia="Times New Roman" w:hAnsi="Times New Roman" w:cs="Times New Roman"/>
          <w:i/>
          <w:iCs/>
          <w:color w:val="0000FF"/>
          <w:sz w:val="24"/>
          <w:szCs w:val="24"/>
          <w:u w:val="single"/>
          <w:lang w:eastAsia="en-AU"/>
        </w:rPr>
        <w:t>supra.</w:t>
      </w:r>
      <w:r w:rsidRPr="00694528">
        <w:rPr>
          <w:rFonts w:ascii="Times New Roman" w:eastAsia="Times New Roman" w:hAnsi="Times New Roman" w:cs="Times New Roman"/>
          <w:i/>
          <w:iCs/>
          <w:sz w:val="24"/>
          <w:szCs w:val="24"/>
          <w:lang w:eastAsia="en-AU"/>
        </w:rPr>
        <w:t xml:space="preserve"> </w:t>
      </w:r>
      <w:r w:rsidRPr="00694528">
        <w:rPr>
          <w:rFonts w:ascii="Times New Roman" w:eastAsia="Times New Roman" w:hAnsi="Times New Roman" w:cs="Times New Roman"/>
          <w:sz w:val="24"/>
          <w:szCs w:val="24"/>
          <w:lang w:eastAsia="en-AU"/>
        </w:rPr>
        <w:t xml:space="preserve">The duty to warn, however, does not extend to obvious dangers or risks that the licensee should have been expected to recognize. </w:t>
      </w:r>
      <w:r w:rsidRPr="00694528">
        <w:rPr>
          <w:rFonts w:ascii="Times New Roman" w:eastAsia="Times New Roman" w:hAnsi="Times New Roman" w:cs="Times New Roman"/>
          <w:i/>
          <w:iCs/>
          <w:color w:val="0000FF"/>
          <w:sz w:val="24"/>
          <w:szCs w:val="24"/>
          <w:u w:val="single"/>
          <w:lang w:eastAsia="en-AU"/>
        </w:rPr>
        <w:t>Id.</w:t>
      </w:r>
      <w:r w:rsidRPr="00694528">
        <w:rPr>
          <w:rFonts w:ascii="Times New Roman" w:eastAsia="Times New Roman" w:hAnsi="Times New Roman" w:cs="Times New Roman"/>
          <w:i/>
          <w:iCs/>
          <w:sz w:val="24"/>
          <w:szCs w:val="24"/>
          <w:lang w:eastAsia="en-AU"/>
        </w:rPr>
        <w:t xml:space="preserve"> </w:t>
      </w:r>
      <w:r w:rsidRPr="00694528">
        <w:rPr>
          <w:rFonts w:ascii="Times New Roman" w:eastAsia="Times New Roman" w:hAnsi="Times New Roman" w:cs="Times New Roman"/>
          <w:sz w:val="24"/>
          <w:szCs w:val="24"/>
          <w:lang w:eastAsia="en-AU"/>
        </w:rPr>
        <w:t xml:space="preserve">If, however, the landowner knows or has reason to know of a condition on the premises that is not open and obvious and which creates an unreasonable risk of harm to licensees, then it is under a duty to use ordinary care to make the condition safe or to warn those licensees who do not know or have reason to know of the danger. AMI-Civ. 1103. </w:t>
      </w:r>
      <w:r w:rsidRPr="00694528">
        <w:rPr>
          <w:rFonts w:ascii="Times New Roman" w:eastAsia="Times New Roman" w:hAnsi="Times New Roman" w:cs="Times New Roman"/>
          <w:i/>
          <w:iCs/>
          <w:sz w:val="24"/>
          <w:szCs w:val="24"/>
          <w:lang w:eastAsia="en-AU"/>
        </w:rPr>
        <w:t xml:space="preserve">Heigle v. Miller, </w:t>
      </w:r>
      <w:r w:rsidRPr="00694528">
        <w:rPr>
          <w:rFonts w:ascii="Times New Roman" w:eastAsia="Times New Roman" w:hAnsi="Times New Roman" w:cs="Times New Roman"/>
          <w:i/>
          <w:iCs/>
          <w:color w:val="0000FF"/>
          <w:sz w:val="24"/>
          <w:szCs w:val="24"/>
          <w:u w:val="single"/>
          <w:lang w:eastAsia="en-AU"/>
        </w:rPr>
        <w:t>supra.</w:t>
      </w:r>
      <w:r w:rsidRPr="00694528">
        <w:rPr>
          <w:rFonts w:ascii="Times New Roman" w:eastAsia="Times New Roman" w:hAnsi="Times New Roman" w:cs="Times New Roman"/>
          <w:sz w:val="24"/>
          <w:szCs w:val="24"/>
          <w:lang w:eastAsia="en-AU"/>
        </w:rPr>
        <w:t xml:space="preserve"> </w:t>
      </w:r>
    </w:p>
    <w:p w14:paraId="697C1941" w14:textId="7DFC2FEF" w:rsidR="00694528" w:rsidRPr="00694528" w:rsidRDefault="00694528" w:rsidP="0069452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94528">
        <w:rPr>
          <w:rFonts w:ascii="Times New Roman" w:eastAsia="Times New Roman" w:hAnsi="Times New Roman" w:cs="Times New Roman"/>
          <w:sz w:val="24"/>
          <w:szCs w:val="24"/>
          <w:lang w:eastAsia="en-AU"/>
        </w:rPr>
        <w:t xml:space="preserve">The second possible source of the imposition of a duty of ordinary care arises where a party contractually assumes the duty to maintain or repair premises. In </w:t>
      </w:r>
      <w:r w:rsidRPr="00694528">
        <w:rPr>
          <w:rFonts w:ascii="Times New Roman" w:eastAsia="Times New Roman" w:hAnsi="Times New Roman" w:cs="Times New Roman"/>
          <w:i/>
          <w:iCs/>
          <w:sz w:val="24"/>
          <w:szCs w:val="24"/>
          <w:lang w:eastAsia="en-AU"/>
        </w:rPr>
        <w:t xml:space="preserve">Bartley v. Sweetser, </w:t>
      </w:r>
      <w:r w:rsidRPr="00694528">
        <w:rPr>
          <w:rFonts w:ascii="Times New Roman" w:eastAsia="Times New Roman" w:hAnsi="Times New Roman" w:cs="Times New Roman"/>
          <w:color w:val="0000FF"/>
          <w:sz w:val="24"/>
          <w:szCs w:val="24"/>
          <w:u w:val="single"/>
          <w:lang w:eastAsia="en-AU"/>
        </w:rPr>
        <w:t>319 Ark. 117</w:t>
      </w:r>
      <w:r w:rsidRPr="00694528">
        <w:rPr>
          <w:rFonts w:ascii="Times New Roman" w:eastAsia="Times New Roman" w:hAnsi="Times New Roman" w:cs="Times New Roman"/>
          <w:sz w:val="24"/>
          <w:szCs w:val="24"/>
          <w:lang w:eastAsia="en-AU"/>
        </w:rPr>
        <w:t xml:space="preserve">, </w:t>
      </w:r>
      <w:r w:rsidRPr="00694528">
        <w:rPr>
          <w:rFonts w:ascii="Times New Roman" w:eastAsia="Times New Roman" w:hAnsi="Times New Roman" w:cs="Times New Roman"/>
          <w:color w:val="0000FF"/>
          <w:sz w:val="24"/>
          <w:szCs w:val="24"/>
          <w:u w:val="single"/>
          <w:lang w:eastAsia="en-AU"/>
        </w:rPr>
        <w:t>890 S.W.2d 250</w:t>
      </w:r>
      <w:r w:rsidRPr="00694528">
        <w:rPr>
          <w:rFonts w:ascii="Times New Roman" w:eastAsia="Times New Roman" w:hAnsi="Times New Roman" w:cs="Times New Roman"/>
          <w:sz w:val="24"/>
          <w:szCs w:val="24"/>
          <w:lang w:eastAsia="en-AU"/>
        </w:rPr>
        <w:t xml:space="preserve"> (1994), our supreme court noted that since 1932, we have adhered to the rule that a landlord is under no legal obligation to a tenant for injuries sustained in common areas, absent a statute </w:t>
      </w:r>
      <w:r w:rsidRPr="00694528">
        <w:rPr>
          <w:rFonts w:ascii="Times New Roman" w:eastAsia="Times New Roman" w:hAnsi="Times New Roman" w:cs="Times New Roman"/>
          <w:i/>
          <w:iCs/>
          <w:sz w:val="24"/>
          <w:szCs w:val="24"/>
          <w:lang w:eastAsia="en-AU"/>
        </w:rPr>
        <w:t xml:space="preserve">or agreement. </w:t>
      </w:r>
      <w:r w:rsidRPr="00694528">
        <w:rPr>
          <w:rFonts w:ascii="Times New Roman" w:eastAsia="Times New Roman" w:hAnsi="Times New Roman" w:cs="Times New Roman"/>
          <w:sz w:val="24"/>
          <w:szCs w:val="24"/>
          <w:lang w:eastAsia="en-AU"/>
        </w:rPr>
        <w:t xml:space="preserve">Similarly, in </w:t>
      </w:r>
      <w:r w:rsidRPr="00677EFA">
        <w:rPr>
          <w:rFonts w:ascii="Times New Roman" w:eastAsia="Times New Roman" w:hAnsi="Times New Roman" w:cs="Times New Roman"/>
          <w:i/>
          <w:iCs/>
          <w:sz w:val="24"/>
          <w:szCs w:val="24"/>
          <w:highlight w:val="cyan"/>
          <w:lang w:eastAsia="en-AU"/>
        </w:rPr>
        <w:t xml:space="preserve">Majewski v. Cantrell, </w:t>
      </w:r>
      <w:r w:rsidRPr="00677EFA">
        <w:rPr>
          <w:rFonts w:ascii="Times New Roman" w:eastAsia="Times New Roman" w:hAnsi="Times New Roman" w:cs="Times New Roman"/>
          <w:color w:val="0000FF"/>
          <w:sz w:val="24"/>
          <w:szCs w:val="24"/>
          <w:highlight w:val="cyan"/>
          <w:u w:val="single"/>
          <w:lang w:eastAsia="en-AU"/>
        </w:rPr>
        <w:t>293 Ark. 360</w:t>
      </w:r>
      <w:r w:rsidRPr="00677EFA">
        <w:rPr>
          <w:rFonts w:ascii="Times New Roman" w:eastAsia="Times New Roman" w:hAnsi="Times New Roman" w:cs="Times New Roman"/>
          <w:sz w:val="24"/>
          <w:szCs w:val="24"/>
          <w:highlight w:val="cyan"/>
          <w:lang w:eastAsia="en-AU"/>
        </w:rPr>
        <w:t xml:space="preserve">, 362, </w:t>
      </w:r>
      <w:r w:rsidRPr="00677EFA">
        <w:rPr>
          <w:rFonts w:ascii="Times New Roman" w:eastAsia="Times New Roman" w:hAnsi="Times New Roman" w:cs="Times New Roman"/>
          <w:color w:val="0000FF"/>
          <w:sz w:val="24"/>
          <w:szCs w:val="24"/>
          <w:highlight w:val="cyan"/>
          <w:u w:val="single"/>
          <w:lang w:eastAsia="en-AU"/>
        </w:rPr>
        <w:t>737 S.W.2d 649</w:t>
      </w:r>
      <w:r w:rsidRPr="00677EFA">
        <w:rPr>
          <w:rFonts w:ascii="Times New Roman" w:eastAsia="Times New Roman" w:hAnsi="Times New Roman" w:cs="Times New Roman"/>
          <w:sz w:val="24"/>
          <w:szCs w:val="24"/>
          <w:highlight w:val="cyan"/>
          <w:lang w:eastAsia="en-AU"/>
        </w:rPr>
        <w:t>, 651 (1987)</w:t>
      </w:r>
      <w:r w:rsidRPr="00694528">
        <w:rPr>
          <w:rFonts w:ascii="Times New Roman" w:eastAsia="Times New Roman" w:hAnsi="Times New Roman" w:cs="Times New Roman"/>
          <w:sz w:val="24"/>
          <w:szCs w:val="24"/>
          <w:lang w:eastAsia="en-AU"/>
        </w:rPr>
        <w:t xml:space="preserve">, our supreme court stated that Ma-jewski was correct that a lessor, under the common-law rule .that Arkansas follows, owes no . duty of repair of the premises to the lessee; but it is also .true that a landlord, </w:t>
      </w:r>
      <w:r w:rsidRPr="00694528">
        <w:rPr>
          <w:rFonts w:ascii="Times New Roman" w:eastAsia="Times New Roman" w:hAnsi="Times New Roman" w:cs="Times New Roman"/>
          <w:i/>
          <w:iCs/>
          <w:sz w:val="24"/>
          <w:szCs w:val="24"/>
          <w:lang w:eastAsia="en-AU"/>
        </w:rPr>
        <w:t xml:space="preserve">who agrees to such repairs, </w:t>
      </w:r>
      <w:r w:rsidRPr="00694528">
        <w:rPr>
          <w:rFonts w:ascii="Times New Roman" w:eastAsia="Times New Roman" w:hAnsi="Times New Roman" w:cs="Times New Roman"/>
          <w:sz w:val="24"/>
          <w:szCs w:val="24"/>
          <w:lang w:eastAsia="en-AU"/>
        </w:rPr>
        <w:t xml:space="preserve">can be held </w:t>
      </w:r>
      <w:r w:rsidR="00C133FC">
        <w:rPr>
          <w:rFonts w:ascii="Times New Roman" w:eastAsia="Times New Roman" w:hAnsi="Times New Roman" w:cs="Times New Roman"/>
          <w:sz w:val="24"/>
          <w:szCs w:val="24"/>
          <w:lang w:eastAsia="en-AU"/>
        </w:rPr>
        <w:t>li</w:t>
      </w:r>
      <w:r w:rsidRPr="00694528">
        <w:rPr>
          <w:rFonts w:ascii="Times New Roman" w:eastAsia="Times New Roman" w:hAnsi="Times New Roman" w:cs="Times New Roman"/>
          <w:sz w:val="24"/>
          <w:szCs w:val="24"/>
          <w:lang w:eastAsia="en-AU"/>
        </w:rPr>
        <w:t xml:space="preserve">able for making those repairs in a negligent fashion. </w:t>
      </w:r>
      <w:r w:rsidRPr="00694528">
        <w:rPr>
          <w:rFonts w:ascii="Times New Roman" w:eastAsia="Times New Roman" w:hAnsi="Times New Roman" w:cs="Times New Roman"/>
          <w:i/>
          <w:iCs/>
          <w:sz w:val="24"/>
          <w:szCs w:val="24"/>
          <w:lang w:eastAsia="en-AU"/>
        </w:rPr>
        <w:t xml:space="preserve">Majewski </w:t>
      </w:r>
      <w:r w:rsidRPr="00694528">
        <w:rPr>
          <w:rFonts w:ascii="Times New Roman" w:eastAsia="Times New Roman" w:hAnsi="Times New Roman" w:cs="Times New Roman"/>
          <w:sz w:val="24"/>
          <w:szCs w:val="24"/>
          <w:lang w:eastAsia="en-AU"/>
        </w:rPr>
        <w:t xml:space="preserve">expanded the discussion, holding that a landlord is subject to liability for physical harm .caused to the tenant and others, upon the leased property with the consent of the tenant or his subtenant, by a condition of disrepair existing, before or arising after the tenant has taken possession if: (1) the landlord has contracted by a promise in the lease or otherwise to keep the leased property in repair; |7(2) the disrepair creates an unreasonable risk to persons upon the leased property, which the performance of the landlord’s agreement would have prevented; and (3) the landlord fails •to exercise reasonable care to perform his contract. </w:t>
      </w:r>
      <w:r w:rsidRPr="00694528">
        <w:rPr>
          <w:rFonts w:ascii="Times New Roman" w:eastAsia="Times New Roman" w:hAnsi="Times New Roman" w:cs="Times New Roman"/>
          <w:i/>
          <w:iCs/>
          <w:color w:val="0000FF"/>
          <w:sz w:val="24"/>
          <w:szCs w:val="24"/>
          <w:u w:val="single"/>
          <w:lang w:eastAsia="en-AU"/>
        </w:rPr>
        <w:t xml:space="preserve">Id. </w:t>
      </w:r>
      <w:r w:rsidRPr="00694528">
        <w:rPr>
          <w:rFonts w:ascii="Times New Roman" w:eastAsia="Times New Roman" w:hAnsi="Times New Roman" w:cs="Times New Roman"/>
          <w:color w:val="0000FF"/>
          <w:sz w:val="24"/>
          <w:szCs w:val="24"/>
          <w:u w:val="single"/>
          <w:lang w:eastAsia="en-AU"/>
        </w:rPr>
        <w:t>at 362-63</w:t>
      </w:r>
      <w:r w:rsidRPr="00694528">
        <w:rPr>
          <w:rFonts w:ascii="Times New Roman" w:eastAsia="Times New Roman" w:hAnsi="Times New Roman" w:cs="Times New Roman"/>
          <w:sz w:val="24"/>
          <w:szCs w:val="24"/>
          <w:lang w:eastAsia="en-AU"/>
        </w:rPr>
        <w:t xml:space="preserve">, </w:t>
      </w:r>
      <w:r w:rsidRPr="00694528">
        <w:rPr>
          <w:rFonts w:ascii="Times New Roman" w:eastAsia="Times New Roman" w:hAnsi="Times New Roman" w:cs="Times New Roman"/>
          <w:color w:val="0000FF"/>
          <w:sz w:val="24"/>
          <w:szCs w:val="24"/>
          <w:u w:val="single"/>
          <w:lang w:eastAsia="en-AU"/>
        </w:rPr>
        <w:t>737 S.W.2d at 651</w:t>
      </w:r>
      <w:r w:rsidRPr="00694528">
        <w:rPr>
          <w:rFonts w:ascii="Times New Roman" w:eastAsia="Times New Roman" w:hAnsi="Times New Roman" w:cs="Times New Roman"/>
          <w:sz w:val="24"/>
          <w:szCs w:val="24"/>
          <w:lang w:eastAsia="en-AU"/>
        </w:rPr>
        <w:t xml:space="preserve">. </w:t>
      </w:r>
      <w:r w:rsidRPr="00694528">
        <w:rPr>
          <w:rFonts w:ascii="Times New Roman" w:eastAsia="Times New Roman" w:hAnsi="Times New Roman" w:cs="Times New Roman"/>
          <w:i/>
          <w:iCs/>
          <w:sz w:val="24"/>
          <w:szCs w:val="24"/>
          <w:lang w:eastAsia="en-AU"/>
        </w:rPr>
        <w:t xml:space="preserve">See also Steward v. McDonald, </w:t>
      </w:r>
      <w:r w:rsidRPr="00694528">
        <w:rPr>
          <w:rFonts w:ascii="Times New Roman" w:eastAsia="Times New Roman" w:hAnsi="Times New Roman" w:cs="Times New Roman"/>
          <w:color w:val="0000FF"/>
          <w:sz w:val="24"/>
          <w:szCs w:val="24"/>
          <w:u w:val="single"/>
          <w:lang w:eastAsia="en-AU"/>
        </w:rPr>
        <w:t>330 Ark. 837</w:t>
      </w:r>
      <w:r w:rsidRPr="00694528">
        <w:rPr>
          <w:rFonts w:ascii="Times New Roman" w:eastAsia="Times New Roman" w:hAnsi="Times New Roman" w:cs="Times New Roman"/>
          <w:sz w:val="24"/>
          <w:szCs w:val="24"/>
          <w:lang w:eastAsia="en-AU"/>
        </w:rPr>
        <w:t xml:space="preserve">, 843 44, </w:t>
      </w:r>
      <w:r w:rsidRPr="00694528">
        <w:rPr>
          <w:rFonts w:ascii="Times New Roman" w:eastAsia="Times New Roman" w:hAnsi="Times New Roman" w:cs="Times New Roman"/>
          <w:color w:val="0000FF"/>
          <w:sz w:val="24"/>
          <w:szCs w:val="24"/>
          <w:u w:val="single"/>
          <w:lang w:eastAsia="en-AU"/>
        </w:rPr>
        <w:t>958 S.W.2d 297</w:t>
      </w:r>
      <w:r w:rsidRPr="00694528">
        <w:rPr>
          <w:rFonts w:ascii="Times New Roman" w:eastAsia="Times New Roman" w:hAnsi="Times New Roman" w:cs="Times New Roman"/>
          <w:sz w:val="24"/>
          <w:szCs w:val="24"/>
          <w:lang w:eastAsia="en-AU"/>
        </w:rPr>
        <w:t>, 300 (1997).</w:t>
      </w:r>
    </w:p>
    <w:p w14:paraId="58E1B8D0" w14:textId="41B1B4C1" w:rsidR="00694528" w:rsidRPr="00694528" w:rsidRDefault="00694528" w:rsidP="0069452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94528">
        <w:rPr>
          <w:rFonts w:ascii="Times New Roman" w:eastAsia="Times New Roman" w:hAnsi="Times New Roman" w:cs="Times New Roman"/>
          <w:color w:val="0000FF"/>
          <w:sz w:val="24"/>
          <w:szCs w:val="24"/>
          <w:u w:val="single"/>
          <w:lang w:eastAsia="en-AU"/>
        </w:rPr>
        <w:t>*</w:t>
      </w:r>
      <w:r w:rsidRPr="00F97847">
        <w:rPr>
          <w:rFonts w:ascii="Times New Roman" w:eastAsia="Times New Roman" w:hAnsi="Times New Roman" w:cs="Times New Roman"/>
          <w:color w:val="0000FF"/>
          <w:sz w:val="24"/>
          <w:szCs w:val="24"/>
          <w:highlight w:val="green"/>
          <w:u w:val="single"/>
          <w:lang w:eastAsia="en-AU"/>
        </w:rPr>
        <w:t>299</w:t>
      </w:r>
      <w:r w:rsidRPr="00F97847">
        <w:rPr>
          <w:rFonts w:ascii="Times New Roman" w:eastAsia="Times New Roman" w:hAnsi="Times New Roman" w:cs="Times New Roman"/>
          <w:sz w:val="24"/>
          <w:szCs w:val="24"/>
          <w:highlight w:val="green"/>
          <w:lang w:eastAsia="en-AU"/>
        </w:rPr>
        <w:t xml:space="preserve">While we acknowledge- that' Pier West POA may, or may not, be a typical landlord as existed in </w:t>
      </w:r>
      <w:r w:rsidRPr="00F97847">
        <w:rPr>
          <w:rFonts w:ascii="Times New Roman" w:eastAsia="Times New Roman" w:hAnsi="Times New Roman" w:cs="Times New Roman"/>
          <w:i/>
          <w:iCs/>
          <w:sz w:val="24"/>
          <w:szCs w:val="24"/>
          <w:highlight w:val="green"/>
          <w:lang w:eastAsia="en-AU"/>
        </w:rPr>
        <w:t xml:space="preserve">Majewski, Bartley, </w:t>
      </w:r>
      <w:r w:rsidRPr="00F97847">
        <w:rPr>
          <w:rFonts w:ascii="Times New Roman" w:eastAsia="Times New Roman" w:hAnsi="Times New Roman" w:cs="Times New Roman"/>
          <w:sz w:val="24"/>
          <w:szCs w:val="24"/>
          <w:highlight w:val="green"/>
          <w:lang w:eastAsia="en-AU"/>
        </w:rPr>
        <w:t xml:space="preserve">and </w:t>
      </w:r>
      <w:r w:rsidRPr="00F97847">
        <w:rPr>
          <w:rFonts w:ascii="Times New Roman" w:eastAsia="Times New Roman" w:hAnsi="Times New Roman" w:cs="Times New Roman"/>
          <w:i/>
          <w:iCs/>
          <w:sz w:val="24"/>
          <w:szCs w:val="24"/>
          <w:highlight w:val="green"/>
          <w:lang w:eastAsia="en-AU"/>
        </w:rPr>
        <w:t xml:space="preserve">Steward, </w:t>
      </w:r>
      <w:r w:rsidRPr="00F97847">
        <w:rPr>
          <w:rFonts w:ascii="Times New Roman" w:eastAsia="Times New Roman" w:hAnsi="Times New Roman" w:cs="Times New Roman"/>
          <w:sz w:val="24"/>
          <w:szCs w:val="24"/>
          <w:highlight w:val="green"/>
          <w:lang w:eastAsia="en-AU"/>
        </w:rPr>
        <w:t>we believe that these cases are compelling authority for the proposition that one who contracts or promises to repair and maintain premises does so with the attendant responsibility to perform that duty with reasonable care.</w:t>
      </w:r>
    </w:p>
    <w:p w14:paraId="667BFA79" w14:textId="6F96AFB1" w:rsidR="00694528" w:rsidRPr="00694528" w:rsidRDefault="00694528" w:rsidP="0069452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97847">
        <w:rPr>
          <w:rFonts w:ascii="Times New Roman" w:eastAsia="Times New Roman" w:hAnsi="Times New Roman" w:cs="Times New Roman"/>
          <w:sz w:val="24"/>
          <w:szCs w:val="24"/>
          <w:highlight w:val="green"/>
          <w:lang w:eastAsia="en-AU"/>
        </w:rPr>
        <w:t>Further, a condominium association may be held to the landlord standard of care as to common areas under its control</w:t>
      </w:r>
      <w:r w:rsidRPr="00694528">
        <w:rPr>
          <w:rFonts w:ascii="Times New Roman" w:eastAsia="Times New Roman" w:hAnsi="Times New Roman" w:cs="Times New Roman"/>
          <w:sz w:val="24"/>
          <w:szCs w:val="24"/>
          <w:lang w:eastAsia="en-AU"/>
        </w:rPr>
        <w:t xml:space="preserve">. 62 Am. Jur. 2d § 25. In </w:t>
      </w:r>
      <w:r w:rsidRPr="00E06F43">
        <w:rPr>
          <w:rFonts w:ascii="Times New Roman" w:eastAsia="Times New Roman" w:hAnsi="Times New Roman" w:cs="Times New Roman"/>
          <w:i/>
          <w:iCs/>
          <w:sz w:val="24"/>
          <w:szCs w:val="24"/>
          <w:highlight w:val="cyan"/>
          <w:lang w:eastAsia="en-AU"/>
        </w:rPr>
        <w:t xml:space="preserve">Schoon-dyke v. Heil, Heil, Smart &amp; Golee, Inc., </w:t>
      </w:r>
      <w:r w:rsidRPr="00E06F43">
        <w:rPr>
          <w:rFonts w:ascii="Times New Roman" w:eastAsia="Times New Roman" w:hAnsi="Times New Roman" w:cs="Times New Roman"/>
          <w:color w:val="0000FF"/>
          <w:sz w:val="24"/>
          <w:szCs w:val="24"/>
          <w:highlight w:val="cyan"/>
          <w:u w:val="single"/>
          <w:lang w:eastAsia="en-AU"/>
        </w:rPr>
        <w:t>89 Ill.App.3d 640</w:t>
      </w:r>
      <w:r w:rsidRPr="00E06F43">
        <w:rPr>
          <w:rFonts w:ascii="Times New Roman" w:eastAsia="Times New Roman" w:hAnsi="Times New Roman" w:cs="Times New Roman"/>
          <w:sz w:val="24"/>
          <w:szCs w:val="24"/>
          <w:highlight w:val="cyan"/>
          <w:lang w:eastAsia="en-AU"/>
        </w:rPr>
        <w:t xml:space="preserve">, 44 IlLDec. 802, </w:t>
      </w:r>
      <w:r w:rsidRPr="00E06F43">
        <w:rPr>
          <w:rFonts w:ascii="Times New Roman" w:eastAsia="Times New Roman" w:hAnsi="Times New Roman" w:cs="Times New Roman"/>
          <w:color w:val="0000FF"/>
          <w:sz w:val="24"/>
          <w:szCs w:val="24"/>
          <w:highlight w:val="cyan"/>
          <w:u w:val="single"/>
          <w:lang w:eastAsia="en-AU"/>
        </w:rPr>
        <w:t>411 N.E.2d 1168</w:t>
      </w:r>
      <w:r w:rsidRPr="00E06F43">
        <w:rPr>
          <w:rFonts w:ascii="Times New Roman" w:eastAsia="Times New Roman" w:hAnsi="Times New Roman" w:cs="Times New Roman"/>
          <w:sz w:val="24"/>
          <w:szCs w:val="24"/>
          <w:highlight w:val="cyan"/>
          <w:lang w:eastAsia="en-AU"/>
        </w:rPr>
        <w:t>, 1171-73 (1980)</w:t>
      </w:r>
      <w:r w:rsidRPr="00694528">
        <w:rPr>
          <w:rFonts w:ascii="Times New Roman" w:eastAsia="Times New Roman" w:hAnsi="Times New Roman" w:cs="Times New Roman"/>
          <w:sz w:val="24"/>
          <w:szCs w:val="24"/>
          <w:lang w:eastAsia="en-AU"/>
        </w:rPr>
        <w:t xml:space="preserve">, the plaintiff was injured by slipping and falling on snow and ice in a condominium parking lot. The plaintiff, a non-owner occupant of a unit in the condominium, sued the condominium association, and the trial court granted the condominium summary judgment. The issue was whether the condominium association owed the plaintiff a duty. The bylaws of the condominium association provided that the association would be responsible for snow removal. In overturning summary judgment, the </w:t>
      </w:r>
      <w:r w:rsidRPr="00694528">
        <w:rPr>
          <w:rFonts w:ascii="Times New Roman" w:eastAsia="Times New Roman" w:hAnsi="Times New Roman" w:cs="Times New Roman"/>
          <w:i/>
          <w:iCs/>
          <w:sz w:val="24"/>
          <w:szCs w:val="24"/>
          <w:lang w:eastAsia="en-AU"/>
        </w:rPr>
        <w:t xml:space="preserve">Schoondyke </w:t>
      </w:r>
      <w:r w:rsidRPr="00694528">
        <w:rPr>
          <w:rFonts w:ascii="Times New Roman" w:eastAsia="Times New Roman" w:hAnsi="Times New Roman" w:cs="Times New Roman"/>
          <w:sz w:val="24"/>
          <w:szCs w:val="24"/>
          <w:lang w:eastAsia="en-AU"/>
        </w:rPr>
        <w:t>court stated:</w:t>
      </w:r>
    </w:p>
    <w:p w14:paraId="3D44D7E9" w14:textId="3BA4F1D7" w:rsidR="00694528" w:rsidRPr="00694528" w:rsidRDefault="00694528" w:rsidP="00694528">
      <w:pPr>
        <w:spacing w:after="100" w:line="240" w:lineRule="auto"/>
        <w:jc w:val="left"/>
        <w:rPr>
          <w:rFonts w:ascii="Times New Roman" w:eastAsia="Times New Roman" w:hAnsi="Times New Roman" w:cs="Times New Roman"/>
          <w:sz w:val="24"/>
          <w:szCs w:val="24"/>
          <w:lang w:eastAsia="en-AU"/>
        </w:rPr>
      </w:pPr>
      <w:r w:rsidRPr="00694528">
        <w:rPr>
          <w:rFonts w:ascii="Times New Roman" w:eastAsia="Times New Roman" w:hAnsi="Times New Roman" w:cs="Times New Roman"/>
          <w:sz w:val="24"/>
          <w:szCs w:val="24"/>
          <w:lang w:eastAsia="en-AU"/>
        </w:rPr>
        <w:t>In the case at bar defendants [the condominium association] by .their agreement with the unit owners as contained in the ‘Declaration of Condominium’ and ‘Condominium By-Laws,’ have .assumed a duty of snow removal not imposed upon them by common law.... In the instant case, because defendants, by virtue of the Declaration of Condominium and Condominium By-Laws, have voluntarily assumed a duty of snow removal not imposed upon them by common law, we conclude that as a ' matter of law, defendants owed a duty to plaintiff herein to remove natural accumulations of snow and ice. We must also conclude, therefore, that the trial court erred in granting defendants’ motion for summary judgment based upon- the argument that defendants owed no duty to plaintiff.</w:t>
      </w:r>
    </w:p>
    <w:p w14:paraId="151BEB53" w14:textId="6E333E49" w:rsidR="00694528" w:rsidRPr="00694528" w:rsidRDefault="00694528" w:rsidP="0069452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94528">
        <w:rPr>
          <w:rFonts w:ascii="Times New Roman" w:eastAsia="Times New Roman" w:hAnsi="Times New Roman" w:cs="Times New Roman"/>
          <w:sz w:val="24"/>
          <w:szCs w:val="24"/>
          <w:lang w:eastAsia="en-AU"/>
        </w:rPr>
        <w:t>Arkansas Code Annotated section 18-13-108 (Repl. 2003) requires that horizontal property regimes be governed by bylaws that are part of a master deed.</w:t>
      </w:r>
      <w:r w:rsidRPr="00694528">
        <w:rPr>
          <w:rFonts w:ascii="Times New Roman" w:eastAsia="Times New Roman" w:hAnsi="Times New Roman" w:cs="Times New Roman"/>
          <w:color w:val="0000FF"/>
          <w:sz w:val="24"/>
          <w:szCs w:val="24"/>
          <w:u w:val="single"/>
          <w:lang w:eastAsia="en-AU"/>
        </w:rPr>
        <w:t>2</w:t>
      </w:r>
      <w:r w:rsidRPr="00694528">
        <w:rPr>
          <w:rFonts w:ascii="Times New Roman" w:eastAsia="Times New Roman" w:hAnsi="Times New Roman" w:cs="Times New Roman"/>
          <w:sz w:val="24"/>
          <w:szCs w:val="24"/>
          <w:lang w:eastAsia="en-AU"/>
        </w:rPr>
        <w:t xml:space="preserve"> The bylaws are required to address, among other things, the form of administration as well as the upkeep of the building and its general or limited common elements and services. </w:t>
      </w:r>
      <w:r w:rsidRPr="00694528">
        <w:rPr>
          <w:rFonts w:ascii="Times New Roman" w:eastAsia="Times New Roman" w:hAnsi="Times New Roman" w:cs="Times New Roman"/>
          <w:i/>
          <w:iCs/>
          <w:color w:val="0000FF"/>
          <w:sz w:val="24"/>
          <w:szCs w:val="24"/>
          <w:u w:val="single"/>
          <w:lang w:eastAsia="en-AU"/>
        </w:rPr>
        <w:t>Id.</w:t>
      </w:r>
      <w:r w:rsidRPr="00694528">
        <w:rPr>
          <w:rFonts w:ascii="Times New Roman" w:eastAsia="Times New Roman" w:hAnsi="Times New Roman" w:cs="Times New Roman"/>
          <w:i/>
          <w:iCs/>
          <w:sz w:val="24"/>
          <w:szCs w:val="24"/>
          <w:lang w:eastAsia="en-AU"/>
        </w:rPr>
        <w:t xml:space="preserve"> </w:t>
      </w:r>
      <w:r w:rsidRPr="00694528">
        <w:rPr>
          <w:rFonts w:ascii="Times New Roman" w:eastAsia="Times New Roman" w:hAnsi="Times New Roman" w:cs="Times New Roman"/>
          <w:sz w:val="24"/>
          <w:szCs w:val="24"/>
          <w:lang w:eastAsia="en-AU"/>
        </w:rPr>
        <w:t xml:space="preserve">at subsections (b)(1) and (b)(3). Further, bylaws of a voluntary association constitute a contract between the association’s members that is binding on each member so long as the bylaws remain in effect. </w:t>
      </w:r>
      <w:r w:rsidRPr="00694528">
        <w:rPr>
          <w:rFonts w:ascii="Times New Roman" w:eastAsia="Times New Roman" w:hAnsi="Times New Roman" w:cs="Times New Roman"/>
          <w:i/>
          <w:iCs/>
          <w:sz w:val="24"/>
          <w:szCs w:val="24"/>
          <w:lang w:eastAsia="en-AU"/>
        </w:rPr>
        <w:t xml:space="preserve">See Diamante v. Dye, </w:t>
      </w:r>
      <w:r w:rsidRPr="00694528">
        <w:rPr>
          <w:rFonts w:ascii="Times New Roman" w:eastAsia="Times New Roman" w:hAnsi="Times New Roman" w:cs="Times New Roman"/>
          <w:color w:val="0000FF"/>
          <w:sz w:val="24"/>
          <w:szCs w:val="24"/>
          <w:u w:val="single"/>
          <w:lang w:eastAsia="en-AU"/>
        </w:rPr>
        <w:t>2013 Ark. App. 630</w:t>
      </w:r>
      <w:r w:rsidRPr="00694528">
        <w:rPr>
          <w:rFonts w:ascii="Times New Roman" w:eastAsia="Times New Roman" w:hAnsi="Times New Roman" w:cs="Times New Roman"/>
          <w:sz w:val="24"/>
          <w:szCs w:val="24"/>
          <w:lang w:eastAsia="en-AU"/>
        </w:rPr>
        <w:t xml:space="preserve">, </w:t>
      </w:r>
      <w:r w:rsidRPr="00694528">
        <w:rPr>
          <w:rFonts w:ascii="Times New Roman" w:eastAsia="Times New Roman" w:hAnsi="Times New Roman" w:cs="Times New Roman"/>
          <w:color w:val="0000FF"/>
          <w:sz w:val="24"/>
          <w:szCs w:val="24"/>
          <w:u w:val="single"/>
          <w:lang w:eastAsia="en-AU"/>
        </w:rPr>
        <w:t>430 S.W.3d 196</w:t>
      </w:r>
      <w:r w:rsidRPr="00694528">
        <w:rPr>
          <w:rFonts w:ascii="Times New Roman" w:eastAsia="Times New Roman" w:hAnsi="Times New Roman" w:cs="Times New Roman"/>
          <w:sz w:val="24"/>
          <w:szCs w:val="24"/>
          <w:lang w:eastAsia="en-AU"/>
        </w:rPr>
        <w:t>. Whether there exists such a contract or promise by Pier West POA, to maintain or repair the' common areas that carries with it the duty to use ordinary care, is discussed below.</w:t>
      </w:r>
    </w:p>
    <w:p w14:paraId="6B1F9548" w14:textId="5C33199A" w:rsidR="00694528" w:rsidRPr="00694528" w:rsidRDefault="00694528" w:rsidP="0069452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94528">
        <w:rPr>
          <w:rFonts w:ascii="Times New Roman" w:eastAsia="Times New Roman" w:hAnsi="Times New Roman" w:cs="Times New Roman"/>
          <w:sz w:val="24"/>
          <w:szCs w:val="24"/>
          <w:lang w:eastAsia="en-AU"/>
        </w:rPr>
        <w:t xml:space="preserve">The third possible source of the imposition of the duty of ordinary care arises where a party voluntarily assumes that duty. </w:t>
      </w:r>
      <w:r w:rsidRPr="00052332">
        <w:rPr>
          <w:rFonts w:ascii="Times New Roman" w:eastAsia="Times New Roman" w:hAnsi="Times New Roman" w:cs="Times New Roman"/>
          <w:sz w:val="24"/>
          <w:szCs w:val="24"/>
          <w:highlight w:val="green"/>
          <w:lang w:eastAsia="en-AU"/>
        </w:rPr>
        <w:t>Even if the bylaws do not contractually bind Pier West POA to use ordinary care to repair and maintain the common areas, Pier West POA could be charged with the duty of ordinary care if it voluntarily assumed that responsibility</w:t>
      </w:r>
      <w:r w:rsidRPr="00694528">
        <w:rPr>
          <w:rFonts w:ascii="Times New Roman" w:eastAsia="Times New Roman" w:hAnsi="Times New Roman" w:cs="Times New Roman"/>
          <w:sz w:val="24"/>
          <w:szCs w:val="24"/>
          <w:lang w:eastAsia="en-AU"/>
        </w:rPr>
        <w:t xml:space="preserve">. As held in </w:t>
      </w:r>
      <w:r w:rsidRPr="00952B83">
        <w:rPr>
          <w:rFonts w:ascii="Times New Roman" w:eastAsia="Times New Roman" w:hAnsi="Times New Roman" w:cs="Times New Roman"/>
          <w:i/>
          <w:iCs/>
          <w:sz w:val="24"/>
          <w:szCs w:val="24"/>
          <w:highlight w:val="cyan"/>
          <w:lang w:eastAsia="en-AU"/>
        </w:rPr>
        <w:t xml:space="preserve">Chatman v. Millis, </w:t>
      </w:r>
      <w:r w:rsidRPr="00952B83">
        <w:rPr>
          <w:rFonts w:ascii="Times New Roman" w:eastAsia="Times New Roman" w:hAnsi="Times New Roman" w:cs="Times New Roman"/>
          <w:color w:val="0000FF"/>
          <w:sz w:val="24"/>
          <w:szCs w:val="24"/>
          <w:highlight w:val="cyan"/>
          <w:u w:val="single"/>
          <w:lang w:eastAsia="en-AU"/>
        </w:rPr>
        <w:t>257 Ark. 451</w:t>
      </w:r>
      <w:r w:rsidRPr="00952B83">
        <w:rPr>
          <w:rFonts w:ascii="Times New Roman" w:eastAsia="Times New Roman" w:hAnsi="Times New Roman" w:cs="Times New Roman"/>
          <w:sz w:val="24"/>
          <w:szCs w:val="24"/>
          <w:highlight w:val="cyan"/>
          <w:lang w:eastAsia="en-AU"/>
        </w:rPr>
        <w:t xml:space="preserve">, 464, </w:t>
      </w:r>
      <w:r w:rsidRPr="00952B83">
        <w:rPr>
          <w:rFonts w:ascii="Times New Roman" w:eastAsia="Times New Roman" w:hAnsi="Times New Roman" w:cs="Times New Roman"/>
          <w:color w:val="0000FF"/>
          <w:sz w:val="24"/>
          <w:szCs w:val="24"/>
          <w:highlight w:val="cyan"/>
          <w:u w:val="single"/>
          <w:lang w:eastAsia="en-AU"/>
        </w:rPr>
        <w:t>517 S.W.2d 504</w:t>
      </w:r>
      <w:r w:rsidRPr="00952B83">
        <w:rPr>
          <w:rFonts w:ascii="Times New Roman" w:eastAsia="Times New Roman" w:hAnsi="Times New Roman" w:cs="Times New Roman"/>
          <w:sz w:val="24"/>
          <w:szCs w:val="24"/>
          <w:highlight w:val="cyan"/>
          <w:lang w:eastAsia="en-AU"/>
        </w:rPr>
        <w:t>, 512 (1975),</w:t>
      </w:r>
      <w:r w:rsidRPr="00694528">
        <w:rPr>
          <w:rFonts w:ascii="Times New Roman" w:eastAsia="Times New Roman" w:hAnsi="Times New Roman" w:cs="Times New Roman"/>
          <w:sz w:val="24"/>
          <w:szCs w:val="24"/>
          <w:lang w:eastAsia="en-AU"/>
        </w:rPr>
        <w:t xml:space="preserve"> “It is ancient learning that one who assumes to act, even though gratuitously, may thereby become subject to the duty of acting carefully, if he acts at all.” </w:t>
      </w:r>
      <w:r w:rsidRPr="00694528">
        <w:rPr>
          <w:rFonts w:ascii="Times New Roman" w:eastAsia="Times New Roman" w:hAnsi="Times New Roman" w:cs="Times New Roman"/>
          <w:i/>
          <w:iCs/>
          <w:sz w:val="24"/>
          <w:szCs w:val="24"/>
          <w:lang w:eastAsia="en-AU"/>
        </w:rPr>
        <w:t xml:space="preserve">See also Yanmar, </w:t>
      </w:r>
      <w:r w:rsidRPr="00694528">
        <w:rPr>
          <w:rFonts w:ascii="Times New Roman" w:eastAsia="Times New Roman" w:hAnsi="Times New Roman" w:cs="Times New Roman"/>
          <w:color w:val="0000FF"/>
          <w:sz w:val="24"/>
          <w:szCs w:val="24"/>
          <w:u w:val="single"/>
          <w:lang w:eastAsia="en-AU"/>
        </w:rPr>
        <w:t>*300</w:t>
      </w:r>
      <w:r w:rsidRPr="00694528">
        <w:rPr>
          <w:rFonts w:ascii="Times New Roman" w:eastAsia="Times New Roman" w:hAnsi="Times New Roman" w:cs="Times New Roman"/>
          <w:sz w:val="24"/>
          <w:szCs w:val="24"/>
          <w:lang w:eastAsia="en-AU"/>
        </w:rPr>
        <w:t xml:space="preserve"> </w:t>
      </w:r>
      <w:r w:rsidRPr="00694528">
        <w:rPr>
          <w:rFonts w:ascii="Times New Roman" w:eastAsia="Times New Roman" w:hAnsi="Times New Roman" w:cs="Times New Roman"/>
          <w:i/>
          <w:iCs/>
          <w:sz w:val="24"/>
          <w:szCs w:val="24"/>
          <w:lang w:eastAsia="en-AU"/>
        </w:rPr>
        <w:t xml:space="preserve">supra; </w:t>
      </w:r>
      <w:r w:rsidRPr="00952B83">
        <w:rPr>
          <w:rFonts w:ascii="Times New Roman" w:eastAsia="Times New Roman" w:hAnsi="Times New Roman" w:cs="Times New Roman"/>
          <w:i/>
          <w:iCs/>
          <w:sz w:val="24"/>
          <w:szCs w:val="24"/>
          <w:highlight w:val="cyan"/>
          <w:lang w:eastAsia="en-AU"/>
        </w:rPr>
        <w:t xml:space="preserve">Haralson v. Jones Truck Line, </w:t>
      </w:r>
      <w:r w:rsidRPr="00952B83">
        <w:rPr>
          <w:rFonts w:ascii="Times New Roman" w:eastAsia="Times New Roman" w:hAnsi="Times New Roman" w:cs="Times New Roman"/>
          <w:color w:val="0000FF"/>
          <w:sz w:val="24"/>
          <w:szCs w:val="24"/>
          <w:highlight w:val="cyan"/>
          <w:u w:val="single"/>
          <w:lang w:eastAsia="en-AU"/>
        </w:rPr>
        <w:t>223 Ark. 813</w:t>
      </w:r>
      <w:r w:rsidRPr="00952B83">
        <w:rPr>
          <w:rFonts w:ascii="Times New Roman" w:eastAsia="Times New Roman" w:hAnsi="Times New Roman" w:cs="Times New Roman"/>
          <w:sz w:val="24"/>
          <w:szCs w:val="24"/>
          <w:highlight w:val="cyan"/>
          <w:lang w:eastAsia="en-AU"/>
        </w:rPr>
        <w:t xml:space="preserve">, </w:t>
      </w:r>
      <w:r w:rsidRPr="00952B83">
        <w:rPr>
          <w:rFonts w:ascii="Times New Roman" w:eastAsia="Times New Roman" w:hAnsi="Times New Roman" w:cs="Times New Roman"/>
          <w:color w:val="0000FF"/>
          <w:sz w:val="24"/>
          <w:szCs w:val="24"/>
          <w:highlight w:val="cyan"/>
          <w:u w:val="single"/>
          <w:lang w:eastAsia="en-AU"/>
        </w:rPr>
        <w:t>270 S.W.2d 892</w:t>
      </w:r>
      <w:r w:rsidRPr="00952B83">
        <w:rPr>
          <w:rFonts w:ascii="Times New Roman" w:eastAsia="Times New Roman" w:hAnsi="Times New Roman" w:cs="Times New Roman"/>
          <w:sz w:val="24"/>
          <w:szCs w:val="24"/>
          <w:highlight w:val="cyan"/>
          <w:lang w:eastAsia="en-AU"/>
        </w:rPr>
        <w:t xml:space="preserve"> (1954)</w:t>
      </w:r>
      <w:r w:rsidRPr="00694528">
        <w:rPr>
          <w:rFonts w:ascii="Times New Roman" w:eastAsia="Times New Roman" w:hAnsi="Times New Roman" w:cs="Times New Roman"/>
          <w:sz w:val="24"/>
          <w:szCs w:val="24"/>
          <w:lang w:eastAsia="en-AU"/>
        </w:rPr>
        <w:t xml:space="preserve">. Thus, even where no duty arises, if a person undertakes to act, they must do so carefully or they may be liable for negligence. </w:t>
      </w:r>
      <w:r w:rsidRPr="00694528">
        <w:rPr>
          <w:rFonts w:ascii="Times New Roman" w:eastAsia="Times New Roman" w:hAnsi="Times New Roman" w:cs="Times New Roman"/>
          <w:i/>
          <w:iCs/>
          <w:sz w:val="24"/>
          <w:szCs w:val="24"/>
          <w:lang w:eastAsia="en-AU"/>
        </w:rPr>
        <w:t xml:space="preserve">Thomas v. \ ¿Stewart, </w:t>
      </w:r>
      <w:r w:rsidRPr="00694528">
        <w:rPr>
          <w:rFonts w:ascii="Times New Roman" w:eastAsia="Times New Roman" w:hAnsi="Times New Roman" w:cs="Times New Roman"/>
          <w:color w:val="0000FF"/>
          <w:sz w:val="24"/>
          <w:szCs w:val="24"/>
          <w:u w:val="single"/>
          <w:lang w:eastAsia="en-AU"/>
        </w:rPr>
        <w:t>347 Ark. 33</w:t>
      </w:r>
      <w:r w:rsidRPr="00694528">
        <w:rPr>
          <w:rFonts w:ascii="Times New Roman" w:eastAsia="Times New Roman" w:hAnsi="Times New Roman" w:cs="Times New Roman"/>
          <w:sz w:val="24"/>
          <w:szCs w:val="24"/>
          <w:lang w:eastAsia="en-AU"/>
        </w:rPr>
        <w:t xml:space="preserve">, </w:t>
      </w:r>
      <w:r w:rsidRPr="00694528">
        <w:rPr>
          <w:rFonts w:ascii="Times New Roman" w:eastAsia="Times New Roman" w:hAnsi="Times New Roman" w:cs="Times New Roman"/>
          <w:color w:val="0000FF"/>
          <w:sz w:val="24"/>
          <w:szCs w:val="24"/>
          <w:u w:val="single"/>
          <w:lang w:eastAsia="en-AU"/>
        </w:rPr>
        <w:t>60 S.W.3d 415</w:t>
      </w:r>
      <w:r w:rsidRPr="00694528">
        <w:rPr>
          <w:rFonts w:ascii="Times New Roman" w:eastAsia="Times New Roman" w:hAnsi="Times New Roman" w:cs="Times New Roman"/>
          <w:sz w:val="24"/>
          <w:szCs w:val="24"/>
          <w:lang w:eastAsia="en-AU"/>
        </w:rPr>
        <w:t xml:space="preserve"> (2001); </w:t>
      </w:r>
      <w:r w:rsidRPr="00694528">
        <w:rPr>
          <w:rFonts w:ascii="Times New Roman" w:eastAsia="Times New Roman" w:hAnsi="Times New Roman" w:cs="Times New Roman"/>
          <w:i/>
          <w:iCs/>
          <w:sz w:val="24"/>
          <w:szCs w:val="24"/>
          <w:lang w:eastAsia="en-AU"/>
        </w:rPr>
        <w:t xml:space="preserve">Steward v. McDonald, supra; Keck v. Am. Emp’t Agency, Inc., </w:t>
      </w:r>
      <w:r w:rsidRPr="00694528">
        <w:rPr>
          <w:rFonts w:ascii="Times New Roman" w:eastAsia="Times New Roman" w:hAnsi="Times New Roman" w:cs="Times New Roman"/>
          <w:color w:val="0000FF"/>
          <w:sz w:val="24"/>
          <w:szCs w:val="24"/>
          <w:u w:val="single"/>
          <w:lang w:eastAsia="en-AU"/>
        </w:rPr>
        <w:t>279 Ark. 294</w:t>
      </w:r>
      <w:r w:rsidRPr="00694528">
        <w:rPr>
          <w:rFonts w:ascii="Times New Roman" w:eastAsia="Times New Roman" w:hAnsi="Times New Roman" w:cs="Times New Roman"/>
          <w:sz w:val="24"/>
          <w:szCs w:val="24"/>
          <w:lang w:eastAsia="en-AU"/>
        </w:rPr>
        <w:t xml:space="preserve">, </w:t>
      </w:r>
      <w:r w:rsidRPr="00694528">
        <w:rPr>
          <w:rFonts w:ascii="Times New Roman" w:eastAsia="Times New Roman" w:hAnsi="Times New Roman" w:cs="Times New Roman"/>
          <w:color w:val="0000FF"/>
          <w:sz w:val="24"/>
          <w:szCs w:val="24"/>
          <w:u w:val="single"/>
          <w:lang w:eastAsia="en-AU"/>
        </w:rPr>
        <w:t>652 S.W.2d 2</w:t>
      </w:r>
      <w:r w:rsidRPr="00694528">
        <w:rPr>
          <w:rFonts w:ascii="Times New Roman" w:eastAsia="Times New Roman" w:hAnsi="Times New Roman" w:cs="Times New Roman"/>
          <w:sz w:val="24"/>
          <w:szCs w:val="24"/>
          <w:lang w:eastAsia="en-AU"/>
        </w:rPr>
        <w:t xml:space="preserve"> (1983). Like in </w:t>
      </w:r>
      <w:r w:rsidRPr="00694528">
        <w:rPr>
          <w:rFonts w:ascii="Times New Roman" w:eastAsia="Times New Roman" w:hAnsi="Times New Roman" w:cs="Times New Roman"/>
          <w:i/>
          <w:iCs/>
          <w:sz w:val="24"/>
          <w:szCs w:val="24"/>
          <w:lang w:eastAsia="en-AU"/>
        </w:rPr>
        <w:t xml:space="preserve">Wilson v. Bebsamen Ins., Inc., </w:t>
      </w:r>
      <w:r w:rsidRPr="00694528">
        <w:rPr>
          <w:rFonts w:ascii="Times New Roman" w:eastAsia="Times New Roman" w:hAnsi="Times New Roman" w:cs="Times New Roman"/>
          <w:color w:val="0000FF"/>
          <w:sz w:val="24"/>
          <w:szCs w:val="24"/>
          <w:u w:val="single"/>
          <w:lang w:eastAsia="en-AU"/>
        </w:rPr>
        <w:t>330 Ark. 687</w:t>
      </w:r>
      <w:r w:rsidRPr="00694528">
        <w:rPr>
          <w:rFonts w:ascii="Times New Roman" w:eastAsia="Times New Roman" w:hAnsi="Times New Roman" w:cs="Times New Roman"/>
          <w:sz w:val="24"/>
          <w:szCs w:val="24"/>
          <w:lang w:eastAsia="en-AU"/>
        </w:rPr>
        <w:t xml:space="preserve">, </w:t>
      </w:r>
      <w:r w:rsidRPr="00694528">
        <w:rPr>
          <w:rFonts w:ascii="Times New Roman" w:eastAsia="Times New Roman" w:hAnsi="Times New Roman" w:cs="Times New Roman"/>
          <w:color w:val="0000FF"/>
          <w:sz w:val="24"/>
          <w:szCs w:val="24"/>
          <w:u w:val="single"/>
          <w:lang w:eastAsia="en-AU"/>
        </w:rPr>
        <w:t>957 S.W.2d 678</w:t>
      </w:r>
      <w:r w:rsidRPr="00694528">
        <w:rPr>
          <w:rFonts w:ascii="Times New Roman" w:eastAsia="Times New Roman" w:hAnsi="Times New Roman" w:cs="Times New Roman"/>
          <w:sz w:val="24"/>
          <w:szCs w:val="24"/>
          <w:lang w:eastAsia="en-AU"/>
        </w:rPr>
        <w:t xml:space="preserve"> (1997), here we have a situation where the degree of the undertaking defines the scope of the duty of care owed to the third party.</w:t>
      </w:r>
    </w:p>
    <w:p w14:paraId="35AEEBF5" w14:textId="516FBE23" w:rsidR="00694528" w:rsidRPr="00694528" w:rsidRDefault="00694528" w:rsidP="0069452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94528">
        <w:rPr>
          <w:rFonts w:ascii="Times New Roman" w:eastAsia="Times New Roman" w:hAnsi="Times New Roman" w:cs="Times New Roman"/>
          <w:sz w:val="24"/>
          <w:szCs w:val="24"/>
          <w:lang w:eastAsia="en-AU"/>
        </w:rPr>
        <w:t xml:space="preserve">We examine in more detail the facts presented to the trial court. </w:t>
      </w:r>
      <w:r w:rsidRPr="00996799">
        <w:rPr>
          <w:rFonts w:ascii="Times New Roman" w:eastAsia="Times New Roman" w:hAnsi="Times New Roman" w:cs="Times New Roman"/>
          <w:sz w:val="24"/>
          <w:szCs w:val="24"/>
          <w:highlight w:val="yellow"/>
          <w:lang w:eastAsia="en-AU"/>
        </w:rPr>
        <w:t xml:space="preserve">Pier West Condominiums is comprised of several buildings with individual residential condominium units in each building. In the building designated as Unit D, there were six condominium units, three upstairs and three downstairs. Scattered among the condominium buildings are common areas or common elements such as corridors, stairways, entry/exit ways, and structural components. </w:t>
      </w:r>
      <w:r w:rsidRPr="00996799">
        <w:rPr>
          <w:rFonts w:ascii="Times New Roman" w:eastAsia="Times New Roman" w:hAnsi="Times New Roman" w:cs="Times New Roman"/>
          <w:sz w:val="24"/>
          <w:szCs w:val="24"/>
          <w:lang w:eastAsia="en-AU"/>
        </w:rPr>
        <w:t xml:space="preserve">Pier West POA admitted in its answer to the Second Amended Complaint that </w:t>
      </w:r>
      <w:r w:rsidRPr="00996799">
        <w:rPr>
          <w:rFonts w:ascii="Times New Roman" w:eastAsia="Times New Roman" w:hAnsi="Times New Roman" w:cs="Times New Roman"/>
          <w:sz w:val="24"/>
          <w:szCs w:val="24"/>
          <w:highlight w:val="yellow"/>
          <w:lang w:eastAsia="en-AU"/>
        </w:rPr>
        <w:t>the balcony to Unit D-4 from which Lloyd fell was a common area.</w:t>
      </w:r>
      <w:r w:rsidRPr="00694528">
        <w:rPr>
          <w:rFonts w:ascii="Times New Roman" w:eastAsia="Times New Roman" w:hAnsi="Times New Roman" w:cs="Times New Roman"/>
          <w:color w:val="0000FF"/>
          <w:sz w:val="24"/>
          <w:szCs w:val="24"/>
          <w:u w:val="single"/>
          <w:lang w:eastAsia="en-AU"/>
        </w:rPr>
        <w:t>3</w:t>
      </w:r>
      <w:r w:rsidRPr="00694528">
        <w:rPr>
          <w:rFonts w:ascii="Times New Roman" w:eastAsia="Times New Roman" w:hAnsi="Times New Roman" w:cs="Times New Roman"/>
          <w:sz w:val="24"/>
          <w:szCs w:val="24"/>
          <w:lang w:eastAsia="en-AU"/>
        </w:rPr>
        <w:t xml:space="preserve"> </w:t>
      </w:r>
      <w:r w:rsidRPr="00996799">
        <w:rPr>
          <w:rFonts w:ascii="Times New Roman" w:eastAsia="Times New Roman" w:hAnsi="Times New Roman" w:cs="Times New Roman"/>
          <w:sz w:val="24"/>
          <w:szCs w:val="24"/>
          <w:highlight w:val="yellow"/>
          <w:lang w:eastAsia="en-AU"/>
        </w:rPr>
        <w:t>Pier West POA’s individual condominium unit owners are all members of the property owners association and fractional owners of the common areas. Monthly dues are collected from each unit owner for the purposes of upkeep and maintenance, and the bylaws provide that the unit owners may be assessed for the costs of maintenance.</w:t>
      </w:r>
    </w:p>
    <w:p w14:paraId="129EF923" w14:textId="77777777" w:rsidR="00694528" w:rsidRPr="00694528" w:rsidRDefault="00694528" w:rsidP="0069452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43AF">
        <w:rPr>
          <w:rFonts w:ascii="Times New Roman" w:eastAsia="Times New Roman" w:hAnsi="Times New Roman" w:cs="Times New Roman"/>
          <w:sz w:val="24"/>
          <w:szCs w:val="24"/>
          <w:highlight w:val="yellow"/>
          <w:lang w:eastAsia="en-AU"/>
        </w:rPr>
        <w:t>The bylaws of Pier West POA go into great detail to separate the ownership and use of the common areas from that of the individual condominium units and to separate the responsibilities and obligations regarding the common areas from that of individual condominium units.</w:t>
      </w:r>
    </w:p>
    <w:p w14:paraId="77C8731A" w14:textId="77777777" w:rsidR="00694528" w:rsidRPr="005043AF" w:rsidRDefault="00694528" w:rsidP="00694528">
      <w:pPr>
        <w:spacing w:after="100" w:line="240" w:lineRule="auto"/>
        <w:jc w:val="left"/>
        <w:rPr>
          <w:rFonts w:ascii="Times New Roman" w:eastAsia="Times New Roman" w:hAnsi="Times New Roman" w:cs="Times New Roman"/>
          <w:sz w:val="24"/>
          <w:szCs w:val="24"/>
          <w:highlight w:val="yellow"/>
          <w:lang w:eastAsia="en-AU"/>
        </w:rPr>
      </w:pPr>
      <w:r w:rsidRPr="005043AF">
        <w:rPr>
          <w:rFonts w:ascii="Times New Roman" w:eastAsia="Times New Roman" w:hAnsi="Times New Roman" w:cs="Times New Roman"/>
          <w:sz w:val="24"/>
          <w:szCs w:val="24"/>
          <w:highlight w:val="yellow"/>
          <w:lang w:eastAsia="en-AU"/>
        </w:rPr>
        <w:t>|in* Article VI provides that a unit owner shall have the exclusive ownership of his unit and shall have a common right to share, with the other co-owners, in the common elements of the property.</w:t>
      </w:r>
    </w:p>
    <w:p w14:paraId="5FF49FE8" w14:textId="77777777" w:rsidR="00694528" w:rsidRPr="005043AF" w:rsidRDefault="00694528" w:rsidP="00694528">
      <w:pPr>
        <w:spacing w:after="100" w:line="240" w:lineRule="auto"/>
        <w:jc w:val="left"/>
        <w:rPr>
          <w:rFonts w:ascii="Times New Roman" w:eastAsia="Times New Roman" w:hAnsi="Times New Roman" w:cs="Times New Roman"/>
          <w:sz w:val="24"/>
          <w:szCs w:val="24"/>
          <w:highlight w:val="yellow"/>
          <w:lang w:eastAsia="en-AU"/>
        </w:rPr>
      </w:pPr>
      <w:r w:rsidRPr="005043AF">
        <w:rPr>
          <w:rFonts w:ascii="Times New Roman" w:eastAsia="Times New Roman" w:hAnsi="Times New Roman" w:cs="Times New Roman"/>
          <w:sz w:val="24"/>
          <w:szCs w:val="24"/>
          <w:highlight w:val="yellow"/>
          <w:lang w:eastAsia="en-AU"/>
        </w:rPr>
        <w:t>• Article VII provides that the common elements shall remain undivided and shall not be the object of a partition action.</w:t>
      </w:r>
    </w:p>
    <w:p w14:paraId="46A78409" w14:textId="77777777" w:rsidR="00694528" w:rsidRPr="005043AF" w:rsidRDefault="00694528" w:rsidP="00694528">
      <w:pPr>
        <w:spacing w:after="100" w:line="240" w:lineRule="auto"/>
        <w:jc w:val="left"/>
        <w:rPr>
          <w:rFonts w:ascii="Times New Roman" w:eastAsia="Times New Roman" w:hAnsi="Times New Roman" w:cs="Times New Roman"/>
          <w:sz w:val="24"/>
          <w:szCs w:val="24"/>
          <w:highlight w:val="yellow"/>
          <w:lang w:eastAsia="en-AU"/>
        </w:rPr>
      </w:pPr>
      <w:r w:rsidRPr="005043AF">
        <w:rPr>
          <w:rFonts w:ascii="Times New Roman" w:eastAsia="Times New Roman" w:hAnsi="Times New Roman" w:cs="Times New Roman"/>
          <w:sz w:val="24"/>
          <w:szCs w:val="24"/>
          <w:highlight w:val="yellow"/>
          <w:lang w:eastAsia="en-AU"/>
        </w:rPr>
        <w:t>• Article VIII provides that each co-owner may use the common elements if they do not hinder or encroach upon the lawful rights of other co-owners.</w:t>
      </w:r>
    </w:p>
    <w:p w14:paraId="238137AB" w14:textId="77777777" w:rsidR="00694528" w:rsidRPr="005043AF" w:rsidRDefault="00694528" w:rsidP="00694528">
      <w:pPr>
        <w:spacing w:after="100" w:line="240" w:lineRule="auto"/>
        <w:jc w:val="left"/>
        <w:rPr>
          <w:rFonts w:ascii="Times New Roman" w:eastAsia="Times New Roman" w:hAnsi="Times New Roman" w:cs="Times New Roman"/>
          <w:sz w:val="24"/>
          <w:szCs w:val="24"/>
          <w:highlight w:val="yellow"/>
          <w:lang w:eastAsia="en-AU"/>
        </w:rPr>
      </w:pPr>
      <w:r w:rsidRPr="005043AF">
        <w:rPr>
          <w:rFonts w:ascii="Times New Roman" w:eastAsia="Times New Roman" w:hAnsi="Times New Roman" w:cs="Times New Roman"/>
          <w:sz w:val="24"/>
          <w:szCs w:val="24"/>
          <w:highlight w:val="yellow"/>
          <w:lang w:eastAsia="en-AU"/>
        </w:rPr>
        <w:t xml:space="preserve">• Article XXI, section 7 provides that the Board of Administration of the POA has the </w:t>
      </w:r>
      <w:r w:rsidRPr="005043AF">
        <w:rPr>
          <w:rFonts w:ascii="Times New Roman" w:eastAsia="Times New Roman" w:hAnsi="Times New Roman" w:cs="Times New Roman"/>
          <w:i/>
          <w:iCs/>
          <w:sz w:val="24"/>
          <w:szCs w:val="24"/>
          <w:highlight w:val="yellow"/>
          <w:lang w:eastAsia="en-AU"/>
        </w:rPr>
        <w:t>exclusive right and duty to repair and provide maintenance of the common areas.</w:t>
      </w:r>
      <w:r w:rsidRPr="005043AF">
        <w:rPr>
          <w:rFonts w:ascii="Times New Roman" w:eastAsia="Times New Roman" w:hAnsi="Times New Roman" w:cs="Times New Roman"/>
          <w:sz w:val="24"/>
          <w:szCs w:val="24"/>
          <w:highlight w:val="yellow"/>
          <w:lang w:eastAsia="en-AU"/>
        </w:rPr>
        <w:t xml:space="preserve"> </w:t>
      </w:r>
    </w:p>
    <w:p w14:paraId="2F417244" w14:textId="77777777" w:rsidR="00694528" w:rsidRPr="005043AF" w:rsidRDefault="00694528" w:rsidP="00694528">
      <w:pPr>
        <w:spacing w:after="100" w:line="240" w:lineRule="auto"/>
        <w:jc w:val="left"/>
        <w:rPr>
          <w:rFonts w:ascii="Times New Roman" w:eastAsia="Times New Roman" w:hAnsi="Times New Roman" w:cs="Times New Roman"/>
          <w:sz w:val="24"/>
          <w:szCs w:val="24"/>
          <w:highlight w:val="yellow"/>
          <w:lang w:eastAsia="en-AU"/>
        </w:rPr>
      </w:pPr>
      <w:r w:rsidRPr="005043AF">
        <w:rPr>
          <w:rFonts w:ascii="Times New Roman" w:eastAsia="Times New Roman" w:hAnsi="Times New Roman" w:cs="Times New Roman"/>
          <w:sz w:val="24"/>
          <w:szCs w:val="24"/>
          <w:highlight w:val="yellow"/>
          <w:lang w:eastAsia="en-AU"/>
        </w:rPr>
        <w:t>• Article XXI, section 8 provides that if the Board of Administration is required to secure or pay for maintenance or repairs of the common areas, the Board has the right to assess those costs to the owners of the units.</w:t>
      </w:r>
    </w:p>
    <w:p w14:paraId="7CC957B1" w14:textId="77777777" w:rsidR="00694528" w:rsidRPr="005043AF" w:rsidRDefault="00694528" w:rsidP="00694528">
      <w:pPr>
        <w:spacing w:after="100" w:line="240" w:lineRule="auto"/>
        <w:jc w:val="left"/>
        <w:rPr>
          <w:rFonts w:ascii="Times New Roman" w:eastAsia="Times New Roman" w:hAnsi="Times New Roman" w:cs="Times New Roman"/>
          <w:sz w:val="24"/>
          <w:szCs w:val="24"/>
          <w:highlight w:val="yellow"/>
          <w:lang w:eastAsia="en-AU"/>
        </w:rPr>
      </w:pPr>
      <w:r w:rsidRPr="005043AF">
        <w:rPr>
          <w:rFonts w:ascii="Times New Roman" w:eastAsia="Times New Roman" w:hAnsi="Times New Roman" w:cs="Times New Roman"/>
          <w:sz w:val="24"/>
          <w:szCs w:val="24"/>
          <w:highlight w:val="yellow"/>
          <w:lang w:eastAsia="en-AU"/>
        </w:rPr>
        <w:t>• Article XXXI, section 2 provides that there shall be no obstruction in the common areas and nothing shall be stored in the common areas without prior consent of the Board of Administration.</w:t>
      </w:r>
    </w:p>
    <w:p w14:paraId="53361BF5" w14:textId="77777777" w:rsidR="00694528" w:rsidRPr="005043AF" w:rsidRDefault="00694528" w:rsidP="00694528">
      <w:pPr>
        <w:spacing w:after="100" w:line="240" w:lineRule="auto"/>
        <w:jc w:val="left"/>
        <w:rPr>
          <w:rFonts w:ascii="Times New Roman" w:eastAsia="Times New Roman" w:hAnsi="Times New Roman" w:cs="Times New Roman"/>
          <w:sz w:val="24"/>
          <w:szCs w:val="24"/>
          <w:highlight w:val="yellow"/>
          <w:lang w:eastAsia="en-AU"/>
        </w:rPr>
      </w:pPr>
      <w:r w:rsidRPr="005043AF">
        <w:rPr>
          <w:rFonts w:ascii="Times New Roman" w:eastAsia="Times New Roman" w:hAnsi="Times New Roman" w:cs="Times New Roman"/>
          <w:sz w:val="24"/>
          <w:szCs w:val="24"/>
          <w:highlight w:val="yellow"/>
          <w:lang w:eastAsia="en-AU"/>
        </w:rPr>
        <w:t>• Article XXXI, section 3 provides that nothing shall be done in any common area that would increase the rate of insurance for the common area and that no waste will be committed in the common area.</w:t>
      </w:r>
    </w:p>
    <w:p w14:paraId="5DDB6D2E" w14:textId="77777777" w:rsidR="00694528" w:rsidRPr="005043AF" w:rsidRDefault="00694528" w:rsidP="00694528">
      <w:pPr>
        <w:spacing w:after="100" w:line="240" w:lineRule="auto"/>
        <w:jc w:val="left"/>
        <w:rPr>
          <w:rFonts w:ascii="Times New Roman" w:eastAsia="Times New Roman" w:hAnsi="Times New Roman" w:cs="Times New Roman"/>
          <w:sz w:val="24"/>
          <w:szCs w:val="24"/>
          <w:highlight w:val="yellow"/>
          <w:lang w:eastAsia="en-AU"/>
        </w:rPr>
      </w:pPr>
      <w:r w:rsidRPr="005043AF">
        <w:rPr>
          <w:rFonts w:ascii="Times New Roman" w:eastAsia="Times New Roman" w:hAnsi="Times New Roman" w:cs="Times New Roman"/>
          <w:sz w:val="24"/>
          <w:szCs w:val="24"/>
          <w:highlight w:val="yellow"/>
          <w:lang w:eastAsia="en-AU"/>
        </w:rPr>
        <w:t>• Article XXXI, section 7 provides that nothing shall be altered or constructed in or removed from a common area, except by written consent of the Board of Administration; and finally,</w:t>
      </w:r>
    </w:p>
    <w:p w14:paraId="45F85C1F" w14:textId="386748E9" w:rsidR="00694528" w:rsidRPr="00694528" w:rsidRDefault="00694528" w:rsidP="00694528">
      <w:pPr>
        <w:spacing w:after="100" w:line="240" w:lineRule="auto"/>
        <w:jc w:val="left"/>
        <w:rPr>
          <w:rFonts w:ascii="Times New Roman" w:eastAsia="Times New Roman" w:hAnsi="Times New Roman" w:cs="Times New Roman"/>
          <w:sz w:val="24"/>
          <w:szCs w:val="24"/>
          <w:lang w:eastAsia="en-AU"/>
        </w:rPr>
      </w:pPr>
      <w:r w:rsidRPr="005043AF">
        <w:rPr>
          <w:rFonts w:ascii="Times New Roman" w:eastAsia="Times New Roman" w:hAnsi="Times New Roman" w:cs="Times New Roman"/>
          <w:color w:val="0000FF"/>
          <w:sz w:val="24"/>
          <w:szCs w:val="24"/>
          <w:highlight w:val="yellow"/>
          <w:u w:val="single"/>
          <w:lang w:eastAsia="en-AU"/>
        </w:rPr>
        <w:t>*301</w:t>
      </w:r>
      <w:r w:rsidRPr="005043AF">
        <w:rPr>
          <w:rFonts w:ascii="Times New Roman" w:eastAsia="Times New Roman" w:hAnsi="Times New Roman" w:cs="Times New Roman"/>
          <w:sz w:val="24"/>
          <w:szCs w:val="24"/>
          <w:highlight w:val="yellow"/>
          <w:lang w:eastAsia="en-AU"/>
        </w:rPr>
        <w:t>• Article XXXII provides that the Board of Administration may enter any unit when necessary in connection with the maintenance for which the Board of Administration is responsible.</w:t>
      </w:r>
    </w:p>
    <w:p w14:paraId="63F2E601" w14:textId="77777777" w:rsidR="00694528" w:rsidRPr="00694528" w:rsidRDefault="00694528" w:rsidP="0069452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D1792">
        <w:rPr>
          <w:rFonts w:ascii="Times New Roman" w:eastAsia="Times New Roman" w:hAnsi="Times New Roman" w:cs="Times New Roman"/>
          <w:sz w:val="24"/>
          <w:szCs w:val="24"/>
          <w:highlight w:val="yellow"/>
          <w:lang w:eastAsia="en-AU"/>
        </w:rPr>
        <w:t>In addition to distinguishing the rights and duties of the unit owners vis-a-vis Pier West POA regarding the common areas, the bylaws also require Pier West POA to provide insurance for the common areas. Article XXI requires in section 3 that an insurance policy must be acquired to insure the board of administration and the unit owners against any liability.</w:t>
      </w:r>
    </w:p>
    <w:p w14:paraId="786E9EE8" w14:textId="77777777" w:rsidR="00694528" w:rsidRPr="00AD1792" w:rsidRDefault="00694528" w:rsidP="00694528">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AD1792">
        <w:rPr>
          <w:rFonts w:ascii="Times New Roman" w:eastAsia="Times New Roman" w:hAnsi="Times New Roman" w:cs="Times New Roman"/>
          <w:sz w:val="24"/>
          <w:szCs w:val="24"/>
          <w:highlight w:val="yellow"/>
          <w:lang w:eastAsia="en-AU"/>
        </w:rPr>
        <w:t>To determine which maintenance or repairs should be performed at the condominiums, Pier West POA routinely (typically quarterly) conducted meetings for that purpose, as this authority is not vested in the individual unit owners. The minutes of these meetings were recorded. There was a history of repairs and maintenance to the buildings and common areas, including Unit D. The records indicate that between 2005-2012, Pier West |nPOA had discussed, authorized, or had performed the following repairs or maintenance to Unit D and nearby common areas including, but not limited to:</w:t>
      </w:r>
    </w:p>
    <w:p w14:paraId="46D335B9" w14:textId="77777777" w:rsidR="00694528" w:rsidRPr="00AD1792" w:rsidRDefault="00694528" w:rsidP="00694528">
      <w:pPr>
        <w:spacing w:after="100" w:line="240" w:lineRule="auto"/>
        <w:jc w:val="left"/>
        <w:rPr>
          <w:rFonts w:ascii="Times New Roman" w:eastAsia="Times New Roman" w:hAnsi="Times New Roman" w:cs="Times New Roman"/>
          <w:sz w:val="24"/>
          <w:szCs w:val="24"/>
          <w:highlight w:val="yellow"/>
          <w:lang w:eastAsia="en-AU"/>
        </w:rPr>
      </w:pPr>
      <w:r w:rsidRPr="00AD1792">
        <w:rPr>
          <w:rFonts w:ascii="Times New Roman" w:eastAsia="Times New Roman" w:hAnsi="Times New Roman" w:cs="Times New Roman"/>
          <w:sz w:val="24"/>
          <w:szCs w:val="24"/>
          <w:highlight w:val="yellow"/>
          <w:lang w:eastAsia="en-AU"/>
        </w:rPr>
        <w:t>• replacement and repaint of wood, including exterior decking;</w:t>
      </w:r>
    </w:p>
    <w:p w14:paraId="2FC0D565" w14:textId="77777777" w:rsidR="00694528" w:rsidRPr="00AD1792" w:rsidRDefault="00694528" w:rsidP="00694528">
      <w:pPr>
        <w:spacing w:after="100" w:line="240" w:lineRule="auto"/>
        <w:jc w:val="left"/>
        <w:rPr>
          <w:rFonts w:ascii="Times New Roman" w:eastAsia="Times New Roman" w:hAnsi="Times New Roman" w:cs="Times New Roman"/>
          <w:sz w:val="24"/>
          <w:szCs w:val="24"/>
          <w:highlight w:val="yellow"/>
          <w:lang w:eastAsia="en-AU"/>
        </w:rPr>
      </w:pPr>
      <w:r w:rsidRPr="00AD1792">
        <w:rPr>
          <w:rFonts w:ascii="Times New Roman" w:eastAsia="Times New Roman" w:hAnsi="Times New Roman" w:cs="Times New Roman"/>
          <w:sz w:val="24"/>
          <w:szCs w:val="24"/>
          <w:highlight w:val="yellow"/>
          <w:lang w:eastAsia="en-AU"/>
        </w:rPr>
        <w:t>• repair of water leaks;</w:t>
      </w:r>
    </w:p>
    <w:p w14:paraId="13C75FB5" w14:textId="77777777" w:rsidR="00694528" w:rsidRPr="00AD1792" w:rsidRDefault="00694528" w:rsidP="00694528">
      <w:pPr>
        <w:spacing w:after="100" w:line="240" w:lineRule="auto"/>
        <w:jc w:val="left"/>
        <w:rPr>
          <w:rFonts w:ascii="Times New Roman" w:eastAsia="Times New Roman" w:hAnsi="Times New Roman" w:cs="Times New Roman"/>
          <w:sz w:val="24"/>
          <w:szCs w:val="24"/>
          <w:highlight w:val="yellow"/>
          <w:lang w:eastAsia="en-AU"/>
        </w:rPr>
      </w:pPr>
      <w:r w:rsidRPr="00AD1792">
        <w:rPr>
          <w:rFonts w:ascii="Times New Roman" w:eastAsia="Times New Roman" w:hAnsi="Times New Roman" w:cs="Times New Roman"/>
          <w:sz w:val="24"/>
          <w:szCs w:val="24"/>
          <w:highlight w:val="yellow"/>
          <w:lang w:eastAsia="en-AU"/>
        </w:rPr>
        <w:t>• replacement of edging;</w:t>
      </w:r>
    </w:p>
    <w:p w14:paraId="62AF5853" w14:textId="77777777" w:rsidR="00694528" w:rsidRPr="00AD1792" w:rsidRDefault="00694528" w:rsidP="00694528">
      <w:pPr>
        <w:spacing w:after="100" w:line="240" w:lineRule="auto"/>
        <w:jc w:val="left"/>
        <w:rPr>
          <w:rFonts w:ascii="Times New Roman" w:eastAsia="Times New Roman" w:hAnsi="Times New Roman" w:cs="Times New Roman"/>
          <w:sz w:val="24"/>
          <w:szCs w:val="24"/>
          <w:highlight w:val="yellow"/>
          <w:lang w:eastAsia="en-AU"/>
        </w:rPr>
      </w:pPr>
      <w:r w:rsidRPr="00AD1792">
        <w:rPr>
          <w:rFonts w:ascii="Times New Roman" w:eastAsia="Times New Roman" w:hAnsi="Times New Roman" w:cs="Times New Roman"/>
          <w:sz w:val="24"/>
          <w:szCs w:val="24"/>
          <w:highlight w:val="yellow"/>
          <w:lang w:eastAsia="en-AU"/>
        </w:rPr>
        <w:t>• removal of accumulated water under the deck;</w:t>
      </w:r>
    </w:p>
    <w:p w14:paraId="7BDC637B" w14:textId="77777777" w:rsidR="00694528" w:rsidRPr="00AD1792" w:rsidRDefault="00694528" w:rsidP="00694528">
      <w:pPr>
        <w:spacing w:after="100" w:line="240" w:lineRule="auto"/>
        <w:jc w:val="left"/>
        <w:rPr>
          <w:rFonts w:ascii="Times New Roman" w:eastAsia="Times New Roman" w:hAnsi="Times New Roman" w:cs="Times New Roman"/>
          <w:sz w:val="24"/>
          <w:szCs w:val="24"/>
          <w:highlight w:val="yellow"/>
          <w:lang w:eastAsia="en-AU"/>
        </w:rPr>
      </w:pPr>
      <w:r w:rsidRPr="00AD1792">
        <w:rPr>
          <w:rFonts w:ascii="Times New Roman" w:eastAsia="Times New Roman" w:hAnsi="Times New Roman" w:cs="Times New Roman"/>
          <w:sz w:val="24"/>
          <w:szCs w:val="24"/>
          <w:highlight w:val="yellow"/>
          <w:lang w:eastAsia="en-AU"/>
        </w:rPr>
        <w:t>• repair of light poles;</w:t>
      </w:r>
    </w:p>
    <w:p w14:paraId="50E16523" w14:textId="77777777" w:rsidR="00694528" w:rsidRPr="00AD1792" w:rsidRDefault="00694528" w:rsidP="00694528">
      <w:pPr>
        <w:spacing w:after="100" w:line="240" w:lineRule="auto"/>
        <w:jc w:val="left"/>
        <w:rPr>
          <w:rFonts w:ascii="Times New Roman" w:eastAsia="Times New Roman" w:hAnsi="Times New Roman" w:cs="Times New Roman"/>
          <w:sz w:val="24"/>
          <w:szCs w:val="24"/>
          <w:highlight w:val="yellow"/>
          <w:lang w:eastAsia="en-AU"/>
        </w:rPr>
      </w:pPr>
      <w:r w:rsidRPr="00AD1792">
        <w:rPr>
          <w:rFonts w:ascii="Times New Roman" w:eastAsia="Times New Roman" w:hAnsi="Times New Roman" w:cs="Times New Roman"/>
          <w:sz w:val="24"/>
          <w:szCs w:val="24"/>
          <w:highlight w:val="yellow"/>
          <w:lang w:eastAsia="en-AU"/>
        </w:rPr>
        <w:t>• replacement of the flat roof;</w:t>
      </w:r>
    </w:p>
    <w:p w14:paraId="71F1C881" w14:textId="77777777" w:rsidR="00694528" w:rsidRPr="00AD1792" w:rsidRDefault="00694528" w:rsidP="00694528">
      <w:pPr>
        <w:spacing w:after="100" w:line="240" w:lineRule="auto"/>
        <w:jc w:val="left"/>
        <w:rPr>
          <w:rFonts w:ascii="Times New Roman" w:eastAsia="Times New Roman" w:hAnsi="Times New Roman" w:cs="Times New Roman"/>
          <w:sz w:val="24"/>
          <w:szCs w:val="24"/>
          <w:highlight w:val="yellow"/>
          <w:lang w:eastAsia="en-AU"/>
        </w:rPr>
      </w:pPr>
      <w:r w:rsidRPr="00AD1792">
        <w:rPr>
          <w:rFonts w:ascii="Times New Roman" w:eastAsia="Times New Roman" w:hAnsi="Times New Roman" w:cs="Times New Roman"/>
          <w:sz w:val="24"/>
          <w:szCs w:val="24"/>
          <w:highlight w:val="yellow"/>
          <w:lang w:eastAsia="en-AU"/>
        </w:rPr>
        <w:t>• repair of broken boards and railings on the boardwalk;</w:t>
      </w:r>
    </w:p>
    <w:p w14:paraId="63A5E011" w14:textId="77777777" w:rsidR="00694528" w:rsidRPr="00AD1792" w:rsidRDefault="00694528" w:rsidP="00694528">
      <w:pPr>
        <w:spacing w:after="100" w:line="240" w:lineRule="auto"/>
        <w:jc w:val="left"/>
        <w:rPr>
          <w:rFonts w:ascii="Times New Roman" w:eastAsia="Times New Roman" w:hAnsi="Times New Roman" w:cs="Times New Roman"/>
          <w:sz w:val="24"/>
          <w:szCs w:val="24"/>
          <w:highlight w:val="yellow"/>
          <w:lang w:eastAsia="en-AU"/>
        </w:rPr>
      </w:pPr>
      <w:r w:rsidRPr="00AD1792">
        <w:rPr>
          <w:rFonts w:ascii="Times New Roman" w:eastAsia="Times New Roman" w:hAnsi="Times New Roman" w:cs="Times New Roman"/>
          <w:sz w:val="24"/>
          <w:szCs w:val="24"/>
          <w:highlight w:val="yellow"/>
          <w:lang w:eastAsia="en-AU"/>
        </w:rPr>
        <w:t>• repair on two doors within Unit D; and</w:t>
      </w:r>
    </w:p>
    <w:p w14:paraId="6D91D8E5" w14:textId="77777777" w:rsidR="00694528" w:rsidRPr="00AD1792" w:rsidRDefault="00694528" w:rsidP="00694528">
      <w:pPr>
        <w:spacing w:after="100" w:line="240" w:lineRule="auto"/>
        <w:jc w:val="left"/>
        <w:rPr>
          <w:rFonts w:ascii="Times New Roman" w:eastAsia="Times New Roman" w:hAnsi="Times New Roman" w:cs="Times New Roman"/>
          <w:sz w:val="24"/>
          <w:szCs w:val="24"/>
          <w:highlight w:val="yellow"/>
          <w:lang w:eastAsia="en-AU"/>
        </w:rPr>
      </w:pPr>
      <w:r w:rsidRPr="00AD1792">
        <w:rPr>
          <w:rFonts w:ascii="Times New Roman" w:eastAsia="Times New Roman" w:hAnsi="Times New Roman" w:cs="Times New Roman"/>
          <w:sz w:val="24"/>
          <w:szCs w:val="24"/>
          <w:highlight w:val="yellow"/>
          <w:lang w:eastAsia="en-AU"/>
        </w:rPr>
        <w:t>• notation of damage from sun and moisture on Unit D railings.</w:t>
      </w:r>
    </w:p>
    <w:p w14:paraId="0F3AB88A" w14:textId="77777777" w:rsidR="00694528" w:rsidRPr="00694528" w:rsidRDefault="00694528" w:rsidP="0069452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D1792">
        <w:rPr>
          <w:rFonts w:ascii="Times New Roman" w:eastAsia="Times New Roman" w:hAnsi="Times New Roman" w:cs="Times New Roman"/>
          <w:sz w:val="24"/>
          <w:szCs w:val="24"/>
          <w:highlight w:val="yellow"/>
          <w:lang w:eastAsia="en-AU"/>
        </w:rPr>
        <w:t>On March 24, 2012, Lloyd was invited to a party at Unit D-4. The partygoers used the accompanying upstairs balcony area. Lloyd leaned against, or lost his balance and fell into, the balcony’s wooden railing. The railing collapsed, and Lloyd fell about twelve feet and landed on his head.</w:t>
      </w:r>
    </w:p>
    <w:p w14:paraId="5AC6369C" w14:textId="77777777" w:rsidR="00694528" w:rsidRPr="00694528" w:rsidRDefault="00694528" w:rsidP="0069452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94528">
        <w:rPr>
          <w:rFonts w:ascii="Times New Roman" w:eastAsia="Times New Roman" w:hAnsi="Times New Roman" w:cs="Times New Roman"/>
          <w:sz w:val="24"/>
          <w:szCs w:val="24"/>
          <w:lang w:eastAsia="en-AU"/>
        </w:rPr>
        <w:t>In his complaint, Lloyd alleged that Pier West POA was negligent in failing to properly maintain and repair the balcony railing as needed, and further that the balcony railing was unsafe and below minimum building code standards. In moving for summary judgment, Pier West POA contended that as to a licensee like Lloyd, it owed only a duty of not injuring him by willful or wanton conduct, or, if it knew or had reason to know that the railing created a risk of harm, to use ordinary care to make the condition safe or warn Lloyd of its dangerous condition. Pier West POA denied the existence of a duty or breach of either of these potential duties. Pier West POA attached deposition testimony of Lloyd along with an affidavit of Pier West POA’s board president, who denied any knowledge or reason to know of any defect or problem with the balcony railing at Unit D-4.</w:t>
      </w:r>
    </w:p>
    <w:p w14:paraId="0129EC85" w14:textId="77777777" w:rsidR="00694528" w:rsidRPr="00694528" w:rsidRDefault="00694528" w:rsidP="0069452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94528">
        <w:rPr>
          <w:rFonts w:ascii="Times New Roman" w:eastAsia="Times New Roman" w:hAnsi="Times New Roman" w:cs="Times New Roman"/>
          <w:sz w:val="24"/>
          <w:szCs w:val="24"/>
          <w:lang w:eastAsia="en-AU"/>
        </w:rPr>
        <w:t xml:space="preserve">|12In response, Lloyd asserted that Pier West POA failed to abide by standard building codes on weight bearing of the railing by providing an engineer’s report as expert evidence of noncompliance. Lloyd also focused on the undisputed facts that </w:t>
      </w:r>
      <w:r w:rsidRPr="007A40A0">
        <w:rPr>
          <w:rFonts w:ascii="Times New Roman" w:eastAsia="Times New Roman" w:hAnsi="Times New Roman" w:cs="Times New Roman"/>
          <w:sz w:val="24"/>
          <w:szCs w:val="24"/>
          <w:highlight w:val="yellow"/>
          <w:lang w:eastAsia="en-AU"/>
        </w:rPr>
        <w:t>Pier West POA admitted that it was obligated and had the exclusive duty and right to maintain the common areas of the condominium, including the balcony and railings, borne out by its controlling bylaws, records of repair, and collection of monthly property owner dues.</w:t>
      </w:r>
    </w:p>
    <w:p w14:paraId="406368BB" w14:textId="0672ACEE" w:rsidR="00694528" w:rsidRPr="00694528" w:rsidRDefault="00694528" w:rsidP="0069452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94528">
        <w:rPr>
          <w:rFonts w:ascii="Times New Roman" w:eastAsia="Times New Roman" w:hAnsi="Times New Roman" w:cs="Times New Roman"/>
          <w:sz w:val="24"/>
          <w:szCs w:val="24"/>
          <w:lang w:eastAsia="en-AU"/>
        </w:rPr>
        <w:t xml:space="preserve">Pier West POA did not deny that specific repairs and upgrades were made periodically, and Pier West POA did not deny the history of maintenance and repairs at Unit D, some of which are set forth above. </w:t>
      </w:r>
      <w:r w:rsidRPr="00694528">
        <w:rPr>
          <w:rFonts w:ascii="Times New Roman" w:eastAsia="Times New Roman" w:hAnsi="Times New Roman" w:cs="Times New Roman"/>
          <w:color w:val="0000FF"/>
          <w:sz w:val="24"/>
          <w:szCs w:val="24"/>
          <w:u w:val="single"/>
          <w:lang w:eastAsia="en-AU"/>
        </w:rPr>
        <w:t>*</w:t>
      </w:r>
      <w:r w:rsidRPr="007A40A0">
        <w:rPr>
          <w:rFonts w:ascii="Times New Roman" w:eastAsia="Times New Roman" w:hAnsi="Times New Roman" w:cs="Times New Roman"/>
          <w:color w:val="0000FF"/>
          <w:sz w:val="24"/>
          <w:szCs w:val="24"/>
          <w:highlight w:val="yellow"/>
          <w:u w:val="single"/>
          <w:lang w:eastAsia="en-AU"/>
        </w:rPr>
        <w:t>302</w:t>
      </w:r>
      <w:r w:rsidRPr="007A40A0">
        <w:rPr>
          <w:rFonts w:ascii="Times New Roman" w:eastAsia="Times New Roman" w:hAnsi="Times New Roman" w:cs="Times New Roman"/>
          <w:sz w:val="24"/>
          <w:szCs w:val="24"/>
          <w:highlight w:val="yellow"/>
          <w:lang w:eastAsia="en-AU"/>
        </w:rPr>
        <w:t>Pier West POA also admittedly purchased a liability insurance policy that provided coverage to protect Pier West POA and individual unit owners.</w:t>
      </w:r>
    </w:p>
    <w:p w14:paraId="40B5B38A" w14:textId="77777777" w:rsidR="00694528" w:rsidRPr="00694528" w:rsidRDefault="00694528" w:rsidP="0069452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94528">
        <w:rPr>
          <w:rFonts w:ascii="Times New Roman" w:eastAsia="Times New Roman" w:hAnsi="Times New Roman" w:cs="Times New Roman"/>
          <w:sz w:val="24"/>
          <w:szCs w:val="24"/>
          <w:lang w:eastAsia="en-AU"/>
        </w:rPr>
        <w:t xml:space="preserve">There was additional evidence presented by Lloyd that Pier West POA should have had knowledge of defects in this particular guardrail.' </w:t>
      </w:r>
      <w:r w:rsidRPr="008B55B5">
        <w:rPr>
          <w:rFonts w:ascii="Times New Roman" w:eastAsia="Times New Roman" w:hAnsi="Times New Roman" w:cs="Times New Roman"/>
          <w:sz w:val="24"/>
          <w:szCs w:val="24"/>
          <w:highlight w:val="yellow"/>
          <w:lang w:eastAsia="en-AU"/>
        </w:rPr>
        <w:t>Michelle Keever testified by deposition that she informed the owner of Unit D-4, at some point‘prior to Lloyd’s fall, that the upstairs balcony railing was' loose, to which the owner replied, ‘We’ll try to get it taken care of.”</w:t>
      </w:r>
    </w:p>
    <w:p w14:paraId="15B57FC4" w14:textId="77777777" w:rsidR="00694528" w:rsidRPr="0031416B" w:rsidRDefault="00694528" w:rsidP="00694528">
      <w:pPr>
        <w:spacing w:before="100" w:beforeAutospacing="1" w:after="100" w:afterAutospacing="1" w:line="240" w:lineRule="auto"/>
        <w:jc w:val="left"/>
        <w:rPr>
          <w:rFonts w:ascii="Times New Roman" w:eastAsia="Times New Roman" w:hAnsi="Times New Roman" w:cs="Times New Roman"/>
          <w:sz w:val="24"/>
          <w:szCs w:val="24"/>
          <w:highlight w:val="red"/>
          <w:lang w:eastAsia="en-AU"/>
        </w:rPr>
      </w:pPr>
      <w:r w:rsidRPr="008B55B5">
        <w:rPr>
          <w:rFonts w:ascii="Times New Roman" w:eastAsia="Times New Roman" w:hAnsi="Times New Roman" w:cs="Times New Roman"/>
          <w:sz w:val="24"/>
          <w:szCs w:val="24"/>
          <w:highlight w:val="green"/>
          <w:lang w:eastAsia="en-AU"/>
        </w:rPr>
        <w:t>The undisputed facts show that Pier West POA contractually forbade a- unit owner to do anything that could increase the liability or risk to any common area, and unequivocally, exclusively reserved the right and duty .in its bylaws to maintain and repair the common areas. It is clear that Pier West POA assumed such a duty, despite Pier West POA’s arguments to the contrary. Pier West POA’s undertaking of this duty triggers fact questions as to whether Pier West POA exercised reasonable care to perform its assumed duty</w:t>
      </w:r>
      <w:r w:rsidRPr="00694528">
        <w:rPr>
          <w:rFonts w:ascii="Times New Roman" w:eastAsia="Times New Roman" w:hAnsi="Times New Roman" w:cs="Times New Roman"/>
          <w:sz w:val="24"/>
          <w:szCs w:val="24"/>
          <w:lang w:eastAsia="en-AU"/>
        </w:rPr>
        <w:t xml:space="preserve">. Because Pier West POA contractually promised or voluntarily agreed to repair and maintain the common areas, |1swe do not need to decide whether Pier West POA owed a duty of due care to Lloyd as a licensee. </w:t>
      </w:r>
      <w:r w:rsidRPr="0031416B">
        <w:rPr>
          <w:rFonts w:ascii="Times New Roman" w:eastAsia="Times New Roman" w:hAnsi="Times New Roman" w:cs="Times New Roman"/>
          <w:sz w:val="24"/>
          <w:szCs w:val="24"/>
          <w:highlight w:val="red"/>
          <w:lang w:eastAsia="en-AU"/>
        </w:rPr>
        <w:t>We agree that summary judgment was inappropriate under these circumstances.</w:t>
      </w:r>
    </w:p>
    <w:p w14:paraId="6EF33261" w14:textId="77777777" w:rsidR="00694528" w:rsidRPr="00694528" w:rsidRDefault="00694528" w:rsidP="0069452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1416B">
        <w:rPr>
          <w:rFonts w:ascii="Times New Roman" w:eastAsia="Times New Roman" w:hAnsi="Times New Roman" w:cs="Times New Roman"/>
          <w:sz w:val="24"/>
          <w:szCs w:val="24"/>
          <w:highlight w:val="red"/>
          <w:lang w:eastAsia="en-AU"/>
        </w:rPr>
        <w:t>Reversed and remanded.</w:t>
      </w:r>
    </w:p>
    <w:p w14:paraId="02E0AB94" w14:textId="77777777" w:rsidR="00694528" w:rsidRPr="00694528" w:rsidRDefault="00694528" w:rsidP="0069452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94528">
        <w:rPr>
          <w:rFonts w:ascii="Times New Roman" w:eastAsia="Times New Roman" w:hAnsi="Times New Roman" w:cs="Times New Roman"/>
          <w:sz w:val="24"/>
          <w:szCs w:val="24"/>
          <w:lang w:eastAsia="en-AU"/>
        </w:rPr>
        <w:t>Kinard and Gruber, JJ., agree.</w:t>
      </w:r>
    </w:p>
    <w:p w14:paraId="0022F575" w14:textId="4FE14D8E" w:rsidR="00694528" w:rsidRPr="00694528" w:rsidRDefault="00694528" w:rsidP="00694528">
      <w:pPr>
        <w:spacing w:after="0" w:line="240" w:lineRule="auto"/>
        <w:jc w:val="left"/>
        <w:rPr>
          <w:rFonts w:ascii="Times New Roman" w:eastAsia="Times New Roman" w:hAnsi="Times New Roman" w:cs="Times New Roman"/>
          <w:sz w:val="24"/>
          <w:szCs w:val="24"/>
          <w:lang w:eastAsia="en-AU"/>
        </w:rPr>
      </w:pPr>
      <w:r w:rsidRPr="00694528">
        <w:rPr>
          <w:rFonts w:ascii="Times New Roman" w:eastAsia="Times New Roman" w:hAnsi="Times New Roman" w:cs="Times New Roman"/>
          <w:color w:val="0000FF"/>
          <w:sz w:val="24"/>
          <w:szCs w:val="24"/>
          <w:u w:val="single"/>
          <w:lang w:eastAsia="en-AU"/>
        </w:rPr>
        <w:t>1</w:t>
      </w:r>
      <w:r w:rsidRPr="00694528">
        <w:rPr>
          <w:rFonts w:ascii="Times New Roman" w:eastAsia="Times New Roman" w:hAnsi="Times New Roman" w:cs="Times New Roman"/>
          <w:sz w:val="24"/>
          <w:szCs w:val="24"/>
          <w:lang w:eastAsia="en-AU"/>
        </w:rPr>
        <w:t xml:space="preserve"> </w:t>
      </w:r>
    </w:p>
    <w:p w14:paraId="582F2ED2" w14:textId="77777777" w:rsidR="00694528" w:rsidRPr="00694528" w:rsidRDefault="00694528" w:rsidP="0069452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94528">
        <w:rPr>
          <w:rFonts w:ascii="Times New Roman" w:eastAsia="Times New Roman" w:hAnsi="Times New Roman" w:cs="Times New Roman"/>
          <w:sz w:val="24"/>
          <w:szCs w:val="24"/>
          <w:lang w:eastAsia="en-AU"/>
        </w:rPr>
        <w:t>. Lloyd also filed suit against Hot Springs Property Management, LLC (the property management company contracted to manage these condominiums), State Farm Fire and Casualty Company (the insurance company that issued a residential community association liability policy on the property), and Deborah Shackleford (the owner of Unit D-4, the unit rented by Monda Conner, the resident who invited Lloyd to the party). Summary judgment was éntered in favor of all these defendants as well, but Lloyd does not appeal those summary-judgment orders.</w:t>
      </w:r>
    </w:p>
    <w:p w14:paraId="25240A4C" w14:textId="761A952A" w:rsidR="00694528" w:rsidRPr="00694528" w:rsidRDefault="00694528" w:rsidP="00694528">
      <w:pPr>
        <w:spacing w:after="0" w:line="240" w:lineRule="auto"/>
        <w:jc w:val="left"/>
        <w:rPr>
          <w:rFonts w:ascii="Times New Roman" w:eastAsia="Times New Roman" w:hAnsi="Times New Roman" w:cs="Times New Roman"/>
          <w:sz w:val="24"/>
          <w:szCs w:val="24"/>
          <w:lang w:eastAsia="en-AU"/>
        </w:rPr>
      </w:pPr>
      <w:r w:rsidRPr="00694528">
        <w:rPr>
          <w:rFonts w:ascii="Times New Roman" w:eastAsia="Times New Roman" w:hAnsi="Times New Roman" w:cs="Times New Roman"/>
          <w:color w:val="0000FF"/>
          <w:sz w:val="24"/>
          <w:szCs w:val="24"/>
          <w:u w:val="single"/>
          <w:lang w:eastAsia="en-AU"/>
        </w:rPr>
        <w:t>2</w:t>
      </w:r>
      <w:r w:rsidRPr="00694528">
        <w:rPr>
          <w:rFonts w:ascii="Times New Roman" w:eastAsia="Times New Roman" w:hAnsi="Times New Roman" w:cs="Times New Roman"/>
          <w:sz w:val="24"/>
          <w:szCs w:val="24"/>
          <w:lang w:eastAsia="en-AU"/>
        </w:rPr>
        <w:t xml:space="preserve"> </w:t>
      </w:r>
    </w:p>
    <w:p w14:paraId="72ABD149" w14:textId="77777777" w:rsidR="00694528" w:rsidRPr="00694528" w:rsidRDefault="00694528" w:rsidP="0069452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94528">
        <w:rPr>
          <w:rFonts w:ascii="Times New Roman" w:eastAsia="Times New Roman" w:hAnsi="Times New Roman" w:cs="Times New Roman"/>
          <w:sz w:val="24"/>
          <w:szCs w:val="24"/>
          <w:lang w:eastAsia="en-AU"/>
        </w:rPr>
        <w:t>. The Master Deed to Pier West Condominiums provides that it is a horizontal property regime.</w:t>
      </w:r>
    </w:p>
    <w:p w14:paraId="4488C8E4" w14:textId="1E4147FE" w:rsidR="00694528" w:rsidRPr="00694528" w:rsidRDefault="00694528" w:rsidP="00694528">
      <w:pPr>
        <w:spacing w:after="0" w:line="240" w:lineRule="auto"/>
        <w:jc w:val="left"/>
        <w:rPr>
          <w:rFonts w:ascii="Times New Roman" w:eastAsia="Times New Roman" w:hAnsi="Times New Roman" w:cs="Times New Roman"/>
          <w:sz w:val="24"/>
          <w:szCs w:val="24"/>
          <w:lang w:eastAsia="en-AU"/>
        </w:rPr>
      </w:pPr>
      <w:r w:rsidRPr="00694528">
        <w:rPr>
          <w:rFonts w:ascii="Times New Roman" w:eastAsia="Times New Roman" w:hAnsi="Times New Roman" w:cs="Times New Roman"/>
          <w:color w:val="0000FF"/>
          <w:sz w:val="24"/>
          <w:szCs w:val="24"/>
          <w:u w:val="single"/>
          <w:lang w:eastAsia="en-AU"/>
        </w:rPr>
        <w:t>3</w:t>
      </w:r>
      <w:r w:rsidRPr="00694528">
        <w:rPr>
          <w:rFonts w:ascii="Times New Roman" w:eastAsia="Times New Roman" w:hAnsi="Times New Roman" w:cs="Times New Roman"/>
          <w:sz w:val="24"/>
          <w:szCs w:val="24"/>
          <w:lang w:eastAsia="en-AU"/>
        </w:rPr>
        <w:t xml:space="preserve"> </w:t>
      </w:r>
    </w:p>
    <w:p w14:paraId="4E8FB7E8" w14:textId="5EB1D334" w:rsidR="00694528" w:rsidRDefault="00694528" w:rsidP="0069452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94528">
        <w:rPr>
          <w:rFonts w:ascii="Times New Roman" w:eastAsia="Times New Roman" w:hAnsi="Times New Roman" w:cs="Times New Roman"/>
          <w:sz w:val="24"/>
          <w:szCs w:val="24"/>
          <w:lang w:eastAsia="en-AU"/>
        </w:rPr>
        <w:t>. The phrase "common area” and "common element” are used interchangeably herein.</w:t>
      </w:r>
    </w:p>
    <w:p w14:paraId="67005492" w14:textId="12B94759" w:rsidR="0031416B" w:rsidRDefault="0031416B" w:rsidP="00694528">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68F2E0CB" w14:textId="3DD6B3FF" w:rsidR="0031416B" w:rsidRDefault="0031416B" w:rsidP="00694528">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70C41FDD" w14:textId="006F9FFF" w:rsidR="0031416B" w:rsidRDefault="0031416B" w:rsidP="00694528">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the defendant owed a duty to the plaintiff to maintain balcony railings</w:t>
      </w:r>
      <w:r w:rsidR="00E16868">
        <w:rPr>
          <w:rFonts w:ascii="Times New Roman" w:eastAsia="Times New Roman" w:hAnsi="Times New Roman" w:cs="Times New Roman"/>
          <w:sz w:val="24"/>
          <w:szCs w:val="24"/>
          <w:lang w:eastAsia="en-AU"/>
        </w:rPr>
        <w:t>.</w:t>
      </w:r>
    </w:p>
    <w:p w14:paraId="5559A3E5" w14:textId="53EC645A" w:rsidR="00E16868" w:rsidRDefault="00E16868" w:rsidP="00694528">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Summary: </w:t>
      </w:r>
    </w:p>
    <w:p w14:paraId="2ED2BEFE" w14:textId="1E1FDB03" w:rsidR="00E16868" w:rsidRDefault="00E16868" w:rsidP="00E16868">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attended a party held on the balcony</w:t>
      </w:r>
      <w:r w:rsidR="00E43088">
        <w:rPr>
          <w:rFonts w:ascii="Times New Roman" w:eastAsia="Times New Roman" w:hAnsi="Times New Roman" w:cs="Times New Roman"/>
          <w:sz w:val="24"/>
          <w:szCs w:val="24"/>
          <w:lang w:eastAsia="en-AU"/>
        </w:rPr>
        <w:t xml:space="preserve"> </w:t>
      </w:r>
      <w:r w:rsidR="00071E43">
        <w:rPr>
          <w:rFonts w:ascii="Times New Roman" w:eastAsia="Times New Roman" w:hAnsi="Times New Roman" w:cs="Times New Roman"/>
          <w:sz w:val="24"/>
          <w:szCs w:val="24"/>
          <w:lang w:eastAsia="en-AU"/>
        </w:rPr>
        <w:t>attached</w:t>
      </w:r>
      <w:r w:rsidR="00E43088">
        <w:rPr>
          <w:rFonts w:ascii="Times New Roman" w:eastAsia="Times New Roman" w:hAnsi="Times New Roman" w:cs="Times New Roman"/>
          <w:sz w:val="24"/>
          <w:szCs w:val="24"/>
          <w:lang w:eastAsia="en-AU"/>
        </w:rPr>
        <w:t xml:space="preserve"> to a</w:t>
      </w:r>
      <w:r w:rsidR="00071E43">
        <w:rPr>
          <w:rFonts w:ascii="Times New Roman" w:eastAsia="Times New Roman" w:hAnsi="Times New Roman" w:cs="Times New Roman"/>
          <w:sz w:val="24"/>
          <w:szCs w:val="24"/>
          <w:lang w:eastAsia="en-AU"/>
        </w:rPr>
        <w:t xml:space="preserve"> leased apartment</w:t>
      </w:r>
      <w:r w:rsidR="00C55609">
        <w:rPr>
          <w:rFonts w:ascii="Times New Roman" w:eastAsia="Times New Roman" w:hAnsi="Times New Roman" w:cs="Times New Roman"/>
          <w:sz w:val="24"/>
          <w:szCs w:val="24"/>
          <w:lang w:eastAsia="en-AU"/>
        </w:rPr>
        <w:t>, leaned against the wooden balcony railing, and fell to the ground below when the railing collapsed under his weight</w:t>
      </w:r>
      <w:r w:rsidR="00071E43">
        <w:rPr>
          <w:rFonts w:ascii="Times New Roman" w:eastAsia="Times New Roman" w:hAnsi="Times New Roman" w:cs="Times New Roman"/>
          <w:sz w:val="24"/>
          <w:szCs w:val="24"/>
          <w:lang w:eastAsia="en-AU"/>
        </w:rPr>
        <w:t>.</w:t>
      </w:r>
    </w:p>
    <w:p w14:paraId="04B11983" w14:textId="12B9F238" w:rsidR="007D119C" w:rsidRDefault="00071E43" w:rsidP="00E16868">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balcony was a common area</w:t>
      </w:r>
      <w:r w:rsidR="007D119C">
        <w:rPr>
          <w:rFonts w:ascii="Times New Roman" w:eastAsia="Times New Roman" w:hAnsi="Times New Roman" w:cs="Times New Roman"/>
          <w:sz w:val="24"/>
          <w:szCs w:val="24"/>
          <w:lang w:eastAsia="en-AU"/>
        </w:rPr>
        <w:t xml:space="preserve"> maintained by the </w:t>
      </w:r>
      <w:r w:rsidR="00770E3A">
        <w:rPr>
          <w:rFonts w:ascii="Times New Roman" w:eastAsia="Times New Roman" w:hAnsi="Times New Roman" w:cs="Times New Roman"/>
          <w:sz w:val="24"/>
          <w:szCs w:val="24"/>
          <w:lang w:eastAsia="en-AU"/>
        </w:rPr>
        <w:t xml:space="preserve">defendant </w:t>
      </w:r>
      <w:r w:rsidR="00C53F75">
        <w:rPr>
          <w:rFonts w:ascii="Times New Roman" w:eastAsia="Times New Roman" w:hAnsi="Times New Roman" w:cs="Times New Roman"/>
          <w:sz w:val="24"/>
          <w:szCs w:val="24"/>
          <w:lang w:eastAsia="en-AU"/>
        </w:rPr>
        <w:t xml:space="preserve">owners association </w:t>
      </w:r>
      <w:r w:rsidR="007D119C">
        <w:rPr>
          <w:rFonts w:ascii="Times New Roman" w:eastAsia="Times New Roman" w:hAnsi="Times New Roman" w:cs="Times New Roman"/>
          <w:sz w:val="24"/>
          <w:szCs w:val="24"/>
          <w:lang w:eastAsia="en-AU"/>
        </w:rPr>
        <w:t>of which all owners of the properties in the apartment complex were members.</w:t>
      </w:r>
    </w:p>
    <w:p w14:paraId="15AB450E" w14:textId="7C23AB32" w:rsidR="00071E43" w:rsidRDefault="007D119C" w:rsidP="00E16868">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bylaws of the </w:t>
      </w:r>
      <w:r w:rsidR="00C53F75">
        <w:rPr>
          <w:rFonts w:ascii="Times New Roman" w:eastAsia="Times New Roman" w:hAnsi="Times New Roman" w:cs="Times New Roman"/>
          <w:sz w:val="24"/>
          <w:szCs w:val="24"/>
          <w:lang w:eastAsia="en-AU"/>
        </w:rPr>
        <w:t xml:space="preserve">defendant owners association </w:t>
      </w:r>
      <w:r>
        <w:rPr>
          <w:rFonts w:ascii="Times New Roman" w:eastAsia="Times New Roman" w:hAnsi="Times New Roman" w:cs="Times New Roman"/>
          <w:sz w:val="24"/>
          <w:szCs w:val="24"/>
          <w:lang w:eastAsia="en-AU"/>
        </w:rPr>
        <w:t>provide</w:t>
      </w:r>
      <w:r w:rsidR="00C55609">
        <w:rPr>
          <w:rFonts w:ascii="Times New Roman" w:eastAsia="Times New Roman" w:hAnsi="Times New Roman" w:cs="Times New Roman"/>
          <w:sz w:val="24"/>
          <w:szCs w:val="24"/>
          <w:lang w:eastAsia="en-AU"/>
        </w:rPr>
        <w:t xml:space="preserve"> that</w:t>
      </w:r>
      <w:r w:rsidR="001308CA">
        <w:rPr>
          <w:rFonts w:ascii="Times New Roman" w:eastAsia="Times New Roman" w:hAnsi="Times New Roman" w:cs="Times New Roman"/>
          <w:sz w:val="24"/>
          <w:szCs w:val="24"/>
          <w:lang w:eastAsia="en-AU"/>
        </w:rPr>
        <w:t xml:space="preserve"> the owners association has the ‘</w:t>
      </w:r>
      <w:r w:rsidR="001308CA" w:rsidRPr="001308CA">
        <w:rPr>
          <w:rFonts w:ascii="Times New Roman" w:eastAsia="Times New Roman" w:hAnsi="Times New Roman" w:cs="Times New Roman"/>
          <w:sz w:val="24"/>
          <w:szCs w:val="24"/>
          <w:lang w:eastAsia="en-AU"/>
        </w:rPr>
        <w:t>exclusive right and duty to repair and provide maintenance of the common areas</w:t>
      </w:r>
      <w:r w:rsidR="001308CA">
        <w:rPr>
          <w:rFonts w:ascii="Times New Roman" w:eastAsia="Times New Roman" w:hAnsi="Times New Roman" w:cs="Times New Roman"/>
          <w:sz w:val="24"/>
          <w:szCs w:val="24"/>
          <w:lang w:eastAsia="en-AU"/>
        </w:rPr>
        <w:t>’.</w:t>
      </w:r>
    </w:p>
    <w:p w14:paraId="7F6B98A4" w14:textId="3578A110" w:rsidR="00C53F75" w:rsidRDefault="00C53F75" w:rsidP="00E16868">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defendant asserted that the plaintiff was merely a licensee on the property, and thus that the defendant only owed the plaintiff</w:t>
      </w:r>
      <w:r w:rsidR="002943F1">
        <w:rPr>
          <w:rFonts w:ascii="Times New Roman" w:eastAsia="Times New Roman" w:hAnsi="Times New Roman" w:cs="Times New Roman"/>
          <w:sz w:val="24"/>
          <w:szCs w:val="24"/>
          <w:lang w:eastAsia="en-AU"/>
        </w:rPr>
        <w:t xml:space="preserve"> a duty to refrain from injuring him by ‘wilful or wanton conduct’</w:t>
      </w:r>
      <w:r w:rsidR="00AF7274">
        <w:rPr>
          <w:rFonts w:ascii="Times New Roman" w:eastAsia="Times New Roman" w:hAnsi="Times New Roman" w:cs="Times New Roman"/>
          <w:sz w:val="24"/>
          <w:szCs w:val="24"/>
          <w:lang w:eastAsia="en-AU"/>
        </w:rPr>
        <w:t xml:space="preserve"> and to warn him of dangers about which the plaintiff would not know or would not have reason to know</w:t>
      </w:r>
      <w:r w:rsidR="00084214">
        <w:rPr>
          <w:rFonts w:ascii="Times New Roman" w:eastAsia="Times New Roman" w:hAnsi="Times New Roman" w:cs="Times New Roman"/>
          <w:sz w:val="24"/>
          <w:szCs w:val="24"/>
          <w:lang w:eastAsia="en-AU"/>
        </w:rPr>
        <w:t>.</w:t>
      </w:r>
    </w:p>
    <w:p w14:paraId="6D9AE067" w14:textId="0311AA28" w:rsidR="001308CA" w:rsidRDefault="00770E3A" w:rsidP="00E16868">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Court of Appeals held that the </w:t>
      </w:r>
      <w:r w:rsidR="00C53F75">
        <w:rPr>
          <w:rFonts w:ascii="Times New Roman" w:eastAsia="Times New Roman" w:hAnsi="Times New Roman" w:cs="Times New Roman"/>
          <w:sz w:val="24"/>
          <w:szCs w:val="24"/>
          <w:lang w:eastAsia="en-AU"/>
        </w:rPr>
        <w:t>defendant either made a contractual promise or voluntarily assumed responsibility for conducting repairs of common areas</w:t>
      </w:r>
      <w:r w:rsidR="00084214">
        <w:rPr>
          <w:rFonts w:ascii="Times New Roman" w:eastAsia="Times New Roman" w:hAnsi="Times New Roman" w:cs="Times New Roman"/>
          <w:sz w:val="24"/>
          <w:szCs w:val="24"/>
          <w:lang w:eastAsia="en-AU"/>
        </w:rPr>
        <w:t>, so had a duty to act with reasonable care in performance of that assumed duty.</w:t>
      </w:r>
    </w:p>
    <w:p w14:paraId="57B97072" w14:textId="0A7C1D0B" w:rsidR="003217AD" w:rsidRDefault="003217AD" w:rsidP="003217AD">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Thus, although the plaintiff </w:t>
      </w:r>
      <w:r>
        <w:rPr>
          <w:rFonts w:ascii="Times New Roman" w:eastAsia="Times New Roman" w:hAnsi="Times New Roman" w:cs="Times New Roman"/>
          <w:i/>
          <w:iCs/>
          <w:sz w:val="24"/>
          <w:szCs w:val="24"/>
          <w:lang w:eastAsia="en-AU"/>
        </w:rPr>
        <w:t>is</w:t>
      </w:r>
      <w:r>
        <w:rPr>
          <w:rFonts w:ascii="Times New Roman" w:eastAsia="Times New Roman" w:hAnsi="Times New Roman" w:cs="Times New Roman"/>
          <w:sz w:val="24"/>
          <w:szCs w:val="24"/>
          <w:lang w:eastAsia="en-AU"/>
        </w:rPr>
        <w:t xml:space="preserve"> a licensee, not an invitee to whom a more onerous duty would be owed, the </w:t>
      </w:r>
      <w:r w:rsidR="00356AE3">
        <w:rPr>
          <w:rFonts w:ascii="Times New Roman" w:eastAsia="Times New Roman" w:hAnsi="Times New Roman" w:cs="Times New Roman"/>
          <w:sz w:val="24"/>
          <w:szCs w:val="24"/>
          <w:lang w:eastAsia="en-AU"/>
        </w:rPr>
        <w:t>defendant assumed the duty to maintain the common areas</w:t>
      </w:r>
      <w:r w:rsidR="006F0DCF">
        <w:rPr>
          <w:rFonts w:ascii="Times New Roman" w:eastAsia="Times New Roman" w:hAnsi="Times New Roman" w:cs="Times New Roman"/>
          <w:sz w:val="24"/>
          <w:szCs w:val="24"/>
          <w:lang w:eastAsia="en-AU"/>
        </w:rPr>
        <w:t>.</w:t>
      </w:r>
    </w:p>
    <w:p w14:paraId="5672D549" w14:textId="03C93355" w:rsidR="006F0DCF" w:rsidRPr="002449CA" w:rsidRDefault="006F0DCF" w:rsidP="006F0DCF">
      <w:pPr>
        <w:pStyle w:val="ListParagraph"/>
        <w:numPr>
          <w:ilvl w:val="0"/>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2449CA">
        <w:rPr>
          <w:rFonts w:ascii="Times New Roman" w:eastAsia="Times New Roman" w:hAnsi="Times New Roman" w:cs="Times New Roman"/>
          <w:b/>
          <w:bCs/>
          <w:sz w:val="24"/>
          <w:szCs w:val="24"/>
          <w:lang w:eastAsia="en-AU"/>
        </w:rPr>
        <w:t>Consequently, summary judgement was improper</w:t>
      </w:r>
      <w:r w:rsidR="002449CA" w:rsidRPr="002449CA">
        <w:rPr>
          <w:rFonts w:ascii="Times New Roman" w:eastAsia="Times New Roman" w:hAnsi="Times New Roman" w:cs="Times New Roman"/>
          <w:b/>
          <w:bCs/>
          <w:sz w:val="24"/>
          <w:szCs w:val="24"/>
          <w:lang w:eastAsia="en-AU"/>
        </w:rPr>
        <w:t>.</w:t>
      </w:r>
    </w:p>
    <w:p w14:paraId="561B1B0E"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F52371"/>
    <w:multiLevelType w:val="hybridMultilevel"/>
    <w:tmpl w:val="A9A238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54366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528"/>
    <w:rsid w:val="00052332"/>
    <w:rsid w:val="00071E43"/>
    <w:rsid w:val="00084214"/>
    <w:rsid w:val="001308CA"/>
    <w:rsid w:val="001606B4"/>
    <w:rsid w:val="002449CA"/>
    <w:rsid w:val="00255B28"/>
    <w:rsid w:val="002943F1"/>
    <w:rsid w:val="0031416B"/>
    <w:rsid w:val="003217AD"/>
    <w:rsid w:val="00356AE3"/>
    <w:rsid w:val="005043AF"/>
    <w:rsid w:val="005A0F73"/>
    <w:rsid w:val="00660010"/>
    <w:rsid w:val="006772F0"/>
    <w:rsid w:val="00677EFA"/>
    <w:rsid w:val="00690E56"/>
    <w:rsid w:val="00694528"/>
    <w:rsid w:val="006F0DCF"/>
    <w:rsid w:val="00770E3A"/>
    <w:rsid w:val="007A40A0"/>
    <w:rsid w:val="007A797C"/>
    <w:rsid w:val="007D119C"/>
    <w:rsid w:val="008A5744"/>
    <w:rsid w:val="008B55B5"/>
    <w:rsid w:val="00952B83"/>
    <w:rsid w:val="00996799"/>
    <w:rsid w:val="00A62E8D"/>
    <w:rsid w:val="00A913EB"/>
    <w:rsid w:val="00AD1792"/>
    <w:rsid w:val="00AF6270"/>
    <w:rsid w:val="00AF7274"/>
    <w:rsid w:val="00C133FC"/>
    <w:rsid w:val="00C254F2"/>
    <w:rsid w:val="00C53F75"/>
    <w:rsid w:val="00C55609"/>
    <w:rsid w:val="00DE642C"/>
    <w:rsid w:val="00E06F43"/>
    <w:rsid w:val="00E16868"/>
    <w:rsid w:val="00E4009D"/>
    <w:rsid w:val="00E43088"/>
    <w:rsid w:val="00E97B3B"/>
    <w:rsid w:val="00F66AC7"/>
    <w:rsid w:val="00F976C0"/>
    <w:rsid w:val="00F97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B4B74"/>
  <w15:chartTrackingRefBased/>
  <w15:docId w15:val="{721C2728-BB2C-4F8B-A782-3B7C1B1F3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75256">
      <w:bodyDiv w:val="1"/>
      <w:marLeft w:val="0"/>
      <w:marRight w:val="0"/>
      <w:marTop w:val="0"/>
      <w:marBottom w:val="0"/>
      <w:divBdr>
        <w:top w:val="none" w:sz="0" w:space="0" w:color="auto"/>
        <w:left w:val="none" w:sz="0" w:space="0" w:color="auto"/>
        <w:bottom w:val="none" w:sz="0" w:space="0" w:color="auto"/>
        <w:right w:val="none" w:sz="0" w:space="0" w:color="auto"/>
      </w:divBdr>
      <w:divsChild>
        <w:div w:id="142620806">
          <w:marLeft w:val="0"/>
          <w:marRight w:val="0"/>
          <w:marTop w:val="0"/>
          <w:marBottom w:val="0"/>
          <w:divBdr>
            <w:top w:val="none" w:sz="0" w:space="0" w:color="auto"/>
            <w:left w:val="none" w:sz="0" w:space="0" w:color="auto"/>
            <w:bottom w:val="none" w:sz="0" w:space="0" w:color="auto"/>
            <w:right w:val="none" w:sz="0" w:space="0" w:color="auto"/>
          </w:divBdr>
          <w:divsChild>
            <w:div w:id="1975603027">
              <w:marLeft w:val="0"/>
              <w:marRight w:val="0"/>
              <w:marTop w:val="0"/>
              <w:marBottom w:val="0"/>
              <w:divBdr>
                <w:top w:val="none" w:sz="0" w:space="0" w:color="auto"/>
                <w:left w:val="none" w:sz="0" w:space="0" w:color="auto"/>
                <w:bottom w:val="none" w:sz="0" w:space="0" w:color="auto"/>
                <w:right w:val="none" w:sz="0" w:space="0" w:color="auto"/>
              </w:divBdr>
              <w:divsChild>
                <w:div w:id="241181738">
                  <w:marLeft w:val="0"/>
                  <w:marRight w:val="0"/>
                  <w:marTop w:val="0"/>
                  <w:marBottom w:val="0"/>
                  <w:divBdr>
                    <w:top w:val="none" w:sz="0" w:space="0" w:color="auto"/>
                    <w:left w:val="none" w:sz="0" w:space="0" w:color="auto"/>
                    <w:bottom w:val="none" w:sz="0" w:space="0" w:color="auto"/>
                    <w:right w:val="none" w:sz="0" w:space="0" w:color="auto"/>
                  </w:divBdr>
                  <w:divsChild>
                    <w:div w:id="1620837433">
                      <w:marLeft w:val="0"/>
                      <w:marRight w:val="0"/>
                      <w:marTop w:val="0"/>
                      <w:marBottom w:val="0"/>
                      <w:divBdr>
                        <w:top w:val="none" w:sz="0" w:space="0" w:color="auto"/>
                        <w:left w:val="none" w:sz="0" w:space="0" w:color="auto"/>
                        <w:bottom w:val="none" w:sz="0" w:space="0" w:color="auto"/>
                        <w:right w:val="none" w:sz="0" w:space="0" w:color="auto"/>
                      </w:divBdr>
                    </w:div>
                    <w:div w:id="32632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35812">
              <w:marLeft w:val="0"/>
              <w:marRight w:val="0"/>
              <w:marTop w:val="0"/>
              <w:marBottom w:val="0"/>
              <w:divBdr>
                <w:top w:val="none" w:sz="0" w:space="0" w:color="auto"/>
                <w:left w:val="none" w:sz="0" w:space="0" w:color="auto"/>
                <w:bottom w:val="none" w:sz="0" w:space="0" w:color="auto"/>
                <w:right w:val="none" w:sz="0" w:space="0" w:color="auto"/>
              </w:divBdr>
              <w:divsChild>
                <w:div w:id="1395467606">
                  <w:marLeft w:val="0"/>
                  <w:marRight w:val="0"/>
                  <w:marTop w:val="0"/>
                  <w:marBottom w:val="0"/>
                  <w:divBdr>
                    <w:top w:val="none" w:sz="0" w:space="0" w:color="auto"/>
                    <w:left w:val="none" w:sz="0" w:space="0" w:color="auto"/>
                    <w:bottom w:val="none" w:sz="0" w:space="0" w:color="auto"/>
                    <w:right w:val="none" w:sz="0" w:space="0" w:color="auto"/>
                  </w:divBdr>
                </w:div>
              </w:divsChild>
            </w:div>
            <w:div w:id="39522319">
              <w:blockQuote w:val="1"/>
              <w:marLeft w:val="720"/>
              <w:marRight w:val="720"/>
              <w:marTop w:val="100"/>
              <w:marBottom w:val="100"/>
              <w:divBdr>
                <w:top w:val="none" w:sz="0" w:space="0" w:color="auto"/>
                <w:left w:val="none" w:sz="0" w:space="0" w:color="auto"/>
                <w:bottom w:val="none" w:sz="0" w:space="0" w:color="auto"/>
                <w:right w:val="none" w:sz="0" w:space="0" w:color="auto"/>
              </w:divBdr>
            </w:div>
            <w:div w:id="5168887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393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7024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536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613785">
              <w:blockQuote w:val="1"/>
              <w:marLeft w:val="720"/>
              <w:marRight w:val="720"/>
              <w:marTop w:val="100"/>
              <w:marBottom w:val="100"/>
              <w:divBdr>
                <w:top w:val="none" w:sz="0" w:space="0" w:color="auto"/>
                <w:left w:val="none" w:sz="0" w:space="0" w:color="auto"/>
                <w:bottom w:val="none" w:sz="0" w:space="0" w:color="auto"/>
                <w:right w:val="none" w:sz="0" w:space="0" w:color="auto"/>
              </w:divBdr>
            </w:div>
            <w:div w:id="572398701">
              <w:blockQuote w:val="1"/>
              <w:marLeft w:val="720"/>
              <w:marRight w:val="720"/>
              <w:marTop w:val="100"/>
              <w:marBottom w:val="100"/>
              <w:divBdr>
                <w:top w:val="none" w:sz="0" w:space="0" w:color="auto"/>
                <w:left w:val="none" w:sz="0" w:space="0" w:color="auto"/>
                <w:bottom w:val="none" w:sz="0" w:space="0" w:color="auto"/>
                <w:right w:val="none" w:sz="0" w:space="0" w:color="auto"/>
              </w:divBdr>
            </w:div>
            <w:div w:id="274679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659399">
              <w:blockQuote w:val="1"/>
              <w:marLeft w:val="720"/>
              <w:marRight w:val="720"/>
              <w:marTop w:val="100"/>
              <w:marBottom w:val="100"/>
              <w:divBdr>
                <w:top w:val="none" w:sz="0" w:space="0" w:color="auto"/>
                <w:left w:val="none" w:sz="0" w:space="0" w:color="auto"/>
                <w:bottom w:val="none" w:sz="0" w:space="0" w:color="auto"/>
                <w:right w:val="none" w:sz="0" w:space="0" w:color="auto"/>
              </w:divBdr>
            </w:div>
            <w:div w:id="846292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163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236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29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787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7512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74137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271428">
              <w:blockQuote w:val="1"/>
              <w:marLeft w:val="720"/>
              <w:marRight w:val="720"/>
              <w:marTop w:val="100"/>
              <w:marBottom w:val="100"/>
              <w:divBdr>
                <w:top w:val="none" w:sz="0" w:space="0" w:color="auto"/>
                <w:left w:val="none" w:sz="0" w:space="0" w:color="auto"/>
                <w:bottom w:val="none" w:sz="0" w:space="0" w:color="auto"/>
                <w:right w:val="none" w:sz="0" w:space="0" w:color="auto"/>
              </w:divBdr>
            </w:div>
            <w:div w:id="895822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09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7788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309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308153">
              <w:blockQuote w:val="1"/>
              <w:marLeft w:val="720"/>
              <w:marRight w:val="720"/>
              <w:marTop w:val="100"/>
              <w:marBottom w:val="100"/>
              <w:divBdr>
                <w:top w:val="none" w:sz="0" w:space="0" w:color="auto"/>
                <w:left w:val="none" w:sz="0" w:space="0" w:color="auto"/>
                <w:bottom w:val="none" w:sz="0" w:space="0" w:color="auto"/>
                <w:right w:val="none" w:sz="0" w:space="0" w:color="auto"/>
              </w:divBdr>
            </w:div>
            <w:div w:id="879703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8360792">
      <w:bodyDiv w:val="1"/>
      <w:marLeft w:val="0"/>
      <w:marRight w:val="0"/>
      <w:marTop w:val="0"/>
      <w:marBottom w:val="0"/>
      <w:divBdr>
        <w:top w:val="none" w:sz="0" w:space="0" w:color="auto"/>
        <w:left w:val="none" w:sz="0" w:space="0" w:color="auto"/>
        <w:bottom w:val="none" w:sz="0" w:space="0" w:color="auto"/>
        <w:right w:val="none" w:sz="0" w:space="0" w:color="auto"/>
      </w:divBdr>
      <w:divsChild>
        <w:div w:id="102505011">
          <w:marLeft w:val="0"/>
          <w:marRight w:val="0"/>
          <w:marTop w:val="0"/>
          <w:marBottom w:val="0"/>
          <w:divBdr>
            <w:top w:val="none" w:sz="0" w:space="0" w:color="auto"/>
            <w:left w:val="none" w:sz="0" w:space="0" w:color="auto"/>
            <w:bottom w:val="none" w:sz="0" w:space="0" w:color="auto"/>
            <w:right w:val="none" w:sz="0" w:space="0" w:color="auto"/>
          </w:divBdr>
          <w:divsChild>
            <w:div w:id="794299088">
              <w:marLeft w:val="0"/>
              <w:marRight w:val="0"/>
              <w:marTop w:val="0"/>
              <w:marBottom w:val="0"/>
              <w:divBdr>
                <w:top w:val="none" w:sz="0" w:space="0" w:color="auto"/>
                <w:left w:val="none" w:sz="0" w:space="0" w:color="auto"/>
                <w:bottom w:val="none" w:sz="0" w:space="0" w:color="auto"/>
                <w:right w:val="none" w:sz="0" w:space="0" w:color="auto"/>
              </w:divBdr>
              <w:divsChild>
                <w:div w:id="2043170669">
                  <w:marLeft w:val="0"/>
                  <w:marRight w:val="0"/>
                  <w:marTop w:val="0"/>
                  <w:marBottom w:val="0"/>
                  <w:divBdr>
                    <w:top w:val="none" w:sz="0" w:space="0" w:color="auto"/>
                    <w:left w:val="none" w:sz="0" w:space="0" w:color="auto"/>
                    <w:bottom w:val="none" w:sz="0" w:space="0" w:color="auto"/>
                    <w:right w:val="none" w:sz="0" w:space="0" w:color="auto"/>
                  </w:divBdr>
                  <w:divsChild>
                    <w:div w:id="525601787">
                      <w:marLeft w:val="0"/>
                      <w:marRight w:val="0"/>
                      <w:marTop w:val="0"/>
                      <w:marBottom w:val="0"/>
                      <w:divBdr>
                        <w:top w:val="none" w:sz="0" w:space="0" w:color="auto"/>
                        <w:left w:val="none" w:sz="0" w:space="0" w:color="auto"/>
                        <w:bottom w:val="none" w:sz="0" w:space="0" w:color="auto"/>
                        <w:right w:val="none" w:sz="0" w:space="0" w:color="auto"/>
                      </w:divBdr>
                    </w:div>
                    <w:div w:id="54160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1328">
              <w:marLeft w:val="0"/>
              <w:marRight w:val="0"/>
              <w:marTop w:val="0"/>
              <w:marBottom w:val="0"/>
              <w:divBdr>
                <w:top w:val="none" w:sz="0" w:space="0" w:color="auto"/>
                <w:left w:val="none" w:sz="0" w:space="0" w:color="auto"/>
                <w:bottom w:val="none" w:sz="0" w:space="0" w:color="auto"/>
                <w:right w:val="none" w:sz="0" w:space="0" w:color="auto"/>
              </w:divBdr>
              <w:divsChild>
                <w:div w:id="1734233672">
                  <w:marLeft w:val="0"/>
                  <w:marRight w:val="0"/>
                  <w:marTop w:val="0"/>
                  <w:marBottom w:val="0"/>
                  <w:divBdr>
                    <w:top w:val="none" w:sz="0" w:space="0" w:color="auto"/>
                    <w:left w:val="none" w:sz="0" w:space="0" w:color="auto"/>
                    <w:bottom w:val="none" w:sz="0" w:space="0" w:color="auto"/>
                    <w:right w:val="none" w:sz="0" w:space="0" w:color="auto"/>
                  </w:divBdr>
                </w:div>
              </w:divsChild>
            </w:div>
            <w:div w:id="1380595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374455">
              <w:blockQuote w:val="1"/>
              <w:marLeft w:val="720"/>
              <w:marRight w:val="720"/>
              <w:marTop w:val="100"/>
              <w:marBottom w:val="100"/>
              <w:divBdr>
                <w:top w:val="none" w:sz="0" w:space="0" w:color="auto"/>
                <w:left w:val="none" w:sz="0" w:space="0" w:color="auto"/>
                <w:bottom w:val="none" w:sz="0" w:space="0" w:color="auto"/>
                <w:right w:val="none" w:sz="0" w:space="0" w:color="auto"/>
              </w:divBdr>
            </w:div>
            <w:div w:id="565843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9719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807864">
              <w:blockQuote w:val="1"/>
              <w:marLeft w:val="720"/>
              <w:marRight w:val="720"/>
              <w:marTop w:val="100"/>
              <w:marBottom w:val="100"/>
              <w:divBdr>
                <w:top w:val="none" w:sz="0" w:space="0" w:color="auto"/>
                <w:left w:val="none" w:sz="0" w:space="0" w:color="auto"/>
                <w:bottom w:val="none" w:sz="0" w:space="0" w:color="auto"/>
                <w:right w:val="none" w:sz="0" w:space="0" w:color="auto"/>
              </w:divBdr>
            </w:div>
            <w:div w:id="355347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515145">
              <w:blockQuote w:val="1"/>
              <w:marLeft w:val="720"/>
              <w:marRight w:val="720"/>
              <w:marTop w:val="100"/>
              <w:marBottom w:val="100"/>
              <w:divBdr>
                <w:top w:val="none" w:sz="0" w:space="0" w:color="auto"/>
                <w:left w:val="none" w:sz="0" w:space="0" w:color="auto"/>
                <w:bottom w:val="none" w:sz="0" w:space="0" w:color="auto"/>
                <w:right w:val="none" w:sz="0" w:space="0" w:color="auto"/>
              </w:divBdr>
            </w:div>
            <w:div w:id="627124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278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422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063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395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506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673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89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467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3748322">
              <w:blockQuote w:val="1"/>
              <w:marLeft w:val="720"/>
              <w:marRight w:val="720"/>
              <w:marTop w:val="100"/>
              <w:marBottom w:val="100"/>
              <w:divBdr>
                <w:top w:val="none" w:sz="0" w:space="0" w:color="auto"/>
                <w:left w:val="none" w:sz="0" w:space="0" w:color="auto"/>
                <w:bottom w:val="none" w:sz="0" w:space="0" w:color="auto"/>
                <w:right w:val="none" w:sz="0" w:space="0" w:color="auto"/>
              </w:divBdr>
            </w:div>
            <w:div w:id="31726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947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573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706019">
              <w:blockQuote w:val="1"/>
              <w:marLeft w:val="720"/>
              <w:marRight w:val="720"/>
              <w:marTop w:val="100"/>
              <w:marBottom w:val="100"/>
              <w:divBdr>
                <w:top w:val="none" w:sz="0" w:space="0" w:color="auto"/>
                <w:left w:val="none" w:sz="0" w:space="0" w:color="auto"/>
                <w:bottom w:val="none" w:sz="0" w:space="0" w:color="auto"/>
                <w:right w:val="none" w:sz="0" w:space="0" w:color="auto"/>
              </w:divBdr>
            </w:div>
            <w:div w:id="562369325">
              <w:blockQuote w:val="1"/>
              <w:marLeft w:val="720"/>
              <w:marRight w:val="720"/>
              <w:marTop w:val="100"/>
              <w:marBottom w:val="100"/>
              <w:divBdr>
                <w:top w:val="none" w:sz="0" w:space="0" w:color="auto"/>
                <w:left w:val="none" w:sz="0" w:space="0" w:color="auto"/>
                <w:bottom w:val="none" w:sz="0" w:space="0" w:color="auto"/>
                <w:right w:val="none" w:sz="0" w:space="0" w:color="auto"/>
              </w:divBdr>
            </w:div>
            <w:div w:id="56368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3595</Words>
  <Characters>20496</Characters>
  <Application>Microsoft Office Word</Application>
  <DocSecurity>0</DocSecurity>
  <Lines>170</Lines>
  <Paragraphs>48</Paragraphs>
  <ScaleCrop>false</ScaleCrop>
  <Company/>
  <LinksUpToDate>false</LinksUpToDate>
  <CharactersWithSpaces>24043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2024-09-17T13:45:00Z</dcterms:created>
  <dcterms:modified xsi:type="dcterms:W3CDTF">2024-09-17T13:45:00Z</dcterms:modified>
</cp:coreProperties>
</file>