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9816E" w14:textId="77777777" w:rsidR="00BB3975" w:rsidRDefault="00BB3975" w:rsidP="00BB3975">
      <w:pPr>
        <w:pStyle w:val="Heading1"/>
        <w:shd w:val="clear" w:color="auto" w:fill="FFFFFF"/>
        <w:spacing w:before="0" w:beforeAutospacing="0" w:after="0" w:afterAutospacing="0" w:line="336" w:lineRule="atLeast"/>
        <w:jc w:val="center"/>
        <w:rPr>
          <w:color w:val="2F2F2F"/>
          <w:spacing w:val="3"/>
          <w:sz w:val="35"/>
          <w:szCs w:val="35"/>
        </w:rPr>
      </w:pPr>
      <w:r>
        <w:rPr>
          <w:color w:val="2F2F2F"/>
          <w:spacing w:val="3"/>
          <w:sz w:val="35"/>
          <w:szCs w:val="35"/>
        </w:rPr>
        <w:t>Baylie v. Swift &amp; Co., 283 Ill. App. 3d 421 (1996)</w:t>
      </w:r>
    </w:p>
    <w:p w14:paraId="2629816F" w14:textId="77777777" w:rsidR="00BB3975" w:rsidRDefault="00BB3975" w:rsidP="00BB3975">
      <w:pPr>
        <w:shd w:val="clear" w:color="auto" w:fill="FFFFFF"/>
        <w:jc w:val="center"/>
        <w:rPr>
          <w:color w:val="2F2F2F"/>
          <w:spacing w:val="3"/>
          <w:sz w:val="27"/>
          <w:szCs w:val="27"/>
        </w:rPr>
      </w:pPr>
      <w:r>
        <w:rPr>
          <w:rStyle w:val="decision-date"/>
          <w:color w:val="2F2F2F"/>
          <w:spacing w:val="3"/>
          <w:sz w:val="27"/>
          <w:szCs w:val="27"/>
        </w:rPr>
        <w:t>Sept. 9, 1996</w:t>
      </w:r>
      <w:r>
        <w:rPr>
          <w:color w:val="2F2F2F"/>
          <w:spacing w:val="3"/>
          <w:sz w:val="27"/>
          <w:szCs w:val="27"/>
        </w:rPr>
        <w:t> · </w:t>
      </w:r>
      <w:r>
        <w:rPr>
          <w:rStyle w:val="court-name"/>
          <w:color w:val="2F2F2F"/>
          <w:spacing w:val="3"/>
          <w:sz w:val="27"/>
          <w:szCs w:val="27"/>
        </w:rPr>
        <w:t>Illinois Appellate Court</w:t>
      </w:r>
      <w:r>
        <w:rPr>
          <w:color w:val="2F2F2F"/>
          <w:spacing w:val="3"/>
          <w:sz w:val="27"/>
          <w:szCs w:val="27"/>
        </w:rPr>
        <w:t> · </w:t>
      </w:r>
      <w:r>
        <w:rPr>
          <w:rStyle w:val="docket-number"/>
          <w:color w:val="2F2F2F"/>
          <w:spacing w:val="3"/>
          <w:sz w:val="27"/>
          <w:szCs w:val="27"/>
        </w:rPr>
        <w:t>No. 1—94—4150</w:t>
      </w:r>
    </w:p>
    <w:p w14:paraId="26298170" w14:textId="77777777" w:rsidR="00BB3975" w:rsidRDefault="00BB3975" w:rsidP="00BB3975">
      <w:pPr>
        <w:shd w:val="clear" w:color="auto" w:fill="FFFFFF"/>
        <w:spacing w:line="480" w:lineRule="atLeast"/>
        <w:jc w:val="center"/>
        <w:rPr>
          <w:color w:val="2F2F2F"/>
          <w:spacing w:val="3"/>
          <w:sz w:val="27"/>
          <w:szCs w:val="27"/>
        </w:rPr>
      </w:pPr>
      <w:r>
        <w:rPr>
          <w:color w:val="2F2F2F"/>
          <w:spacing w:val="3"/>
          <w:sz w:val="27"/>
          <w:szCs w:val="27"/>
        </w:rPr>
        <w:t>283 Ill. App. 3d 421</w:t>
      </w:r>
    </w:p>
    <w:p w14:paraId="26298171" w14:textId="77777777" w:rsidR="00BB3975" w:rsidRDefault="00BB3975" w:rsidP="00BB3975">
      <w:pPr>
        <w:shd w:val="clear" w:color="auto" w:fill="FFFFFF"/>
        <w:spacing w:line="240" w:lineRule="auto"/>
        <w:rPr>
          <w:rFonts w:ascii="Georgia" w:hAnsi="Georgia" w:cs="Arial"/>
          <w:color w:val="2F2F2F"/>
          <w:spacing w:val="3"/>
          <w:sz w:val="30"/>
          <w:szCs w:val="30"/>
        </w:rPr>
      </w:pPr>
      <w:r>
        <w:rPr>
          <w:rFonts w:ascii="Georgia" w:hAnsi="Georgia" w:cs="Arial"/>
          <w:color w:val="2F2F2F"/>
          <w:spacing w:val="3"/>
          <w:sz w:val="30"/>
          <w:szCs w:val="30"/>
        </w:rPr>
        <w:t>IZZIE BAYLIE et al., Plaintiffs-Appellees,</w:t>
      </w:r>
      <w:r>
        <w:rPr>
          <w:rStyle w:val="case-name-v"/>
          <w:rFonts w:ascii="Georgia" w:hAnsi="Georgia" w:cs="Arial"/>
          <w:i/>
          <w:iCs/>
          <w:color w:val="2F2F2F"/>
          <w:spacing w:val="3"/>
          <w:sz w:val="30"/>
          <w:szCs w:val="30"/>
        </w:rPr>
        <w:t>v.</w:t>
      </w:r>
      <w:r>
        <w:rPr>
          <w:rFonts w:ascii="Georgia" w:hAnsi="Georgia" w:cs="Arial"/>
          <w:color w:val="2F2F2F"/>
          <w:spacing w:val="3"/>
          <w:sz w:val="30"/>
          <w:szCs w:val="30"/>
        </w:rPr>
        <w:t>SWIFT AND COMPANY, Defendant-Appellant</w:t>
      </w:r>
    </w:p>
    <w:p w14:paraId="26298172" w14:textId="77777777" w:rsidR="00BB3975" w:rsidRDefault="00BB3975" w:rsidP="00BB3975">
      <w:pPr>
        <w:pStyle w:val="court"/>
        <w:rPr>
          <w:rFonts w:ascii="Georgia" w:hAnsi="Georgia"/>
        </w:rPr>
      </w:pPr>
      <w:r>
        <w:rPr>
          <w:rFonts w:ascii="Georgia" w:hAnsi="Georgia"/>
        </w:rPr>
        <w:t>First District (1st Division)</w:t>
      </w:r>
    </w:p>
    <w:p w14:paraId="26298173" w14:textId="51370E63" w:rsidR="00BB3975" w:rsidRDefault="00BB3975" w:rsidP="00BB3975">
      <w:pPr>
        <w:pStyle w:val="attorneys"/>
        <w:shd w:val="clear" w:color="auto" w:fill="F7F7F9"/>
        <w:spacing w:after="0" w:afterAutospacing="0"/>
        <w:rPr>
          <w:rFonts w:ascii="Georgia" w:hAnsi="Georgia"/>
        </w:rPr>
      </w:pPr>
      <w:r w:rsidRPr="00236645">
        <w:rPr>
          <w:rFonts w:ascii="Georgia" w:hAnsi="Georgia"/>
          <w:i/>
          <w:iCs/>
          <w:sz w:val="19"/>
          <w:szCs w:val="19"/>
        </w:rPr>
        <w:t>*424</w:t>
      </w:r>
      <w:r>
        <w:rPr>
          <w:rFonts w:ascii="Georgia" w:hAnsi="Georgia"/>
        </w:rPr>
        <w:t>Cassiday, Schade &amp; Gloor, of Chicago (D. Patterson Gloor and Jennifer A. Keller, of counsel), for appellant.</w:t>
      </w:r>
    </w:p>
    <w:p w14:paraId="26298174" w14:textId="77777777" w:rsidR="00BB3975" w:rsidRDefault="00BB3975" w:rsidP="00BB3975">
      <w:pPr>
        <w:pStyle w:val="attorneys"/>
        <w:shd w:val="clear" w:color="auto" w:fill="F7F7F9"/>
        <w:spacing w:before="0" w:beforeAutospacing="0" w:after="0" w:afterAutospacing="0"/>
        <w:rPr>
          <w:rFonts w:ascii="Georgia" w:hAnsi="Georgia"/>
        </w:rPr>
      </w:pPr>
      <w:r>
        <w:rPr>
          <w:rFonts w:ascii="Georgia" w:hAnsi="Georgia"/>
        </w:rPr>
        <w:t>Corboy &amp; Demetrio, P.C., of Chicago (Philip H. Corboy, Thomas A. Demetrio, Michael G. Mahoney, and David A. Novoselsky, of counsel), for appellees.</w:t>
      </w:r>
    </w:p>
    <w:p w14:paraId="26298175" w14:textId="77777777" w:rsidR="00BB3975" w:rsidRDefault="00BB3975" w:rsidP="00BB3975">
      <w:pPr>
        <w:pStyle w:val="author"/>
        <w:spacing w:after="225" w:afterAutospacing="0"/>
        <w:rPr>
          <w:rFonts w:ascii="Georgia" w:hAnsi="Georgia"/>
          <w:color w:val="E878FF"/>
        </w:rPr>
      </w:pPr>
      <w:r>
        <w:rPr>
          <w:rFonts w:ascii="Georgia" w:hAnsi="Georgia"/>
          <w:color w:val="E878FF"/>
        </w:rPr>
        <w:t>PRESIDING JUSTICE CAMPBELL</w:t>
      </w:r>
    </w:p>
    <w:p w14:paraId="26298176" w14:textId="77777777" w:rsidR="00BB3975" w:rsidRDefault="00BB3975" w:rsidP="00BB3975">
      <w:pPr>
        <w:pStyle w:val="NormalWeb"/>
        <w:spacing w:after="225" w:afterAutospacing="0"/>
        <w:rPr>
          <w:rFonts w:ascii="Georgia" w:hAnsi="Georgia"/>
        </w:rPr>
      </w:pPr>
      <w:r>
        <w:rPr>
          <w:rFonts w:ascii="Georgia" w:hAnsi="Georgia"/>
        </w:rPr>
        <w:t>delivered the opinion of the court:</w:t>
      </w:r>
    </w:p>
    <w:p w14:paraId="26298177" w14:textId="77777777" w:rsidR="00BB3975" w:rsidRDefault="00BB3975" w:rsidP="00BB3975">
      <w:pPr>
        <w:pStyle w:val="NormalWeb"/>
        <w:spacing w:after="225" w:afterAutospacing="0"/>
        <w:rPr>
          <w:rFonts w:ascii="Georgia" w:hAnsi="Georgia"/>
        </w:rPr>
      </w:pPr>
      <w:r w:rsidRPr="00776E1B">
        <w:rPr>
          <w:rFonts w:ascii="Georgia" w:hAnsi="Georgia"/>
          <w:highlight w:val="magenta"/>
        </w:rPr>
        <w:t>Defendant Swift &amp; Co. (Swift) appeals from a $6.2 million judgment entered against it and in favor of plaintiffs, Izzie Baylie and Amanda Bailey, as special administrator of the estate of Forest Bailey.</w:t>
      </w:r>
      <w:r>
        <w:rPr>
          <w:rFonts w:ascii="Georgia" w:hAnsi="Georgia"/>
        </w:rPr>
        <w:t xml:space="preserve"> On appeal, Swift contends that: (1) the trial court erred in striking its affirmative defense of </w:t>
      </w:r>
      <w:r>
        <w:rPr>
          <w:rStyle w:val="Emphasis"/>
          <w:rFonts w:ascii="Georgia" w:hAnsi="Georgia"/>
        </w:rPr>
        <w:t>laches', </w:t>
      </w:r>
      <w:r>
        <w:rPr>
          <w:rFonts w:ascii="Georgia" w:hAnsi="Georgia"/>
        </w:rPr>
        <w:t>(2) the trial court erred in failing to dismiss the action based on </w:t>
      </w:r>
      <w:r>
        <w:rPr>
          <w:rStyle w:val="Emphasis"/>
          <w:rFonts w:ascii="Georgia" w:hAnsi="Georgia"/>
        </w:rPr>
        <w:t>laches', </w:t>
      </w:r>
      <w:r>
        <w:rPr>
          <w:rFonts w:ascii="Georgia" w:hAnsi="Georgia"/>
        </w:rPr>
        <w:t xml:space="preserve">(3) the trial court erred in failing to grant Swift’s motion for judgment notwithstanding the verdict; and (4) the trial court erred in failing to grant Swift’s motion for a new trial, based on alleged enumerated trial errors. For the following reasons, </w:t>
      </w:r>
      <w:r w:rsidRPr="00776E1B">
        <w:rPr>
          <w:rFonts w:ascii="Georgia" w:hAnsi="Georgia"/>
          <w:highlight w:val="red"/>
        </w:rPr>
        <w:t>we affirm.</w:t>
      </w:r>
    </w:p>
    <w:p w14:paraId="26298178" w14:textId="77777777" w:rsidR="00BB3975" w:rsidRDefault="00BB3975" w:rsidP="00BB3975">
      <w:pPr>
        <w:pStyle w:val="NormalWeb"/>
        <w:spacing w:after="225" w:afterAutospacing="0"/>
        <w:rPr>
          <w:rFonts w:ascii="Georgia" w:hAnsi="Georgia"/>
        </w:rPr>
      </w:pPr>
      <w:r>
        <w:rPr>
          <w:rFonts w:ascii="Georgia" w:hAnsi="Georgia"/>
        </w:rPr>
        <w:t>BACKGROUND</w:t>
      </w:r>
    </w:p>
    <w:p w14:paraId="26298179" w14:textId="77777777" w:rsidR="00BB3975" w:rsidRDefault="00BB3975" w:rsidP="00BB3975">
      <w:pPr>
        <w:pStyle w:val="NormalWeb"/>
        <w:spacing w:after="0" w:afterAutospacing="0"/>
        <w:rPr>
          <w:rFonts w:ascii="Georgia" w:hAnsi="Georgia"/>
        </w:rPr>
      </w:pPr>
      <w:r>
        <w:rPr>
          <w:rFonts w:ascii="Georgia" w:hAnsi="Georgia"/>
        </w:rPr>
        <w:t xml:space="preserve">The following facts are relevant to this appeal. </w:t>
      </w:r>
      <w:r w:rsidRPr="00776E1B">
        <w:rPr>
          <w:rFonts w:ascii="Georgia" w:hAnsi="Georgia"/>
          <w:highlight w:val="yellow"/>
        </w:rPr>
        <w:t>Izzie Baylie (Izzie) and his brother Forest Bailey (Forest)</w:t>
      </w:r>
      <w:hyperlink r:id="rId5" w:anchor="footnote_1_1" w:history="1">
        <w:r w:rsidRPr="00776E1B">
          <w:rPr>
            <w:rStyle w:val="Hyperlink"/>
            <w:rFonts w:ascii="Georgia" w:hAnsi="Georgia"/>
            <w:b/>
            <w:bCs/>
            <w:color w:val="E878FF"/>
            <w:highlight w:val="yellow"/>
            <w:vertAlign w:val="superscript"/>
          </w:rPr>
          <w:t>1</w:t>
        </w:r>
      </w:hyperlink>
      <w:r w:rsidRPr="00776E1B">
        <w:rPr>
          <w:rFonts w:ascii="Georgia" w:hAnsi="Georgia"/>
          <w:highlight w:val="yellow"/>
        </w:rPr>
        <w:t> were injured as a result of an explosion and fire that occurred on July 6, 1963, at the A. Cramer Company (Cramer), in Oak Lawn, Illinois. Izzie and Forest were employed by Cramer, a custom milling operation, to grind calcium stearate for use in a soap product manufactured by Swift.</w:t>
      </w:r>
    </w:p>
    <w:p w14:paraId="2629817A" w14:textId="39CA87D5" w:rsidR="00BB3975" w:rsidRDefault="00BB3975" w:rsidP="00BB3975">
      <w:pPr>
        <w:pStyle w:val="NormalWeb"/>
        <w:spacing w:after="225" w:afterAutospacing="0"/>
        <w:rPr>
          <w:rFonts w:ascii="Georgia" w:hAnsi="Georgia"/>
        </w:rPr>
      </w:pPr>
      <w:r w:rsidRPr="00776E1B">
        <w:rPr>
          <w:rFonts w:ascii="Georgia" w:hAnsi="Georgia"/>
          <w:highlight w:val="magenta"/>
        </w:rPr>
        <w:t>Plaintiffs filed a negligence action in 1964, alleging that Swift had failed to warn Cramer that calcium stearate presented a risk of explosion under certain circumstances. Following a jury trial in May 1971, the trial court directed a verdict for Swift. In December 1975, this court reversed and remanded the case for a new trial, finding the jury should have been permitted to determine whether Swift had a duty to warn plaintiffs of the danger of a calcium stearate dust </w:t>
      </w:r>
      <w:r w:rsidRPr="00236645">
        <w:rPr>
          <w:rFonts w:ascii="Georgia" w:hAnsi="Georgia"/>
          <w:i/>
          <w:iCs/>
          <w:sz w:val="19"/>
          <w:szCs w:val="19"/>
          <w:highlight w:val="magenta"/>
        </w:rPr>
        <w:t>*425</w:t>
      </w:r>
      <w:r w:rsidRPr="00776E1B">
        <w:rPr>
          <w:rFonts w:ascii="Georgia" w:hAnsi="Georgia"/>
          <w:highlight w:val="magenta"/>
        </w:rPr>
        <w:t>explosion. </w:t>
      </w:r>
      <w:r w:rsidRPr="00776E1B">
        <w:rPr>
          <w:rStyle w:val="Emphasis"/>
          <w:rFonts w:ascii="Georgia" w:hAnsi="Georgia"/>
          <w:highlight w:val="magenta"/>
        </w:rPr>
        <w:t>Baylie v. Swift &amp; Co., </w:t>
      </w:r>
      <w:hyperlink r:id="rId6" w:history="1">
        <w:r w:rsidRPr="00776E1B">
          <w:rPr>
            <w:rStyle w:val="Hyperlink"/>
            <w:rFonts w:ascii="Georgia" w:hAnsi="Georgia"/>
            <w:color w:val="007BFF"/>
            <w:highlight w:val="magenta"/>
          </w:rPr>
          <w:t>27 Ill. App. 3d 1031</w:t>
        </w:r>
      </w:hyperlink>
      <w:r w:rsidRPr="00776E1B">
        <w:rPr>
          <w:rFonts w:ascii="Georgia" w:hAnsi="Georgia"/>
          <w:highlight w:val="magenta"/>
        </w:rPr>
        <w:t>, </w:t>
      </w:r>
      <w:r w:rsidRPr="00236645">
        <w:rPr>
          <w:rFonts w:ascii="Georgia" w:hAnsi="Georgia"/>
          <w:highlight w:val="magenta"/>
        </w:rPr>
        <w:t>327 N.E.2d 438</w:t>
      </w:r>
      <w:r w:rsidRPr="00776E1B">
        <w:rPr>
          <w:rFonts w:ascii="Georgia" w:hAnsi="Georgia"/>
          <w:highlight w:val="magenta"/>
        </w:rPr>
        <w:t> (1975) </w:t>
      </w:r>
      <w:r w:rsidRPr="00776E1B">
        <w:rPr>
          <w:rStyle w:val="Emphasis"/>
          <w:rFonts w:ascii="Georgia" w:hAnsi="Georgia"/>
          <w:highlight w:val="magenta"/>
        </w:rPr>
        <w:t>(Baylie I).</w:t>
      </w:r>
    </w:p>
    <w:p w14:paraId="2629817B" w14:textId="77777777" w:rsidR="00BB3975" w:rsidRDefault="00BB3975" w:rsidP="00BB3975">
      <w:pPr>
        <w:pStyle w:val="NormalWeb"/>
        <w:spacing w:after="225" w:afterAutospacing="0"/>
        <w:rPr>
          <w:rFonts w:ascii="Georgia" w:hAnsi="Georgia"/>
        </w:rPr>
      </w:pPr>
      <w:r w:rsidRPr="00776E1B">
        <w:rPr>
          <w:rFonts w:ascii="Georgia" w:hAnsi="Georgia"/>
          <w:highlight w:val="magenta"/>
        </w:rPr>
        <w:t>In July 1994, the case was retried before a jury resulting in a $6.2 million judgment against Swift.</w:t>
      </w:r>
      <w:r>
        <w:rPr>
          <w:rFonts w:ascii="Georgia" w:hAnsi="Georgia"/>
        </w:rPr>
        <w:t xml:space="preserve"> Much of the evidence presented at the 1994 trial duplicates the evidence presented in </w:t>
      </w:r>
      <w:r>
        <w:rPr>
          <w:rStyle w:val="Emphasis"/>
          <w:rFonts w:ascii="Georgia" w:hAnsi="Georgia"/>
        </w:rPr>
        <w:t>Baylie I. </w:t>
      </w:r>
      <w:r>
        <w:rPr>
          <w:rFonts w:ascii="Georgia" w:hAnsi="Georgia"/>
        </w:rPr>
        <w:t>Therefore, we recite the facts only to the extent necessary to resolve the matters now before us.</w:t>
      </w:r>
    </w:p>
    <w:p w14:paraId="2629817C" w14:textId="77777777" w:rsidR="00BB3975" w:rsidRDefault="00BB3975" w:rsidP="00BB3975">
      <w:pPr>
        <w:pStyle w:val="NormalWeb"/>
        <w:spacing w:after="225" w:afterAutospacing="0"/>
        <w:rPr>
          <w:rFonts w:ascii="Georgia" w:hAnsi="Georgia"/>
        </w:rPr>
      </w:pPr>
      <w:r>
        <w:rPr>
          <w:rFonts w:ascii="Georgia" w:hAnsi="Georgia"/>
        </w:rPr>
        <w:lastRenderedPageBreak/>
        <w:t>1994 TRIAL</w:t>
      </w:r>
    </w:p>
    <w:p w14:paraId="2629817D" w14:textId="77777777" w:rsidR="00BB3975" w:rsidRDefault="00BB3975" w:rsidP="00BB3975">
      <w:pPr>
        <w:pStyle w:val="NormalWeb"/>
        <w:spacing w:after="225" w:afterAutospacing="0"/>
        <w:rPr>
          <w:rFonts w:ascii="Georgia" w:hAnsi="Georgia"/>
        </w:rPr>
      </w:pPr>
      <w:r>
        <w:rPr>
          <w:rFonts w:ascii="Georgia" w:hAnsi="Georgia"/>
        </w:rPr>
        <w:t xml:space="preserve">At trial, </w:t>
      </w:r>
      <w:r w:rsidRPr="00776E1B">
        <w:rPr>
          <w:rFonts w:ascii="Georgia" w:hAnsi="Georgia"/>
          <w:highlight w:val="yellow"/>
        </w:rPr>
        <w:t>William Blew</w:t>
      </w:r>
      <w:r>
        <w:rPr>
          <w:rFonts w:ascii="Georgia" w:hAnsi="Georgia"/>
        </w:rPr>
        <w:t xml:space="preserve"> testified that he </w:t>
      </w:r>
      <w:r w:rsidRPr="00776E1B">
        <w:rPr>
          <w:rFonts w:ascii="Georgia" w:hAnsi="Georgia"/>
          <w:highlight w:val="yellow"/>
        </w:rPr>
        <w:t>was employed by Swift as a chemical engineer in the research and development department from 1951-71. Swift manufactured various types of soaps, the components of which were produced as a byproduct of its meat production operations. In 1959, Blew developed and patented a method for efficiently producing calcium stearate in solid form.</w:t>
      </w:r>
    </w:p>
    <w:p w14:paraId="2629817E" w14:textId="77777777" w:rsidR="00BB3975" w:rsidRPr="00776E1B" w:rsidRDefault="00BB3975" w:rsidP="00BB3975">
      <w:pPr>
        <w:pStyle w:val="NormalWeb"/>
        <w:spacing w:after="225" w:afterAutospacing="0"/>
        <w:rPr>
          <w:rFonts w:ascii="Georgia" w:hAnsi="Georgia"/>
          <w:highlight w:val="yellow"/>
        </w:rPr>
      </w:pPr>
      <w:r w:rsidRPr="00776E1B">
        <w:rPr>
          <w:rFonts w:ascii="Georgia" w:hAnsi="Georgia"/>
          <w:highlight w:val="yellow"/>
        </w:rPr>
        <w:t>Swift eventually discovered other markets for calcium stearate, including uses as an anti-caking agent in salt, cosmetics and pharmaceuticals, and as a waterproofing agent. For these applications, calcium stearate had to be crushed to a nonuniform grind, resulting in a "325 mesh” fine powder form. To achieve a 325 mesh, the ground substance must pass through a screen consisting of 325 openings per square inch. In 1959, Swift contracted with Cramer to grind the calcium stearate to 325 mesh because Swift did not have the means or the expertise to do so.</w:t>
      </w:r>
    </w:p>
    <w:p w14:paraId="2629817F" w14:textId="77777777" w:rsidR="00BB3975" w:rsidRDefault="00BB3975" w:rsidP="00BB3975">
      <w:pPr>
        <w:pStyle w:val="NormalWeb"/>
        <w:spacing w:after="225" w:afterAutospacing="0"/>
        <w:rPr>
          <w:rFonts w:ascii="Georgia" w:hAnsi="Georgia"/>
        </w:rPr>
      </w:pPr>
      <w:r w:rsidRPr="00776E1B">
        <w:rPr>
          <w:rFonts w:ascii="Georgia" w:hAnsi="Georgia"/>
          <w:highlight w:val="yellow"/>
        </w:rPr>
        <w:t>Blew had no knowledge that calcium stearate was flammable or explosive. However, Blew stated that if he had reason to believe that a product created by Swift was either flammable or combustible, Swift was responsible for testing its product. Blew was not knowledgeable about dust explosions. Although he was generally familiar with the Federal Bureau of Mines (Bureau), he did not know that the Bureau could test compounds manufactured by industry for ex-plosibility.</w:t>
      </w:r>
    </w:p>
    <w:p w14:paraId="26298180" w14:textId="77777777" w:rsidR="00BB3975" w:rsidRDefault="00BB3975" w:rsidP="00BB3975">
      <w:pPr>
        <w:pStyle w:val="NormalWeb"/>
        <w:spacing w:after="225" w:afterAutospacing="0"/>
        <w:rPr>
          <w:rFonts w:ascii="Georgia" w:hAnsi="Georgia"/>
        </w:rPr>
      </w:pPr>
      <w:r w:rsidRPr="00776E1B">
        <w:rPr>
          <w:rFonts w:ascii="Georgia" w:hAnsi="Georgia"/>
        </w:rPr>
        <w:t>Blew</w:t>
      </w:r>
      <w:r>
        <w:rPr>
          <w:rFonts w:ascii="Georgia" w:hAnsi="Georgia"/>
        </w:rPr>
        <w:t xml:space="preserve"> testified that </w:t>
      </w:r>
      <w:r w:rsidRPr="00776E1B">
        <w:rPr>
          <w:rFonts w:ascii="Georgia" w:hAnsi="Georgia"/>
          <w:highlight w:val="yellow"/>
        </w:rPr>
        <w:t>the general properties of a material were determined at Swift’s research center, which employed chemists and chemical engineers. Swift’s research center analyzed calcium stearate for numerous properties. Although Swift was equipped to determine the flash point of materials, Swift did not determine the flash point of calcium stearate.</w:t>
      </w:r>
    </w:p>
    <w:p w14:paraId="26298181" w14:textId="77777777" w:rsidR="00BB3975" w:rsidRDefault="00BB3975" w:rsidP="00BB3975">
      <w:pPr>
        <w:pStyle w:val="NormalWeb"/>
        <w:spacing w:after="225" w:afterAutospacing="0"/>
        <w:rPr>
          <w:rFonts w:ascii="Georgia" w:hAnsi="Georgia"/>
        </w:rPr>
      </w:pPr>
      <w:r>
        <w:rPr>
          <w:rFonts w:ascii="Georgia" w:hAnsi="Georgia"/>
        </w:rPr>
        <w:t>The 1971 trial testimony of Dr. Robert Causland and Oak Lawn fire captain Earl Vogelsanger was read to the jury.</w:t>
      </w:r>
    </w:p>
    <w:p w14:paraId="26298182" w14:textId="3CD2F6B3" w:rsidR="00BB3975" w:rsidRDefault="00BB3975" w:rsidP="00BB3975">
      <w:pPr>
        <w:pStyle w:val="NormalWeb"/>
        <w:spacing w:after="225" w:afterAutospacing="0"/>
        <w:rPr>
          <w:rFonts w:ascii="Georgia" w:hAnsi="Georgia"/>
        </w:rPr>
      </w:pPr>
      <w:r w:rsidRPr="00776E1B">
        <w:rPr>
          <w:rFonts w:ascii="Georgia" w:hAnsi="Georgia"/>
          <w:highlight w:val="yellow"/>
        </w:rPr>
        <w:t>Causland testified that on the basis of his own testing of calcium stearate, the material was not flammable. Causland informed Cramer personnel that the material was not flammable. On his visits to </w:t>
      </w:r>
      <w:hyperlink r:id="rId7" w:anchor="p426" w:history="1">
        <w:r w:rsidRPr="00776E1B">
          <w:rPr>
            <w:rStyle w:val="Hyperlink"/>
            <w:rFonts w:ascii="Georgia" w:hAnsi="Georgia"/>
            <w:i/>
            <w:iCs/>
            <w:color w:val="979797"/>
            <w:sz w:val="19"/>
            <w:szCs w:val="19"/>
            <w:highlight w:val="yellow"/>
          </w:rPr>
          <w:t>*426</w:t>
        </w:r>
      </w:hyperlink>
      <w:r w:rsidRPr="00776E1B">
        <w:rPr>
          <w:rFonts w:ascii="Georgia" w:hAnsi="Georgia"/>
          <w:highlight w:val="yellow"/>
        </w:rPr>
        <w:t>the Cramer plant, Causland noticed gray-white dust coming from the grinding area, but never called the atmospheric condition of the plant to the attention of Cramer personnel.</w:t>
      </w:r>
      <w:r>
        <w:rPr>
          <w:rFonts w:ascii="Georgia" w:hAnsi="Georgia"/>
        </w:rPr>
        <w:t xml:space="preserve"> Causland denied talking to Izzie Baylie on the telephone in late June or early July 1963 regarding a calcium stearate order from Monsanto Chemical. </w:t>
      </w:r>
      <w:r w:rsidRPr="00776E1B">
        <w:rPr>
          <w:rFonts w:ascii="Georgia" w:hAnsi="Georgia"/>
          <w:highlight w:val="yellow"/>
        </w:rPr>
        <w:t>Causland stated that he left for vacation on June 29 or June 30, and returned on July 13, 1963.</w:t>
      </w:r>
      <w:r>
        <w:rPr>
          <w:rFonts w:ascii="Georgia" w:hAnsi="Georgia"/>
        </w:rPr>
        <w:t xml:space="preserve"> See </w:t>
      </w:r>
      <w:r>
        <w:rPr>
          <w:rStyle w:val="Emphasis"/>
          <w:rFonts w:ascii="Georgia" w:hAnsi="Georgia"/>
        </w:rPr>
        <w:t>Baylie, </w:t>
      </w:r>
      <w:r w:rsidRPr="00236645">
        <w:rPr>
          <w:rFonts w:ascii="Georgia" w:hAnsi="Georgia"/>
        </w:rPr>
        <w:t>27 Ill. App. 3d at 1035</w:t>
      </w:r>
      <w:r>
        <w:rPr>
          <w:rFonts w:ascii="Georgia" w:hAnsi="Georgia"/>
        </w:rPr>
        <w:t>.</w:t>
      </w:r>
    </w:p>
    <w:p w14:paraId="26298183" w14:textId="77777777" w:rsidR="00BB3975" w:rsidRDefault="00BB3975" w:rsidP="00BB3975">
      <w:pPr>
        <w:pStyle w:val="NormalWeb"/>
        <w:spacing w:after="225" w:afterAutospacing="0"/>
        <w:rPr>
          <w:rFonts w:ascii="Georgia" w:hAnsi="Georgia"/>
        </w:rPr>
      </w:pPr>
      <w:r>
        <w:rPr>
          <w:rFonts w:ascii="Georgia" w:hAnsi="Georgia"/>
        </w:rPr>
        <w:t xml:space="preserve">Vogelsanger determined that </w:t>
      </w:r>
      <w:r w:rsidRPr="00776E1B">
        <w:rPr>
          <w:rFonts w:ascii="Georgia" w:hAnsi="Georgia"/>
          <w:highlight w:val="yellow"/>
        </w:rPr>
        <w:t>the explosion in the grinding room was caused by an accumulation of dust, which is a hazardous condition in any mill. On almost every prior inspection of the Cramer plant, the fire department found an accumulation of dust, which they recommended be cleaned up.</w:t>
      </w:r>
      <w:r>
        <w:rPr>
          <w:rFonts w:ascii="Georgia" w:hAnsi="Georgia"/>
        </w:rPr>
        <w:t xml:space="preserve"> Vogelsanger concluded that the plant was not cleaned as requested. See </w:t>
      </w:r>
      <w:r>
        <w:rPr>
          <w:rStyle w:val="Emphasis"/>
          <w:rFonts w:ascii="Georgia" w:hAnsi="Georgia"/>
        </w:rPr>
        <w:t>Baylie, </w:t>
      </w:r>
      <w:hyperlink r:id="rId8" w:history="1">
        <w:r>
          <w:rPr>
            <w:rStyle w:val="Hyperlink"/>
            <w:rFonts w:ascii="Georgia" w:hAnsi="Georgia"/>
            <w:color w:val="007BFF"/>
          </w:rPr>
          <w:t>27 Ill. App. 3d at 1039</w:t>
        </w:r>
      </w:hyperlink>
      <w:r>
        <w:rPr>
          <w:rFonts w:ascii="Georgia" w:hAnsi="Georgia"/>
        </w:rPr>
        <w:t>.</w:t>
      </w:r>
    </w:p>
    <w:p w14:paraId="26298184" w14:textId="6F3C925B" w:rsidR="00BB3975" w:rsidRDefault="00BB3975" w:rsidP="00BB3975">
      <w:pPr>
        <w:pStyle w:val="NormalWeb"/>
        <w:spacing w:after="225" w:afterAutospacing="0"/>
        <w:rPr>
          <w:rFonts w:ascii="Georgia" w:hAnsi="Georgia"/>
        </w:rPr>
      </w:pPr>
      <w:r>
        <w:rPr>
          <w:rFonts w:ascii="Georgia" w:hAnsi="Georgia"/>
        </w:rPr>
        <w:t xml:space="preserve">In addition, the evidence deposition of </w:t>
      </w:r>
      <w:r w:rsidRPr="00776E1B">
        <w:rPr>
          <w:rFonts w:ascii="Georgia" w:hAnsi="Georgia"/>
          <w:highlight w:val="yellow"/>
        </w:rPr>
        <w:t>Matthew Hannon</w:t>
      </w:r>
      <w:r>
        <w:rPr>
          <w:rFonts w:ascii="Georgia" w:hAnsi="Georgia"/>
        </w:rPr>
        <w:t>, who died prior to the 1971 trial, was read into the record. Hannon w</w:t>
      </w:r>
      <w:r w:rsidRPr="00776E1B">
        <w:rPr>
          <w:rFonts w:ascii="Georgia" w:hAnsi="Georgia"/>
          <w:highlight w:val="yellow"/>
        </w:rPr>
        <w:t xml:space="preserve">as the general manager of the Cramer plant </w:t>
      </w:r>
      <w:r w:rsidRPr="00776E1B">
        <w:rPr>
          <w:rFonts w:ascii="Georgia" w:hAnsi="Georgia"/>
          <w:highlight w:val="yellow"/>
        </w:rPr>
        <w:lastRenderedPageBreak/>
        <w:t>beginning in 1960. Neither Hannon nor his predecessor, Gerald Lewis, had any background in grinding or pulverizing.</w:t>
      </w:r>
      <w:r>
        <w:rPr>
          <w:rFonts w:ascii="Georgia" w:hAnsi="Georgia"/>
        </w:rPr>
        <w:t xml:space="preserve"> Hannon stated that </w:t>
      </w:r>
      <w:r w:rsidRPr="00776E1B">
        <w:rPr>
          <w:rFonts w:ascii="Georgia" w:hAnsi="Georgia"/>
          <w:highlight w:val="yellow"/>
        </w:rPr>
        <w:t>it was Cramer’s policy not to accept flammable or explosive materials for grinding. Hannon consulted with his partners, Dr. Siehrs and Dr. Cramer, as well as with a chemical book, before accepting a particular product for grinding.</w:t>
      </w:r>
      <w:r>
        <w:rPr>
          <w:rFonts w:ascii="Georgia" w:hAnsi="Georgia"/>
        </w:rPr>
        <w:t xml:space="preserve"> See </w:t>
      </w:r>
      <w:r>
        <w:rPr>
          <w:rStyle w:val="Emphasis"/>
          <w:rFonts w:ascii="Georgia" w:hAnsi="Georgia"/>
        </w:rPr>
        <w:t>Baylie, </w:t>
      </w:r>
      <w:r w:rsidRPr="00236645">
        <w:rPr>
          <w:rFonts w:ascii="Georgia" w:hAnsi="Georgia"/>
        </w:rPr>
        <w:t>27 Ill. App. 3d at 1037-38</w:t>
      </w:r>
      <w:r>
        <w:rPr>
          <w:rFonts w:ascii="Georgia" w:hAnsi="Georgia"/>
        </w:rPr>
        <w:t>.</w:t>
      </w:r>
    </w:p>
    <w:p w14:paraId="26298185" w14:textId="77777777" w:rsidR="00BB3975" w:rsidRDefault="00BB3975" w:rsidP="00BB3975">
      <w:pPr>
        <w:pStyle w:val="NormalWeb"/>
        <w:spacing w:after="225" w:afterAutospacing="0"/>
        <w:rPr>
          <w:rFonts w:ascii="Georgia" w:hAnsi="Georgia"/>
        </w:rPr>
      </w:pPr>
      <w:r>
        <w:rPr>
          <w:rFonts w:ascii="Georgia" w:hAnsi="Georgia"/>
        </w:rPr>
        <w:t xml:space="preserve">Plaintiff then read Swift’s answers to certain interrogatories into the record. The interrogatories were answered by George Mehl, the leader of the soap division at Swift at the time of the explosion. Mehl stated that </w:t>
      </w:r>
      <w:r w:rsidRPr="00776E1B">
        <w:rPr>
          <w:rFonts w:ascii="Georgia" w:hAnsi="Georgia"/>
          <w:highlight w:val="yellow"/>
        </w:rPr>
        <w:t>Swift employed "scores of chemists and chemical engineers,</w:t>
      </w:r>
      <w:r>
        <w:rPr>
          <w:rFonts w:ascii="Georgia" w:hAnsi="Georgia"/>
        </w:rPr>
        <w:t xml:space="preserve">” and that </w:t>
      </w:r>
      <w:r w:rsidRPr="00776E1B">
        <w:rPr>
          <w:rFonts w:ascii="Georgia" w:hAnsi="Georgia"/>
          <w:highlight w:val="yellow"/>
        </w:rPr>
        <w:t>Swift supervisory personnel, including Causland and Mehl, visited the Cramer plant on numerous occasions.</w:t>
      </w:r>
      <w:r>
        <w:rPr>
          <w:rFonts w:ascii="Georgia" w:hAnsi="Georgia"/>
        </w:rPr>
        <w:t xml:space="preserve"> Mehl further stated that </w:t>
      </w:r>
      <w:r w:rsidRPr="00776E1B">
        <w:rPr>
          <w:rFonts w:ascii="Georgia" w:hAnsi="Georgia"/>
          <w:highlight w:val="yellow"/>
        </w:rPr>
        <w:t>Swift gave no warning to Cramer or any employees regarding the probability of instantaneous combustion, explosion or flash fire resulting from the dust suspended in the atmosphere during the pulverization of calcium stearate. Mehl stated that calcium stearate is nonflammable and, therefore, does not have the requisite properties to arrive at a flash point.</w:t>
      </w:r>
    </w:p>
    <w:p w14:paraId="26298186" w14:textId="77777777" w:rsidR="00BB3975" w:rsidRDefault="00BB3975" w:rsidP="00BB3975">
      <w:pPr>
        <w:pStyle w:val="NormalWeb"/>
        <w:spacing w:after="225" w:afterAutospacing="0"/>
        <w:rPr>
          <w:rFonts w:ascii="Georgia" w:hAnsi="Georgia"/>
        </w:rPr>
      </w:pPr>
      <w:r w:rsidRPr="00776E1B">
        <w:rPr>
          <w:rFonts w:ascii="Georgia" w:hAnsi="Georgia"/>
          <w:highlight w:val="yellow"/>
        </w:rPr>
        <w:t>Dr. Chester Grelecki</w:t>
      </w:r>
      <w:r>
        <w:rPr>
          <w:rFonts w:ascii="Georgia" w:hAnsi="Georgia"/>
        </w:rPr>
        <w:t xml:space="preserve"> then testified as an expert witness on plaintiffs’ behalf. Dr. Grelecki </w:t>
      </w:r>
      <w:r w:rsidRPr="00776E1B">
        <w:rPr>
          <w:rFonts w:ascii="Georgia" w:hAnsi="Georgia"/>
          <w:highlight w:val="yellow"/>
        </w:rPr>
        <w:t>is the president and chief scientist of Hazards Research Corporation (Hazards), a consulting firm that provides hazardous material testing services to the chemical processing industry.</w:t>
      </w:r>
    </w:p>
    <w:p w14:paraId="26298187" w14:textId="77777777" w:rsidR="00BB3975" w:rsidRDefault="00BB3975" w:rsidP="00BB3975">
      <w:pPr>
        <w:pStyle w:val="NormalWeb"/>
        <w:spacing w:after="225" w:afterAutospacing="0"/>
        <w:rPr>
          <w:rFonts w:ascii="Georgia" w:hAnsi="Georgia"/>
        </w:rPr>
      </w:pPr>
      <w:r w:rsidRPr="00776E1B">
        <w:rPr>
          <w:rFonts w:ascii="Georgia" w:hAnsi="Georgia"/>
          <w:highlight w:val="yellow"/>
        </w:rPr>
        <w:t>Dr. Grelecki defined an explosion as a very rapid expansion of a high pressure gas. A dust explosion occurs where the source of the high pressure gas combusts, emitting finely dispersed particles into the atmosphere. The properties that control the violence of the dust </w:t>
      </w:r>
      <w:hyperlink r:id="rId9" w:anchor="p427" w:history="1">
        <w:r w:rsidRPr="00776E1B">
          <w:rPr>
            <w:rStyle w:val="Hyperlink"/>
            <w:rFonts w:ascii="Georgia" w:hAnsi="Georgia"/>
            <w:i/>
            <w:iCs/>
            <w:color w:val="979797"/>
            <w:sz w:val="19"/>
            <w:szCs w:val="19"/>
            <w:highlight w:val="yellow"/>
          </w:rPr>
          <w:t>*427</w:t>
        </w:r>
      </w:hyperlink>
      <w:r w:rsidRPr="00776E1B">
        <w:rPr>
          <w:rFonts w:ascii="Georgia" w:hAnsi="Georgia"/>
          <w:highlight w:val="yellow"/>
        </w:rPr>
        <w:t>explosion are the rate at which the dust burns and how fast it produces expandable gas. The faster the dust produces the gas, the more violent the explosion.</w:t>
      </w:r>
    </w:p>
    <w:p w14:paraId="26298188" w14:textId="77777777" w:rsidR="00BB3975" w:rsidRDefault="00BB3975" w:rsidP="00BB3975">
      <w:pPr>
        <w:pStyle w:val="NormalWeb"/>
        <w:spacing w:after="225" w:afterAutospacing="0"/>
        <w:rPr>
          <w:rFonts w:ascii="Georgia" w:hAnsi="Georgia"/>
        </w:rPr>
      </w:pPr>
      <w:r w:rsidRPr="00776E1B">
        <w:rPr>
          <w:rFonts w:ascii="Georgia" w:hAnsi="Georgia"/>
          <w:highlight w:val="yellow"/>
        </w:rPr>
        <w:t>The rate at which dust produces gas depends on how finely the dust is divided. A small particle is consumed by flame faster. Very tiny 10-micron particles, the average size of particles used in the milling operations, have a very rapid rate of consumption by flame.</w:t>
      </w:r>
    </w:p>
    <w:p w14:paraId="26298189" w14:textId="77777777" w:rsidR="00BB3975" w:rsidRPr="00776E1B" w:rsidRDefault="00BB3975" w:rsidP="00BB3975">
      <w:pPr>
        <w:pStyle w:val="NormalWeb"/>
        <w:spacing w:after="225" w:afterAutospacing="0"/>
        <w:rPr>
          <w:rFonts w:ascii="Georgia" w:hAnsi="Georgia"/>
          <w:highlight w:val="yellow"/>
        </w:rPr>
      </w:pPr>
      <w:r w:rsidRPr="00776E1B">
        <w:rPr>
          <w:rFonts w:ascii="Georgia" w:hAnsi="Georgia"/>
          <w:highlight w:val="yellow"/>
        </w:rPr>
        <w:t>Dr. Grelecki stated that calcium stearate does indeed have a flash point when pulverized. Before any material burns, it must vaporize. Combustion occurs during the vapor phase in the visible flame. When heated to the point of liquification, calcium stearate would have enough vapor to burn.</w:t>
      </w:r>
    </w:p>
    <w:p w14:paraId="2629818A" w14:textId="77777777" w:rsidR="00BB3975" w:rsidRDefault="00BB3975" w:rsidP="00BB3975">
      <w:pPr>
        <w:pStyle w:val="NormalWeb"/>
        <w:spacing w:after="225" w:afterAutospacing="0"/>
        <w:rPr>
          <w:rFonts w:ascii="Georgia" w:hAnsi="Georgia"/>
        </w:rPr>
      </w:pPr>
      <w:r w:rsidRPr="00776E1B">
        <w:rPr>
          <w:rFonts w:ascii="Georgia" w:hAnsi="Georgia"/>
          <w:highlight w:val="yellow"/>
        </w:rPr>
        <w:t>In 1971, Hazards evaluated the explosibility of calcium stearate, based on the standards established in 1960 by the Federal Bureau of Mines (Bureau). The Bureau was created to measure the explosibility of coal dusts in the 1920s or 1930s. In the late 1930s or early 1940s, the Bureau performed explosibility tests on other materials for the chemical industry.</w:t>
      </w:r>
      <w:r>
        <w:rPr>
          <w:rFonts w:ascii="Georgia" w:hAnsi="Georgia"/>
        </w:rPr>
        <w:t xml:space="preserve"> As such, Dr. Grelecki stated that </w:t>
      </w:r>
      <w:r w:rsidRPr="00776E1B">
        <w:rPr>
          <w:rFonts w:ascii="Georgia" w:hAnsi="Georgia"/>
          <w:highlight w:val="yellow"/>
        </w:rPr>
        <w:t>Swift could have submitted calcium stearate to the Bureau in the 1950s for an evaluation at an estimated cost of $20. Prior to 1968, the Bureau tested thousands of chemicals for explosibility and filed reports. A Bureau report published in that year concluded that calcium stearate dust constituted a severe explosion hazard. This information could have been known in the 1950s through testing methods available, although the Bureau did not test calcium stearate for explosibility until 1968.</w:t>
      </w:r>
    </w:p>
    <w:p w14:paraId="2629818B" w14:textId="77777777" w:rsidR="00BB3975" w:rsidRDefault="00BB3975" w:rsidP="00BB3975">
      <w:pPr>
        <w:pStyle w:val="NormalWeb"/>
        <w:spacing w:after="225" w:afterAutospacing="0"/>
        <w:rPr>
          <w:rFonts w:ascii="Georgia" w:hAnsi="Georgia"/>
        </w:rPr>
      </w:pPr>
      <w:r w:rsidRPr="00776E1B">
        <w:rPr>
          <w:rFonts w:ascii="Georgia" w:hAnsi="Georgia"/>
          <w:highlight w:val="yellow"/>
        </w:rPr>
        <w:t>Hazards performed tests on three different sizes of calcium stearate; the smallest sample milled at 325 mesh. The 325-mesh sample had the fastest reaction time in burning and exploding, giving it a severe rating comparable to that of cornstarch, which has been long known to be a severe hazardous dust.</w:t>
      </w:r>
    </w:p>
    <w:p w14:paraId="2629818C" w14:textId="77777777" w:rsidR="00BB3975" w:rsidRDefault="00BB3975" w:rsidP="00BB3975">
      <w:pPr>
        <w:pStyle w:val="NormalWeb"/>
        <w:spacing w:after="225" w:afterAutospacing="0"/>
        <w:rPr>
          <w:rFonts w:ascii="Georgia" w:hAnsi="Georgia"/>
        </w:rPr>
      </w:pPr>
      <w:r w:rsidRPr="00776E1B">
        <w:rPr>
          <w:rFonts w:ascii="Georgia" w:hAnsi="Georgia"/>
          <w:highlight w:val="yellow"/>
        </w:rPr>
        <w:t>Hazards’ evaluation revealed that a 325-mesh particle could ignite with a spark.</w:t>
      </w:r>
      <w:r>
        <w:rPr>
          <w:rFonts w:ascii="Georgia" w:hAnsi="Georgia"/>
        </w:rPr>
        <w:t xml:space="preserve"> Dr. Grelecki explained that </w:t>
      </w:r>
      <w:r w:rsidRPr="00776E1B">
        <w:rPr>
          <w:rFonts w:ascii="Georgia" w:hAnsi="Georgia"/>
          <w:highlight w:val="yellow"/>
        </w:rPr>
        <w:t>dust explosions come in pairs: first there is a small explosion, which disperses other material into the atmosphere, thereby causing a second, larger explosion.</w:t>
      </w:r>
    </w:p>
    <w:p w14:paraId="2629818D" w14:textId="77777777" w:rsidR="00BB3975" w:rsidRDefault="00BB3975" w:rsidP="00BB3975">
      <w:pPr>
        <w:pStyle w:val="NormalWeb"/>
        <w:spacing w:after="225" w:afterAutospacing="0"/>
        <w:rPr>
          <w:rFonts w:ascii="Georgia" w:hAnsi="Georgia"/>
        </w:rPr>
      </w:pPr>
      <w:r w:rsidRPr="00776E1B">
        <w:rPr>
          <w:rFonts w:ascii="Georgia" w:hAnsi="Georgia"/>
          <w:highlight w:val="yellow"/>
        </w:rPr>
        <w:t xml:space="preserve">In Dr. Grelecki’s opinion, based upon a reasonable degree of certainty relating to physical chemistry in fire and explosion hazards, the cause of the explosion on July 6, 1963, was the combustion of finely divided calcium stearate. His opinion was based on the fact that calcium stearate was the only material in the area in quantities large enough to produce the resulting explosion effects that resulted. </w:t>
      </w:r>
      <w:r w:rsidRPr="00776E1B">
        <w:rPr>
          <w:rFonts w:ascii="Georgia" w:hAnsi="Georgia"/>
        </w:rPr>
        <w:t>In Grelecki’s opinion, Swift had the responsibility to divulge to Cramer the combustion characteristics of calcium stearate because Swift manufactured the material.</w:t>
      </w:r>
    </w:p>
    <w:p w14:paraId="2629818E" w14:textId="62DBE5D8" w:rsidR="00BB3975" w:rsidRDefault="00BB3975" w:rsidP="00BB3975">
      <w:pPr>
        <w:pStyle w:val="NormalWeb"/>
        <w:spacing w:after="225" w:afterAutospacing="0"/>
        <w:rPr>
          <w:rFonts w:ascii="Georgia" w:hAnsi="Georgia"/>
        </w:rPr>
      </w:pPr>
      <w:r w:rsidRPr="00236645">
        <w:rPr>
          <w:rFonts w:ascii="Georgia" w:hAnsi="Georgia"/>
          <w:i/>
          <w:iCs/>
          <w:sz w:val="19"/>
          <w:szCs w:val="19"/>
          <w:highlight w:val="yellow"/>
        </w:rPr>
        <w:t>*428</w:t>
      </w:r>
      <w:r w:rsidRPr="005C1BCB">
        <w:rPr>
          <w:rFonts w:ascii="Georgia" w:hAnsi="Georgia"/>
          <w:highlight w:val="yellow"/>
        </w:rPr>
        <w:t xml:space="preserve">Dr. Grelecki further opined that the ventilation and the electrical facilities in the </w:t>
      </w:r>
      <w:r w:rsidRPr="00776E1B">
        <w:rPr>
          <w:rFonts w:ascii="Georgia" w:hAnsi="Georgia"/>
          <w:highlight w:val="yellow"/>
        </w:rPr>
        <w:t>Cramer plant were inadequate and that the equipment being used was not adequate for milling calcium stearate to 325 mesh and packing it in the manner in which it was packed.</w:t>
      </w:r>
      <w:r>
        <w:rPr>
          <w:rFonts w:ascii="Georgia" w:hAnsi="Georgia"/>
        </w:rPr>
        <w:t xml:space="preserve"> These conditions should have been apparent to Swift, as </w:t>
      </w:r>
      <w:r w:rsidRPr="00776E1B">
        <w:rPr>
          <w:rFonts w:ascii="Georgia" w:hAnsi="Georgia"/>
          <w:highlight w:val="yellow"/>
        </w:rPr>
        <w:t>Swift representatives visited the Cramer plant and saw that housekeeping was poor and that there was dust in the atmosphere.</w:t>
      </w:r>
      <w:r>
        <w:rPr>
          <w:rFonts w:ascii="Georgia" w:hAnsi="Georgia"/>
        </w:rPr>
        <w:t xml:space="preserve"> Dr. Grelecki stated that Swift should have known </w:t>
      </w:r>
      <w:r w:rsidRPr="00776E1B">
        <w:rPr>
          <w:rFonts w:ascii="Georgia" w:hAnsi="Georgia"/>
          <w:highlight w:val="yellow"/>
        </w:rPr>
        <w:t>during the first week of July 1963,</w:t>
      </w:r>
      <w:r>
        <w:rPr>
          <w:rFonts w:ascii="Georgia" w:hAnsi="Georgia"/>
        </w:rPr>
        <w:t xml:space="preserve"> when </w:t>
      </w:r>
      <w:r w:rsidRPr="00776E1B">
        <w:rPr>
          <w:rFonts w:ascii="Georgia" w:hAnsi="Georgia"/>
          <w:highlight w:val="yellow"/>
        </w:rPr>
        <w:t>Cramer employees were working a double shift to satisfy a rush 800-bag 40,000-pound order</w:t>
      </w:r>
      <w:r>
        <w:rPr>
          <w:rFonts w:ascii="Georgia" w:hAnsi="Georgia"/>
        </w:rPr>
        <w:t xml:space="preserve">, </w:t>
      </w:r>
      <w:r w:rsidRPr="00776E1B">
        <w:rPr>
          <w:rFonts w:ascii="Georgia" w:hAnsi="Georgia"/>
        </w:rPr>
        <w:t>that</w:t>
      </w:r>
      <w:r>
        <w:rPr>
          <w:rFonts w:ascii="Georgia" w:hAnsi="Georgia"/>
        </w:rPr>
        <w:t xml:space="preserve"> </w:t>
      </w:r>
      <w:r w:rsidRPr="00776E1B">
        <w:rPr>
          <w:rFonts w:ascii="Georgia" w:hAnsi="Georgia"/>
          <w:highlight w:val="yellow"/>
        </w:rPr>
        <w:t>Cramer was not equipped to operate two mills</w:t>
      </w:r>
      <w:r>
        <w:rPr>
          <w:rFonts w:ascii="Georgia" w:hAnsi="Georgia"/>
        </w:rPr>
        <w:t xml:space="preserve"> at the same time for the first time, </w:t>
      </w:r>
      <w:r w:rsidRPr="00776E1B">
        <w:rPr>
          <w:rFonts w:ascii="Georgia" w:hAnsi="Georgia"/>
          <w:highlight w:val="yellow"/>
        </w:rPr>
        <w:t>because it would double the amount of dust in the atmosphere.</w:t>
      </w:r>
    </w:p>
    <w:p w14:paraId="2629818F" w14:textId="77777777" w:rsidR="00BB3975" w:rsidRDefault="00BB3975" w:rsidP="00BB3975">
      <w:pPr>
        <w:pStyle w:val="NormalWeb"/>
        <w:spacing w:after="225" w:afterAutospacing="0"/>
        <w:rPr>
          <w:rFonts w:ascii="Georgia" w:hAnsi="Georgia"/>
        </w:rPr>
      </w:pPr>
      <w:r>
        <w:rPr>
          <w:rFonts w:ascii="Georgia" w:hAnsi="Georgia"/>
        </w:rPr>
        <w:t xml:space="preserve">On cross-examination, Dr. Grelecki admitted that </w:t>
      </w:r>
      <w:r w:rsidRPr="005C1BCB">
        <w:rPr>
          <w:rFonts w:ascii="Georgia" w:hAnsi="Georgia"/>
          <w:highlight w:val="yellow"/>
        </w:rPr>
        <w:t>if Swift had searched the scientific literature available regarding the explosive possibilities of calcium stearate prior to the timé of the explosion, Swift would not have found any published reports or articles.</w:t>
      </w:r>
      <w:r>
        <w:rPr>
          <w:rFonts w:ascii="Georgia" w:hAnsi="Georgia"/>
        </w:rPr>
        <w:t xml:space="preserve"> The explosion occurring on July 6, 1963, is the only explosion of calcium stearate about which Dr. Grelecki is aware.</w:t>
      </w:r>
    </w:p>
    <w:p w14:paraId="26298190" w14:textId="77777777" w:rsidR="00BB3975" w:rsidRDefault="00BB3975" w:rsidP="00BB3975">
      <w:pPr>
        <w:pStyle w:val="NormalWeb"/>
        <w:spacing w:after="225" w:afterAutospacing="0"/>
        <w:rPr>
          <w:rFonts w:ascii="Georgia" w:hAnsi="Georgia"/>
        </w:rPr>
      </w:pPr>
      <w:r w:rsidRPr="005C1BCB">
        <w:rPr>
          <w:rFonts w:ascii="Georgia" w:hAnsi="Georgia"/>
          <w:highlight w:val="yellow"/>
        </w:rPr>
        <w:t>Izzie Baylie</w:t>
      </w:r>
      <w:r>
        <w:rPr>
          <w:rFonts w:ascii="Georgia" w:hAnsi="Georgia"/>
        </w:rPr>
        <w:t xml:space="preserve"> testified that he </w:t>
      </w:r>
      <w:r w:rsidRPr="005C1BCB">
        <w:rPr>
          <w:rFonts w:ascii="Georgia" w:hAnsi="Georgia"/>
          <w:highlight w:val="yellow"/>
        </w:rPr>
        <w:t>began working at the Cramer plant in 1958. Shortly thereafter, Forest Bailey and Izzie’s brother-in-law, James Allen, began employment at Cramer.</w:t>
      </w:r>
    </w:p>
    <w:p w14:paraId="26298191" w14:textId="77777777" w:rsidR="00BB3975" w:rsidRDefault="00BB3975" w:rsidP="00BB3975">
      <w:pPr>
        <w:pStyle w:val="NormalWeb"/>
        <w:spacing w:after="225" w:afterAutospacing="0"/>
        <w:rPr>
          <w:rFonts w:ascii="Georgia" w:hAnsi="Georgia"/>
        </w:rPr>
      </w:pPr>
      <w:r w:rsidRPr="005C1BCB">
        <w:rPr>
          <w:rFonts w:ascii="Georgia" w:hAnsi="Georgia"/>
          <w:highlight w:val="yellow"/>
        </w:rPr>
        <w:t>Initially, Izzie operated the crusher machine which crushed material through a 50-mesh screen. Izzie described the work environment as "real dirty.”</w:t>
      </w:r>
      <w:r>
        <w:rPr>
          <w:rFonts w:ascii="Georgia" w:hAnsi="Georgia"/>
        </w:rPr>
        <w:t xml:space="preserve"> He stated that </w:t>
      </w:r>
      <w:r w:rsidRPr="005C1BCB">
        <w:rPr>
          <w:rFonts w:ascii="Georgia" w:hAnsi="Georgia"/>
          <w:highlight w:val="yellow"/>
        </w:rPr>
        <w:t>the workers had to change clothes and wash their glasses often. Smoking was not permitted inside the grinding plant.</w:t>
      </w:r>
    </w:p>
    <w:p w14:paraId="26298192" w14:textId="77777777" w:rsidR="00BB3975" w:rsidRDefault="00BB3975" w:rsidP="00BB3975">
      <w:pPr>
        <w:pStyle w:val="NormalWeb"/>
        <w:spacing w:after="225" w:afterAutospacing="0"/>
        <w:rPr>
          <w:rFonts w:ascii="Georgia" w:hAnsi="Georgia"/>
        </w:rPr>
      </w:pPr>
      <w:r w:rsidRPr="005C1BCB">
        <w:rPr>
          <w:rFonts w:ascii="Georgia" w:hAnsi="Georgia"/>
          <w:highlight w:val="yellow"/>
        </w:rPr>
        <w:t>After six months, Izzie began working with calcium stearate every day. The material was delivered from Swift in 50-pound boxes twice a week, and Izzie broke large chunks of the material with a sledgehammer in order to fit the pieces into the crushing machine. The material was then lifted by truck in a pallet and put into 50-pound drums, which were driven over to the micro grinding mills, numbered 5 and 6. Prior to July 6, 1963, the two mills had never been operated simultaneously.</w:t>
      </w:r>
      <w:r>
        <w:rPr>
          <w:rFonts w:ascii="Georgia" w:hAnsi="Georgia"/>
        </w:rPr>
        <w:t xml:space="preserve"> Izzie described the grinding operation in great detail, as he did in </w:t>
      </w:r>
      <w:r>
        <w:rPr>
          <w:rStyle w:val="Emphasis"/>
          <w:rFonts w:ascii="Georgia" w:hAnsi="Georgia"/>
        </w:rPr>
        <w:t>Baylie I. </w:t>
      </w:r>
      <w:r>
        <w:rPr>
          <w:rFonts w:ascii="Georgia" w:hAnsi="Georgia"/>
        </w:rPr>
        <w:t>See </w:t>
      </w:r>
      <w:r>
        <w:rPr>
          <w:rStyle w:val="Emphasis"/>
          <w:rFonts w:ascii="Georgia" w:hAnsi="Georgia"/>
        </w:rPr>
        <w:t>Baylie, </w:t>
      </w:r>
      <w:hyperlink r:id="rId10" w:history="1">
        <w:r>
          <w:rPr>
            <w:rStyle w:val="Hyperlink"/>
            <w:rFonts w:ascii="Georgia" w:hAnsi="Georgia"/>
            <w:color w:val="007BFF"/>
          </w:rPr>
          <w:t>27 Ill. App. 3d at 1036-37</w:t>
        </w:r>
      </w:hyperlink>
      <w:r>
        <w:rPr>
          <w:rFonts w:ascii="Georgia" w:hAnsi="Georgia"/>
        </w:rPr>
        <w:t>.</w:t>
      </w:r>
    </w:p>
    <w:p w14:paraId="26298193" w14:textId="77777777" w:rsidR="00BB3975" w:rsidRDefault="00BB3975" w:rsidP="00BB3975">
      <w:pPr>
        <w:pStyle w:val="NormalWeb"/>
        <w:spacing w:after="225" w:afterAutospacing="0"/>
        <w:rPr>
          <w:rFonts w:ascii="Georgia" w:hAnsi="Georgia"/>
        </w:rPr>
      </w:pPr>
      <w:r>
        <w:rPr>
          <w:rFonts w:ascii="Georgia" w:hAnsi="Georgia"/>
        </w:rPr>
        <w:t xml:space="preserve">Izzie testified that, to his knowledge, </w:t>
      </w:r>
      <w:r w:rsidRPr="005C1BCB">
        <w:rPr>
          <w:rFonts w:ascii="Georgia" w:hAnsi="Georgia"/>
          <w:highlight w:val="yellow"/>
        </w:rPr>
        <w:t>Causland was in charge of calcium stearate production for Swift. Causland visited the Cramer plant once or twice a week when Cramer was milling calcium stearate. On those occasions, Causland checked the different pulverizing strains in the lab, then returned to the plant and retrieved some of the calcium stearate out of a bag. Causland either weighed the material in the plant or took it into the lab.</w:t>
      </w:r>
    </w:p>
    <w:p w14:paraId="26298194" w14:textId="03C1768A" w:rsidR="00BB3975" w:rsidRDefault="00BB3975" w:rsidP="00BB3975">
      <w:pPr>
        <w:pStyle w:val="NormalWeb"/>
        <w:spacing w:after="225" w:afterAutospacing="0"/>
        <w:rPr>
          <w:rFonts w:ascii="Georgia" w:hAnsi="Georgia"/>
        </w:rPr>
      </w:pPr>
      <w:r w:rsidRPr="00236645">
        <w:rPr>
          <w:rFonts w:ascii="Georgia" w:hAnsi="Georgia"/>
          <w:i/>
          <w:iCs/>
          <w:sz w:val="19"/>
          <w:szCs w:val="19"/>
          <w:highlight w:val="yellow"/>
        </w:rPr>
        <w:t>*429</w:t>
      </w:r>
      <w:r w:rsidRPr="005C1BCB">
        <w:rPr>
          <w:rFonts w:ascii="Georgia" w:hAnsi="Georgia"/>
          <w:highlight w:val="yellow"/>
        </w:rPr>
        <w:t>Cramer ran two shifts during the month of June 1963. The first shift worked 7 a.m. until 3:30 p.m., and the second shift worked from 3 p.m. until 11:30 p.m.</w:t>
      </w:r>
      <w:r>
        <w:rPr>
          <w:rFonts w:ascii="Georgia" w:hAnsi="Georgia"/>
        </w:rPr>
        <w:t xml:space="preserve"> Izzie stated that </w:t>
      </w:r>
      <w:r w:rsidRPr="005C1BCB">
        <w:rPr>
          <w:rFonts w:ascii="Georgia" w:hAnsi="Georgia"/>
          <w:highlight w:val="yellow"/>
        </w:rPr>
        <w:t>on a Friday, in the latter part of June 1963, Causland called and ordered 600 bags of calcium stearate for delivery in five or six days. Izzie said he could not have that many bags ready in that time with only one machine running. Izzie told Causland that machine No. 6 was out of operation, explaining that the machine had to be refitted with new parts in order to pulverize to a 325 mesh. The parts arrived on the following Tuesday, July 2. On Wednesday July 3, five Cramer employees worked the day shift, and four worked the night shift. On July 4 and 5, both machines were running simultaneously.</w:t>
      </w:r>
    </w:p>
    <w:p w14:paraId="26298195" w14:textId="77777777" w:rsidR="00BB3975" w:rsidRDefault="00BB3975" w:rsidP="00BB3975">
      <w:pPr>
        <w:pStyle w:val="NormalWeb"/>
        <w:spacing w:after="225" w:afterAutospacing="0"/>
        <w:rPr>
          <w:rFonts w:ascii="Georgia" w:hAnsi="Georgia"/>
        </w:rPr>
      </w:pPr>
      <w:r w:rsidRPr="005C1BCB">
        <w:rPr>
          <w:rFonts w:ascii="Georgia" w:hAnsi="Georgia"/>
          <w:highlight w:val="yellow"/>
        </w:rPr>
        <w:t>When Izzie came into work in the morning after both machines had been running, the plant was full of dust, and there was dust in the air. Exhaust fans helped to clear some of the dust until the mills started again.</w:t>
      </w:r>
    </w:p>
    <w:p w14:paraId="26298196" w14:textId="77777777" w:rsidR="00BB3975" w:rsidRDefault="00BB3975" w:rsidP="00BB3975">
      <w:pPr>
        <w:pStyle w:val="NormalWeb"/>
        <w:spacing w:after="225" w:afterAutospacing="0"/>
        <w:rPr>
          <w:rFonts w:ascii="Georgia" w:hAnsi="Georgia"/>
        </w:rPr>
      </w:pPr>
      <w:r w:rsidRPr="005C1BCB">
        <w:rPr>
          <w:rFonts w:ascii="Georgia" w:hAnsi="Georgia"/>
          <w:highlight w:val="yellow"/>
        </w:rPr>
        <w:t>Izzie</w:t>
      </w:r>
      <w:r>
        <w:rPr>
          <w:rFonts w:ascii="Georgia" w:hAnsi="Georgia"/>
        </w:rPr>
        <w:t xml:space="preserve"> stated that he </w:t>
      </w:r>
      <w:r w:rsidRPr="005C1BCB">
        <w:rPr>
          <w:rFonts w:ascii="Georgia" w:hAnsi="Georgia"/>
          <w:highlight w:val="yellow"/>
        </w:rPr>
        <w:t>spoke with Causland on Friday, July 5, around 11 a.m. At that time, Causland stated that the order had been increased to 800 bags. Izzie stated that they would have to work over the weekend to fill that order.</w:t>
      </w:r>
    </w:p>
    <w:p w14:paraId="26298197" w14:textId="77777777" w:rsidR="00BB3975" w:rsidRDefault="00BB3975" w:rsidP="00BB3975">
      <w:pPr>
        <w:pStyle w:val="NormalWeb"/>
        <w:spacing w:after="225" w:afterAutospacing="0"/>
        <w:rPr>
          <w:rFonts w:ascii="Georgia" w:hAnsi="Georgia"/>
        </w:rPr>
      </w:pPr>
      <w:r w:rsidRPr="005C1BCB">
        <w:rPr>
          <w:rFonts w:ascii="Georgia" w:hAnsi="Georgia"/>
          <w:highlight w:val="yellow"/>
        </w:rPr>
        <w:t>On Saturday, July 6, Izzie arrived at work at 6 a.m. Allen and Forest worked with Izzie that day. Izzie was expecting two other men, but they failed to show up. The three men started operating both mills, rotating the various jobs required.</w:t>
      </w:r>
    </w:p>
    <w:p w14:paraId="26298198" w14:textId="77777777" w:rsidR="00BB3975" w:rsidRDefault="00BB3975" w:rsidP="00BB3975">
      <w:pPr>
        <w:pStyle w:val="NormalWeb"/>
        <w:spacing w:after="225" w:afterAutospacing="0"/>
        <w:rPr>
          <w:rFonts w:ascii="Georgia" w:hAnsi="Georgia"/>
        </w:rPr>
      </w:pPr>
      <w:r w:rsidRPr="005C1BCB">
        <w:rPr>
          <w:rFonts w:ascii="Georgia" w:hAnsi="Georgia"/>
          <w:highlight w:val="yellow"/>
        </w:rPr>
        <w:t>Later in the morning, as Izzie was stitching bags, he heard a boom. He looked back and saw a ball of fire between each dust collector on the north wall. Izzie was on fire, and he fell on some bags. Izzie went to check on Forest and Allen. Immediately thereafter, another explosion occurred, and Izzie was catapulted out of the building. Prior to July 6, 1963, Izzie did not know whether or not calcium stearate was flammable or combustible.</w:t>
      </w:r>
    </w:p>
    <w:p w14:paraId="26298199" w14:textId="77777777" w:rsidR="00BB3975" w:rsidRDefault="00BB3975" w:rsidP="00BB3975">
      <w:pPr>
        <w:pStyle w:val="NormalWeb"/>
        <w:spacing w:after="225" w:afterAutospacing="0"/>
        <w:rPr>
          <w:rFonts w:ascii="Georgia" w:hAnsi="Georgia"/>
        </w:rPr>
      </w:pPr>
      <w:r>
        <w:rPr>
          <w:rFonts w:ascii="Georgia" w:hAnsi="Georgia"/>
        </w:rPr>
        <w:t xml:space="preserve">The parties stipulated that </w:t>
      </w:r>
      <w:r w:rsidRPr="005C1BCB">
        <w:rPr>
          <w:rFonts w:ascii="Georgia" w:hAnsi="Georgia"/>
          <w:highlight w:val="yellow"/>
        </w:rPr>
        <w:t>Dr. Archie Cramer died in July 1993, and Dr. Arthur Siehrs died in May 1987.</w:t>
      </w:r>
      <w:r>
        <w:rPr>
          <w:rFonts w:ascii="Georgia" w:hAnsi="Georgia"/>
        </w:rPr>
        <w:t xml:space="preserve"> The parties further stipulated that </w:t>
      </w:r>
      <w:r w:rsidRPr="005C1BCB">
        <w:rPr>
          <w:rFonts w:ascii="Georgia" w:hAnsi="Georgia"/>
          <w:highlight w:val="yellow"/>
        </w:rPr>
        <w:t>Izzie Baylie has a life expectancy of 13.1 years.</w:t>
      </w:r>
    </w:p>
    <w:p w14:paraId="2629819A" w14:textId="77777777" w:rsidR="00BB3975" w:rsidRDefault="00BB3975" w:rsidP="00BB3975">
      <w:pPr>
        <w:pStyle w:val="NormalWeb"/>
        <w:spacing w:after="225" w:afterAutospacing="0"/>
        <w:rPr>
          <w:rFonts w:ascii="Georgia" w:hAnsi="Georgia"/>
        </w:rPr>
      </w:pPr>
      <w:r>
        <w:rPr>
          <w:rFonts w:ascii="Georgia" w:hAnsi="Georgia"/>
        </w:rPr>
        <w:t xml:space="preserve">Swift introduced the prior trial testimony of </w:t>
      </w:r>
      <w:r w:rsidRPr="005C1BCB">
        <w:rPr>
          <w:rFonts w:ascii="Georgia" w:hAnsi="Georgia"/>
          <w:highlight w:val="yellow"/>
        </w:rPr>
        <w:t>George Mehl</w:t>
      </w:r>
      <w:r>
        <w:rPr>
          <w:rFonts w:ascii="Georgia" w:hAnsi="Georgia"/>
        </w:rPr>
        <w:t xml:space="preserve">, who </w:t>
      </w:r>
      <w:r w:rsidRPr="005C1BCB">
        <w:rPr>
          <w:rFonts w:ascii="Georgia" w:hAnsi="Georgia"/>
          <w:highlight w:val="yellow"/>
        </w:rPr>
        <w:t>died in April 1993.</w:t>
      </w:r>
      <w:r>
        <w:rPr>
          <w:rFonts w:ascii="Georgia" w:hAnsi="Georgia"/>
        </w:rPr>
        <w:t xml:space="preserve"> </w:t>
      </w:r>
      <w:r w:rsidRPr="005C1BCB">
        <w:rPr>
          <w:rFonts w:ascii="Georgia" w:hAnsi="Georgia"/>
          <w:highlight w:val="yellow"/>
        </w:rPr>
        <w:t>From 1959 until 1963, Mehl was the superintendent of the soap division. Mehl visited the Cramer plant four to five times. He passed through the milling area very quickly to get to another part of the plant, because he was there to sample random lots of product and to inspect packaging. He made no observations of the manufacturing area because he was a guest in Cramer’s plant.</w:t>
      </w:r>
    </w:p>
    <w:p w14:paraId="2629819B" w14:textId="77777777" w:rsidR="00BB3975" w:rsidRDefault="00BB3975" w:rsidP="00BB3975">
      <w:pPr>
        <w:pStyle w:val="NormalWeb"/>
        <w:spacing w:after="225" w:afterAutospacing="0"/>
        <w:rPr>
          <w:rFonts w:ascii="Georgia" w:hAnsi="Georgia"/>
        </w:rPr>
      </w:pPr>
      <w:r w:rsidRPr="005C1BCB">
        <w:rPr>
          <w:rFonts w:ascii="Georgia" w:hAnsi="Georgia"/>
          <w:highlight w:val="magenta"/>
        </w:rPr>
        <w:t>Following closing arguments and jury instructions, the jury returned a verdict in favor of plaintiffs and against Swift, awarding </w:t>
      </w:r>
      <w:hyperlink r:id="rId11" w:anchor="p430" w:history="1">
        <w:r w:rsidRPr="005C1BCB">
          <w:rPr>
            <w:rStyle w:val="Hyperlink"/>
            <w:rFonts w:ascii="Georgia" w:hAnsi="Georgia"/>
            <w:i/>
            <w:iCs/>
            <w:color w:val="979797"/>
            <w:sz w:val="19"/>
            <w:szCs w:val="19"/>
            <w:highlight w:val="magenta"/>
          </w:rPr>
          <w:t>*430</w:t>
        </w:r>
      </w:hyperlink>
      <w:r w:rsidRPr="005C1BCB">
        <w:rPr>
          <w:rFonts w:ascii="Georgia" w:hAnsi="Georgia"/>
          <w:highlight w:val="magenta"/>
        </w:rPr>
        <w:t>$4,250,000 to Izzie Baylie and $1,950,000 to the estate of Forest Bailey. The trial court entered an order denying Swift’s post-trial motion in its entirety on October 27, 1994. This timely appeal followed.</w:t>
      </w:r>
    </w:p>
    <w:p w14:paraId="2629819C" w14:textId="77777777" w:rsidR="00BB3975" w:rsidRDefault="00BB3975" w:rsidP="00BB3975">
      <w:pPr>
        <w:pStyle w:val="NormalWeb"/>
        <w:spacing w:after="225" w:afterAutospacing="0"/>
        <w:rPr>
          <w:rFonts w:ascii="Georgia" w:hAnsi="Georgia"/>
        </w:rPr>
      </w:pPr>
      <w:r>
        <w:rPr>
          <w:rFonts w:ascii="Georgia" w:hAnsi="Georgia"/>
        </w:rPr>
        <w:t>OPINION</w:t>
      </w:r>
    </w:p>
    <w:p w14:paraId="2629819D" w14:textId="77777777" w:rsidR="00BB3975" w:rsidRDefault="00BB3975" w:rsidP="00BB3975">
      <w:pPr>
        <w:pStyle w:val="NormalWeb"/>
        <w:spacing w:after="225" w:afterAutospacing="0"/>
        <w:rPr>
          <w:rFonts w:ascii="Georgia" w:hAnsi="Georgia"/>
        </w:rPr>
      </w:pPr>
      <w:r>
        <w:rPr>
          <w:rFonts w:ascii="Georgia" w:hAnsi="Georgia"/>
        </w:rPr>
        <w:t>Initially, Swift contends that the trial court erred in striking Swift’s defense of </w:t>
      </w:r>
      <w:r>
        <w:rPr>
          <w:rStyle w:val="Emphasis"/>
          <w:rFonts w:ascii="Georgia" w:hAnsi="Georgia"/>
        </w:rPr>
        <w:t>laches </w:t>
      </w:r>
      <w:r>
        <w:rPr>
          <w:rFonts w:ascii="Georgia" w:hAnsi="Georgia"/>
        </w:rPr>
        <w:t>and in failing to dismiss the action on the basis of </w:t>
      </w:r>
      <w:r>
        <w:rPr>
          <w:rStyle w:val="Emphasis"/>
          <w:rFonts w:ascii="Georgia" w:hAnsi="Georgia"/>
        </w:rPr>
        <w:t>laches. </w:t>
      </w:r>
      <w:r>
        <w:rPr>
          <w:rFonts w:ascii="Georgia" w:hAnsi="Georgia"/>
        </w:rPr>
        <w:t>Swift argues that plaintiffs are guilty of </w:t>
      </w:r>
      <w:r>
        <w:rPr>
          <w:rStyle w:val="Emphasis"/>
          <w:rFonts w:ascii="Georgia" w:hAnsi="Georgia"/>
        </w:rPr>
        <w:t>laches </w:t>
      </w:r>
      <w:r>
        <w:rPr>
          <w:rFonts w:ascii="Georgia" w:hAnsi="Georgia"/>
        </w:rPr>
        <w:t>on the following bases: plaintiffs demonstrated a lack of due diligence in bringing the case to trial, evidencéd by the various periods of inactivity between the time the case was renumbered after remand in 1975 and the trial in 1994; plaintiffs offered no plausible excuse or reason for the delay and lack of diligence; Swift was seriously prejudiced by plaintiffs’ dilatory conduct in that, over the years, a number of witnesses died or became incompetent and the law changed in Illinois, thereby depriving Swift of the defense of contributory negligence; and the impact of the time delay on the jury reflected poorly upon Swift.</w:t>
      </w:r>
    </w:p>
    <w:p w14:paraId="2629819E" w14:textId="2378E814" w:rsidR="00BB3975" w:rsidRDefault="00BB3975" w:rsidP="00BB3975">
      <w:pPr>
        <w:pStyle w:val="NormalWeb"/>
        <w:spacing w:after="225" w:afterAutospacing="0"/>
        <w:rPr>
          <w:rFonts w:ascii="Georgia" w:hAnsi="Georgia"/>
        </w:rPr>
      </w:pPr>
      <w:r>
        <w:rPr>
          <w:rStyle w:val="Emphasis"/>
          <w:rFonts w:ascii="Georgia" w:hAnsi="Georgia"/>
        </w:rPr>
        <w:t>Laches </w:t>
      </w:r>
      <w:r>
        <w:rPr>
          <w:rFonts w:ascii="Georgia" w:hAnsi="Georgia"/>
        </w:rPr>
        <w:t>is defined to be such neglect or omission to assert a right, taken in conjunction with lapse of time of more or less duration, and other circumstances causing prejudice to an adverse party. </w:t>
      </w:r>
      <w:r>
        <w:rPr>
          <w:rStyle w:val="Emphasis"/>
          <w:rFonts w:ascii="Georgia" w:hAnsi="Georgia"/>
        </w:rPr>
        <w:t>National Underground Construction Co. v. E.A. Cox Co., </w:t>
      </w:r>
      <w:r w:rsidRPr="00236645">
        <w:rPr>
          <w:rFonts w:ascii="Georgia" w:hAnsi="Georgia"/>
        </w:rPr>
        <w:t>273 Ill. App. 3d 830</w:t>
      </w:r>
      <w:r>
        <w:rPr>
          <w:rFonts w:ascii="Georgia" w:hAnsi="Georgia"/>
        </w:rPr>
        <w:t>, </w:t>
      </w:r>
      <w:hyperlink r:id="rId12" w:history="1">
        <w:r>
          <w:rPr>
            <w:rStyle w:val="Hyperlink"/>
            <w:rFonts w:ascii="Georgia" w:hAnsi="Georgia"/>
            <w:color w:val="007BFF"/>
          </w:rPr>
          <w:t>652 N.E.2d 1108</w:t>
        </w:r>
      </w:hyperlink>
      <w:r>
        <w:rPr>
          <w:rFonts w:ascii="Georgia" w:hAnsi="Georgia"/>
        </w:rPr>
        <w:t> (1995); </w:t>
      </w:r>
      <w:r>
        <w:rPr>
          <w:rStyle w:val="Emphasis"/>
          <w:rFonts w:ascii="Georgia" w:hAnsi="Georgia"/>
        </w:rPr>
        <w:t>Renth v. Krausz, </w:t>
      </w:r>
      <w:r w:rsidRPr="00236645">
        <w:rPr>
          <w:rFonts w:ascii="Georgia" w:hAnsi="Georgia"/>
        </w:rPr>
        <w:t>219 Ill. App. 3d 120</w:t>
      </w:r>
      <w:r>
        <w:rPr>
          <w:rFonts w:ascii="Georgia" w:hAnsi="Georgia"/>
        </w:rPr>
        <w:t>, 123, </w:t>
      </w:r>
      <w:hyperlink r:id="rId13" w:history="1">
        <w:r>
          <w:rPr>
            <w:rStyle w:val="Hyperlink"/>
            <w:rFonts w:ascii="Georgia" w:hAnsi="Georgia"/>
            <w:color w:val="007BFF"/>
          </w:rPr>
          <w:t>579 N.E.2d 11</w:t>
        </w:r>
      </w:hyperlink>
      <w:r>
        <w:rPr>
          <w:rFonts w:ascii="Georgia" w:hAnsi="Georgia"/>
        </w:rPr>
        <w:t> (1991). A party is guilty of </w:t>
      </w:r>
      <w:r>
        <w:rPr>
          <w:rStyle w:val="Emphasis"/>
          <w:rFonts w:ascii="Georgia" w:hAnsi="Georgia"/>
        </w:rPr>
        <w:t>laches, </w:t>
      </w:r>
      <w:r>
        <w:rPr>
          <w:rFonts w:ascii="Georgia" w:hAnsi="Georgia"/>
        </w:rPr>
        <w:t>which ordinarily bars the enforcement of his right, where he remains passive while an adverse claimant incurs risk, enters into obligations, or makes expenditures for improvements or taxes. </w:t>
      </w:r>
      <w:r>
        <w:rPr>
          <w:rStyle w:val="Emphasis"/>
          <w:rFonts w:ascii="Georgia" w:hAnsi="Georgia"/>
        </w:rPr>
        <w:t>Pyle v. Ferrell, </w:t>
      </w:r>
      <w:r w:rsidRPr="00236645">
        <w:rPr>
          <w:rFonts w:ascii="Georgia" w:hAnsi="Georgia"/>
        </w:rPr>
        <w:t>12 Ill. 2d 547</w:t>
      </w:r>
      <w:r>
        <w:rPr>
          <w:rFonts w:ascii="Georgia" w:hAnsi="Georgia"/>
        </w:rPr>
        <w:t>, </w:t>
      </w:r>
      <w:hyperlink r:id="rId14" w:history="1">
        <w:r>
          <w:rPr>
            <w:rStyle w:val="Hyperlink"/>
            <w:rFonts w:ascii="Georgia" w:hAnsi="Georgia"/>
            <w:color w:val="007BFF"/>
          </w:rPr>
          <w:t>147 N.E.2d 341</w:t>
        </w:r>
      </w:hyperlink>
      <w:r>
        <w:rPr>
          <w:rFonts w:ascii="Georgia" w:hAnsi="Georgia"/>
        </w:rPr>
        <w:t> (1958).</w:t>
      </w:r>
    </w:p>
    <w:p w14:paraId="2629819F" w14:textId="5DAFC727" w:rsidR="00BB3975" w:rsidRDefault="00BB3975" w:rsidP="00BB3975">
      <w:pPr>
        <w:pStyle w:val="NormalWeb"/>
        <w:spacing w:after="225" w:afterAutospacing="0"/>
        <w:rPr>
          <w:rFonts w:ascii="Georgia" w:hAnsi="Georgia"/>
        </w:rPr>
      </w:pPr>
      <w:r>
        <w:rPr>
          <w:rStyle w:val="Emphasis"/>
          <w:rFonts w:ascii="Georgia" w:hAnsi="Georgia"/>
        </w:rPr>
        <w:t>Laches </w:t>
      </w:r>
      <w:r>
        <w:rPr>
          <w:rFonts w:ascii="Georgia" w:hAnsi="Georgia"/>
        </w:rPr>
        <w:t>is an equitable doctrine to be invoked or rejected in the trial court’s discretion. </w:t>
      </w:r>
      <w:r>
        <w:rPr>
          <w:rStyle w:val="Emphasis"/>
          <w:rFonts w:ascii="Georgia" w:hAnsi="Georgia"/>
        </w:rPr>
        <w:t>Miller v. Bloomberg, </w:t>
      </w:r>
      <w:r w:rsidRPr="00236645">
        <w:rPr>
          <w:rFonts w:ascii="Georgia" w:hAnsi="Georgia"/>
        </w:rPr>
        <w:t>126 Ill. App. 3d 332</w:t>
      </w:r>
      <w:r>
        <w:rPr>
          <w:rFonts w:ascii="Georgia" w:hAnsi="Georgia"/>
        </w:rPr>
        <w:t>, </w:t>
      </w:r>
      <w:hyperlink r:id="rId15" w:history="1">
        <w:r>
          <w:rPr>
            <w:rStyle w:val="Hyperlink"/>
            <w:rFonts w:ascii="Georgia" w:hAnsi="Georgia"/>
            <w:color w:val="007BFF"/>
          </w:rPr>
          <w:t>466 N.E.2d 1342</w:t>
        </w:r>
      </w:hyperlink>
      <w:r>
        <w:rPr>
          <w:rFonts w:ascii="Georgia" w:hAnsi="Georgia"/>
        </w:rPr>
        <w:t> (1984). In any event, the mere passage of time does not establish </w:t>
      </w:r>
      <w:r>
        <w:rPr>
          <w:rStyle w:val="Emphasis"/>
          <w:rFonts w:ascii="Georgia" w:hAnsi="Georgia"/>
        </w:rPr>
        <w:t>laches. Cox, </w:t>
      </w:r>
      <w:r w:rsidRPr="00236645">
        <w:rPr>
          <w:rFonts w:ascii="Georgia" w:hAnsi="Georgia"/>
        </w:rPr>
        <w:t>273 Ill. App. 3d at 834</w:t>
      </w:r>
      <w:r>
        <w:rPr>
          <w:rFonts w:ascii="Georgia" w:hAnsi="Georgia"/>
        </w:rPr>
        <w:t>; </w:t>
      </w:r>
      <w:r>
        <w:rPr>
          <w:rStyle w:val="Emphasis"/>
          <w:rFonts w:ascii="Georgia" w:hAnsi="Georgia"/>
        </w:rPr>
        <w:t>Patrick Media Group, Inc. v. City of Chicago, </w:t>
      </w:r>
      <w:hyperlink r:id="rId16" w:anchor="p7" w:history="1">
        <w:r>
          <w:rPr>
            <w:rStyle w:val="Hyperlink"/>
            <w:rFonts w:ascii="Georgia" w:hAnsi="Georgia"/>
            <w:color w:val="007BFF"/>
          </w:rPr>
          <w:t>255 Ill. App. 3d 1</w:t>
        </w:r>
      </w:hyperlink>
      <w:r>
        <w:rPr>
          <w:rFonts w:ascii="Georgia" w:hAnsi="Georgia"/>
        </w:rPr>
        <w:t>, 7, </w:t>
      </w:r>
      <w:r w:rsidRPr="00236645">
        <w:rPr>
          <w:rFonts w:ascii="Georgia" w:hAnsi="Georgia"/>
        </w:rPr>
        <w:t>626 N.E.2d 1066</w:t>
      </w:r>
      <w:r>
        <w:rPr>
          <w:rFonts w:ascii="Georgia" w:hAnsi="Georgia"/>
        </w:rPr>
        <w:t> (1993).</w:t>
      </w:r>
    </w:p>
    <w:p w14:paraId="262981A0" w14:textId="77777777" w:rsidR="00BB3975" w:rsidRDefault="00BB3975" w:rsidP="00BB3975">
      <w:pPr>
        <w:pStyle w:val="NormalWeb"/>
        <w:spacing w:after="225" w:afterAutospacing="0"/>
        <w:rPr>
          <w:rFonts w:ascii="Georgia" w:hAnsi="Georgia"/>
        </w:rPr>
      </w:pPr>
      <w:r>
        <w:rPr>
          <w:rFonts w:ascii="Georgia" w:hAnsi="Georgia"/>
        </w:rPr>
        <w:t>In the present case, the record shows that the case was reinstated and renumbered twice, both in 1975 and 1993, without objection by Swift. The record shows that Swift had </w:t>
      </w:r>
      <w:r>
        <w:rPr>
          <w:rStyle w:val="Emphasis"/>
          <w:rFonts w:ascii="Georgia" w:hAnsi="Georgia"/>
        </w:rPr>
        <w:t>at the very least </w:t>
      </w:r>
      <w:r>
        <w:rPr>
          <w:rFonts w:ascii="Georgia" w:hAnsi="Georgia"/>
        </w:rPr>
        <w:t>two opportunities to file a motion to dismiss the case based on </w:t>
      </w:r>
      <w:r>
        <w:rPr>
          <w:rStyle w:val="Emphasis"/>
          <w:rFonts w:ascii="Georgia" w:hAnsi="Georgia"/>
        </w:rPr>
        <w:t>laches </w:t>
      </w:r>
      <w:r>
        <w:rPr>
          <w:rFonts w:ascii="Georgia" w:hAnsi="Georgia"/>
        </w:rPr>
        <w:t>and failed to do so. Both parties were granted numerous motions to continue the case. On February 4, 1993, attorneys from both sides met in the chambers of Judge O’Connell and agreed to make final trial preparations and to renumber the case with a "93 L” number. An agreed order between plaintiffs’ attorney Leonard Ring and the </w:t>
      </w:r>
      <w:hyperlink r:id="rId17" w:anchor="p431" w:history="1">
        <w:r>
          <w:rPr>
            <w:rStyle w:val="Hyperlink"/>
            <w:rFonts w:ascii="Georgia" w:hAnsi="Georgia"/>
            <w:i/>
            <w:iCs/>
            <w:color w:val="979797"/>
            <w:sz w:val="19"/>
            <w:szCs w:val="19"/>
          </w:rPr>
          <w:t>*431</w:t>
        </w:r>
      </w:hyperlink>
      <w:r>
        <w:rPr>
          <w:rFonts w:ascii="Georgia" w:hAnsi="Georgia"/>
        </w:rPr>
        <w:t>Hinshaw Culbertson law firm setting the case for trial was entered on February 11, 1993.</w:t>
      </w:r>
    </w:p>
    <w:p w14:paraId="262981A1" w14:textId="77777777" w:rsidR="00BB3975" w:rsidRDefault="00BB3975" w:rsidP="00BB3975">
      <w:pPr>
        <w:pStyle w:val="NormalWeb"/>
        <w:spacing w:after="225" w:afterAutospacing="0"/>
        <w:rPr>
          <w:rFonts w:ascii="Georgia" w:hAnsi="Georgia"/>
        </w:rPr>
      </w:pPr>
      <w:r>
        <w:rPr>
          <w:rFonts w:ascii="Georgia" w:hAnsi="Georgia"/>
        </w:rPr>
        <w:t>Between June 4, 1993, and January 27, 1994, the case was continued several times at the request of both parties. On February 4, 1994, Leonard Ring died. Two months later, the trial court entered an agreed order continuing the case until June 8, 1994. On May 26, 1994, the law firm of Cassiday Shade and Gloor was granted leave to substitute its appearance for the Hinshaw firm. The next day, Swift filed its motion to dismiss the case based on </w:t>
      </w:r>
      <w:r>
        <w:rPr>
          <w:rStyle w:val="Emphasis"/>
          <w:rFonts w:ascii="Georgia" w:hAnsi="Georgia"/>
        </w:rPr>
        <w:t>laches, </w:t>
      </w:r>
      <w:r>
        <w:rPr>
          <w:rFonts w:ascii="Georgia" w:hAnsi="Georgia"/>
        </w:rPr>
        <w:t>which was denied by the trial court. Plaintiffs filed their fourth amended complaint on June 7, 1994, and Swift filed its answer including an affirmative defense of </w:t>
      </w:r>
      <w:r>
        <w:rPr>
          <w:rStyle w:val="Emphasis"/>
          <w:rFonts w:ascii="Georgia" w:hAnsi="Georgia"/>
        </w:rPr>
        <w:t>laches. </w:t>
      </w:r>
      <w:r>
        <w:rPr>
          <w:rFonts w:ascii="Georgia" w:hAnsi="Georgia"/>
        </w:rPr>
        <w:t>Plaintiffs moved to strike Swift’s defense of </w:t>
      </w:r>
      <w:r>
        <w:rPr>
          <w:rStyle w:val="Emphasis"/>
          <w:rFonts w:ascii="Georgia" w:hAnsi="Georgia"/>
        </w:rPr>
        <w:t>laches.</w:t>
      </w:r>
    </w:p>
    <w:p w14:paraId="262981A2" w14:textId="77777777" w:rsidR="00BB3975" w:rsidRDefault="00BB3975" w:rsidP="00BB3975">
      <w:pPr>
        <w:pStyle w:val="NormalWeb"/>
        <w:spacing w:after="225" w:afterAutospacing="0"/>
        <w:rPr>
          <w:rFonts w:ascii="Georgia" w:hAnsi="Georgia"/>
        </w:rPr>
      </w:pPr>
      <w:r>
        <w:rPr>
          <w:rFonts w:ascii="Georgia" w:hAnsi="Georgia"/>
        </w:rPr>
        <w:t>An evidentiary hearing commenced on the issue of Swift’s </w:t>
      </w:r>
      <w:r>
        <w:rPr>
          <w:rStyle w:val="Emphasis"/>
          <w:rFonts w:ascii="Georgia" w:hAnsi="Georgia"/>
        </w:rPr>
        <w:t>laches </w:t>
      </w:r>
      <w:r>
        <w:rPr>
          <w:rFonts w:ascii="Georgia" w:hAnsi="Georgia"/>
        </w:rPr>
        <w:t>defense. The </w:t>
      </w:r>
      <w:r>
        <w:rPr>
          <w:rStyle w:val="Emphasis"/>
          <w:rFonts w:ascii="Georgia" w:hAnsi="Georgia"/>
        </w:rPr>
        <w:t>laches </w:t>
      </w:r>
      <w:r>
        <w:rPr>
          <w:rFonts w:ascii="Georgia" w:hAnsi="Georgia"/>
        </w:rPr>
        <w:t>hearing reveals that between 1975 and 1989, Ring made a few attempts to get the case back on the trial call. Hinshaw attorney Joseph O’Connell testified that, at some point, he considered the case abandoned by the plaintiffs but that he did nothing. O’Connell stated that between the Hinshaw firm and Ring, no time formal rules were followed regarding, for example, disclosure of expert witnesses, answering interrogatories, or substituting witnesses. All agreements were oral, including O’Connell’s agreement to wait until trial to present a </w:t>
      </w:r>
      <w:r>
        <w:rPr>
          <w:rStyle w:val="Emphasis"/>
          <w:rFonts w:ascii="Georgia" w:hAnsi="Georgia"/>
        </w:rPr>
        <w:t>laches </w:t>
      </w:r>
      <w:r>
        <w:rPr>
          <w:rFonts w:ascii="Georgia" w:hAnsi="Georgia"/>
        </w:rPr>
        <w:t>motion, at Ring’s request. O’Connell further testified that Leonard Ring died in the course of negotiating a settlement with Swift in California. Based on this testimony, the trial court concluded that </w:t>
      </w:r>
      <w:r>
        <w:rPr>
          <w:rStyle w:val="Emphasis"/>
          <w:rFonts w:ascii="Georgia" w:hAnsi="Georgia"/>
        </w:rPr>
        <w:t>laches </w:t>
      </w:r>
      <w:r>
        <w:rPr>
          <w:rFonts w:ascii="Georgia" w:hAnsi="Georgia"/>
        </w:rPr>
        <w:t>was not an appropriate defense at this late date in the lawsuit.</w:t>
      </w:r>
    </w:p>
    <w:p w14:paraId="262981A3" w14:textId="6A65C58A" w:rsidR="00BB3975" w:rsidRDefault="00BB3975" w:rsidP="00BB3975">
      <w:pPr>
        <w:pStyle w:val="NormalWeb"/>
        <w:spacing w:after="225" w:afterAutospacing="0"/>
        <w:rPr>
          <w:rFonts w:ascii="Georgia" w:hAnsi="Georgia"/>
        </w:rPr>
      </w:pPr>
      <w:r>
        <w:rPr>
          <w:rFonts w:ascii="Georgia" w:hAnsi="Georgia"/>
        </w:rPr>
        <w:t>In determining whether a party has reinstated a case within a reasonable time, a trial court should take into account the totality of the circumstances, particularly any reason proffered for undue delay. </w:t>
      </w:r>
      <w:r>
        <w:rPr>
          <w:rStyle w:val="Emphasis"/>
          <w:rFonts w:ascii="Georgia" w:hAnsi="Georgia"/>
        </w:rPr>
        <w:t>Cox, </w:t>
      </w:r>
      <w:r w:rsidRPr="00236645">
        <w:rPr>
          <w:rFonts w:ascii="Georgia" w:hAnsi="Georgia"/>
        </w:rPr>
        <w:t>273 Ill. App. 3d at 836</w:t>
      </w:r>
      <w:r>
        <w:rPr>
          <w:rFonts w:ascii="Georgia" w:hAnsi="Georgia"/>
        </w:rPr>
        <w:t>. The totality of the circumstances necessarily includes the conduct of the defendants. "[T]he propriety of applying the doctrine of laches depends upon the conduct and situation of all the parties, not solely upon those of one.” </w:t>
      </w:r>
      <w:r>
        <w:rPr>
          <w:rStyle w:val="Emphasis"/>
          <w:rFonts w:ascii="Georgia" w:hAnsi="Georgia"/>
        </w:rPr>
        <w:t>O’Brien v. Meyer, </w:t>
      </w:r>
      <w:hyperlink r:id="rId18" w:anchor="p839" w:history="1">
        <w:r>
          <w:rPr>
            <w:rStyle w:val="Hyperlink"/>
            <w:rFonts w:ascii="Georgia" w:hAnsi="Georgia"/>
            <w:color w:val="007BFF"/>
          </w:rPr>
          <w:t>281 Ill. App. 3d 832</w:t>
        </w:r>
      </w:hyperlink>
      <w:r>
        <w:rPr>
          <w:rFonts w:ascii="Georgia" w:hAnsi="Georgia"/>
        </w:rPr>
        <w:t>, 839, citing 27 Am. Jur. 2d </w:t>
      </w:r>
      <w:r>
        <w:rPr>
          <w:rStyle w:val="Emphasis"/>
          <w:rFonts w:ascii="Georgia" w:hAnsi="Georgia"/>
        </w:rPr>
        <w:t>Equity </w:t>
      </w:r>
      <w:r>
        <w:rPr>
          <w:rFonts w:ascii="Georgia" w:hAnsi="Georgia"/>
        </w:rPr>
        <w:t>§ 162 (1966). Furthermore, an adverse party may not take advantage of a delay to which he has contributed, and </w:t>
      </w:r>
      <w:r>
        <w:rPr>
          <w:rStyle w:val="Emphasis"/>
          <w:rFonts w:ascii="Georgia" w:hAnsi="Georgia"/>
        </w:rPr>
        <w:t>laches </w:t>
      </w:r>
      <w:r>
        <w:rPr>
          <w:rFonts w:ascii="Georgia" w:hAnsi="Georgia"/>
        </w:rPr>
        <w:t>may not be imputed from a plaintiffs delay in pursuance of an agreement with the defendant that the latter will-not take advantage of it or under such circumstances as to show an acquiescence in the delay by the defendant. It is also said that a continued recognition or acknowledgement by the defendant of the plaintiff’s right is generally sufficient to account for delay, and that the defendant’s silence or other conduct may indicate acquiescence in the plaintiff’s right. </w:t>
      </w:r>
      <w:r>
        <w:rPr>
          <w:rStyle w:val="Emphasis"/>
          <w:rFonts w:ascii="Georgia" w:hAnsi="Georgia"/>
        </w:rPr>
        <w:t>O’Brien, </w:t>
      </w:r>
      <w:r w:rsidRPr="00236645">
        <w:rPr>
          <w:rFonts w:ascii="Georgia" w:hAnsi="Georgia"/>
        </w:rPr>
        <w:t>281 Ill. App. 3d at 839</w:t>
      </w:r>
      <w:r>
        <w:rPr>
          <w:rFonts w:ascii="Georgia" w:hAnsi="Georgia"/>
        </w:rPr>
        <w:t>, citing 30A C.J.S. </w:t>
      </w:r>
      <w:r>
        <w:rPr>
          <w:rStyle w:val="Emphasis"/>
          <w:rFonts w:ascii="Georgia" w:hAnsi="Georgia"/>
        </w:rPr>
        <w:t>Equity </w:t>
      </w:r>
      <w:r>
        <w:rPr>
          <w:rFonts w:ascii="Georgia" w:hAnsi="Georgia"/>
        </w:rPr>
        <w:t>§ 147 (1992).</w:t>
      </w:r>
    </w:p>
    <w:p w14:paraId="262981A4" w14:textId="1C9F8222" w:rsidR="00BB3975" w:rsidRDefault="00236645" w:rsidP="00BB3975">
      <w:pPr>
        <w:pStyle w:val="NormalWeb"/>
        <w:spacing w:after="225" w:afterAutospacing="0"/>
        <w:rPr>
          <w:rFonts w:ascii="Georgia" w:hAnsi="Georgia"/>
        </w:rPr>
      </w:pPr>
      <w:hyperlink r:id="rId19" w:anchor="p432" w:history="1">
        <w:r w:rsidR="00BB3975">
          <w:rPr>
            <w:rStyle w:val="Hyperlink"/>
            <w:rFonts w:ascii="Georgia" w:hAnsi="Georgia"/>
            <w:i/>
            <w:iCs/>
            <w:color w:val="979797"/>
            <w:sz w:val="19"/>
            <w:szCs w:val="19"/>
          </w:rPr>
          <w:t>*432</w:t>
        </w:r>
      </w:hyperlink>
      <w:r w:rsidR="00BB3975">
        <w:rPr>
          <w:rFonts w:ascii="Georgia" w:hAnsi="Georgia"/>
        </w:rPr>
        <w:t>Our supreme court has stated that "it is only when by delay or neglect to assert a right the adverse party is lulled into doing that which he would not have done or into omitting to do that which he would have done *** had the right been properly asserted that the defense of </w:t>
      </w:r>
      <w:r w:rsidR="00BB3975">
        <w:rPr>
          <w:rStyle w:val="Emphasis"/>
          <w:rFonts w:ascii="Georgia" w:hAnsi="Georgia"/>
        </w:rPr>
        <w:t>laches </w:t>
      </w:r>
      <w:r w:rsidR="00BB3975">
        <w:rPr>
          <w:rFonts w:ascii="Georgia" w:hAnsi="Georgia"/>
        </w:rPr>
        <w:t>will be considered.” </w:t>
      </w:r>
      <w:r w:rsidR="00BB3975">
        <w:rPr>
          <w:rStyle w:val="Emphasis"/>
          <w:rFonts w:ascii="Georgia" w:hAnsi="Georgia"/>
        </w:rPr>
        <w:t>Rogers v. Barton, </w:t>
      </w:r>
      <w:r w:rsidR="00BB3975" w:rsidRPr="00236645">
        <w:rPr>
          <w:rFonts w:ascii="Georgia" w:hAnsi="Georgia"/>
        </w:rPr>
        <w:t>386 Ill. 244</w:t>
      </w:r>
      <w:r w:rsidR="00BB3975">
        <w:rPr>
          <w:rFonts w:ascii="Georgia" w:hAnsi="Georgia"/>
        </w:rPr>
        <w:t>, 253, </w:t>
      </w:r>
      <w:hyperlink r:id="rId20" w:history="1">
        <w:r w:rsidR="00BB3975">
          <w:rPr>
            <w:rStyle w:val="Hyperlink"/>
            <w:rFonts w:ascii="Georgia" w:hAnsi="Georgia"/>
            <w:color w:val="007BFF"/>
          </w:rPr>
          <w:t>53 N.E.2d 862</w:t>
        </w:r>
      </w:hyperlink>
      <w:r w:rsidR="00BB3975">
        <w:rPr>
          <w:rFonts w:ascii="Georgia" w:hAnsi="Georgia"/>
        </w:rPr>
        <w:t> (1944). Under the facts and circumstances of the present case, we find that any delay in going forward with the case is attributable to both sides. Therefore, the trial court properly struck Swift’s affirmative defense of </w:t>
      </w:r>
      <w:r w:rsidR="00BB3975">
        <w:rPr>
          <w:rStyle w:val="Emphasis"/>
          <w:rFonts w:ascii="Georgia" w:hAnsi="Georgia"/>
        </w:rPr>
        <w:t>laches.</w:t>
      </w:r>
    </w:p>
    <w:p w14:paraId="262981A5" w14:textId="51B6E843" w:rsidR="00BB3975" w:rsidRDefault="00BB3975" w:rsidP="00BB3975">
      <w:pPr>
        <w:pStyle w:val="NormalWeb"/>
        <w:spacing w:after="225" w:afterAutospacing="0"/>
        <w:rPr>
          <w:rFonts w:ascii="Georgia" w:hAnsi="Georgia"/>
        </w:rPr>
      </w:pPr>
      <w:r>
        <w:rPr>
          <w:rFonts w:ascii="Georgia" w:hAnsi="Georgia"/>
        </w:rPr>
        <w:t>We also find unavailing Swift’s argument that it was seriously prejudiced by the unavailability of witnesses. The cases relied upon by Swift are distinguishable. See, </w:t>
      </w:r>
      <w:r>
        <w:rPr>
          <w:rStyle w:val="Emphasis"/>
          <w:rFonts w:ascii="Georgia" w:hAnsi="Georgia"/>
        </w:rPr>
        <w:t>e.g., Resnick v. Reznitsky, </w:t>
      </w:r>
      <w:r w:rsidRPr="00236645">
        <w:rPr>
          <w:rFonts w:ascii="Georgia" w:hAnsi="Georgia"/>
        </w:rPr>
        <w:t>56 Ill. App. 3d 418</w:t>
      </w:r>
      <w:r>
        <w:rPr>
          <w:rFonts w:ascii="Georgia" w:hAnsi="Georgia"/>
        </w:rPr>
        <w:t>, </w:t>
      </w:r>
      <w:hyperlink r:id="rId21" w:history="1">
        <w:r>
          <w:rPr>
            <w:rStyle w:val="Hyperlink"/>
            <w:rFonts w:ascii="Georgia" w:hAnsi="Georgia"/>
            <w:color w:val="007BFF"/>
          </w:rPr>
          <w:t>371 N.E.2d 1114</w:t>
        </w:r>
      </w:hyperlink>
      <w:r>
        <w:rPr>
          <w:rFonts w:ascii="Georgia" w:hAnsi="Georgia"/>
        </w:rPr>
        <w:t> (1977) (In an action for breach of an oral trust, decedent’s heirs delayed asserting their claim for 14 years until all witnesses who could testify as to the nature and extent of the decedent’s assets had died). In the present case, there is no evidence that plaintiffs knowingly and voluntarily caused the delay in this case in order to ensure that all possible witnesses were deceased at the time of trial. Forest Bailey and Matthew Hannon died prior to the first trial in 1971. Hannon’s deposition testimony taken prior to the 1971 trial was read into the record in its entirety. The record shows that Swift failed to depose either Archie Cramer or Arthur Siehrs at any time prior to their deaths in 1993 and 1987, respectively. Plaintiffs and defendants were equally impacted by the unavailability of witnesses and the passage of time.</w:t>
      </w:r>
    </w:p>
    <w:p w14:paraId="262981A6" w14:textId="77777777" w:rsidR="00BB3975" w:rsidRDefault="00BB3975" w:rsidP="00BB3975">
      <w:pPr>
        <w:pStyle w:val="NormalWeb"/>
        <w:spacing w:after="225" w:afterAutospacing="0"/>
        <w:rPr>
          <w:rFonts w:ascii="Georgia" w:hAnsi="Georgia"/>
        </w:rPr>
      </w:pPr>
      <w:r>
        <w:rPr>
          <w:rFonts w:ascii="Georgia" w:hAnsi="Georgia"/>
        </w:rPr>
        <w:t>As stated above, </w:t>
      </w:r>
      <w:r>
        <w:rPr>
          <w:rStyle w:val="Emphasis"/>
          <w:rFonts w:ascii="Georgia" w:hAnsi="Georgia"/>
        </w:rPr>
        <w:t>laches </w:t>
      </w:r>
      <w:r>
        <w:rPr>
          <w:rFonts w:ascii="Georgia" w:hAnsi="Georgia"/>
        </w:rPr>
        <w:t>is discretionary with the trial court and is not appropriate based on time alone. Because Swift has not provided any evidence to show a complete abandonment of the case by the plaintiffs, the trial court properly refused to dismiss the case based on </w:t>
      </w:r>
      <w:r>
        <w:rPr>
          <w:rStyle w:val="Emphasis"/>
          <w:rFonts w:ascii="Georgia" w:hAnsi="Georgia"/>
        </w:rPr>
        <w:t>laches.</w:t>
      </w:r>
    </w:p>
    <w:p w14:paraId="262981A7" w14:textId="04E56C69" w:rsidR="00BB3975" w:rsidRDefault="00BB3975" w:rsidP="00BB3975">
      <w:pPr>
        <w:pStyle w:val="NormalWeb"/>
        <w:spacing w:after="225" w:afterAutospacing="0"/>
        <w:rPr>
          <w:rFonts w:ascii="Georgia" w:hAnsi="Georgia"/>
        </w:rPr>
      </w:pPr>
      <w:r>
        <w:rPr>
          <w:rFonts w:ascii="Georgia" w:hAnsi="Georgia"/>
        </w:rPr>
        <w:t>Swift’s further argument that it should have been allowed to proceed to trial under the contributory negligence theory available prior to the law establishing comparative negligence in </w:t>
      </w:r>
      <w:r>
        <w:rPr>
          <w:rStyle w:val="Emphasis"/>
          <w:rFonts w:ascii="Georgia" w:hAnsi="Georgia"/>
        </w:rPr>
        <w:t>Alvis v. Ribar, </w:t>
      </w:r>
      <w:r w:rsidRPr="00236645">
        <w:rPr>
          <w:rFonts w:ascii="Georgia" w:hAnsi="Georgia"/>
        </w:rPr>
        <w:t>85 Ill. 2d 1</w:t>
      </w:r>
      <w:r>
        <w:rPr>
          <w:rFonts w:ascii="Georgia" w:hAnsi="Georgia"/>
        </w:rPr>
        <w:t>, </w:t>
      </w:r>
      <w:hyperlink r:id="rId22" w:history="1">
        <w:r>
          <w:rPr>
            <w:rStyle w:val="Hyperlink"/>
            <w:rFonts w:ascii="Georgia" w:hAnsi="Georgia"/>
            <w:color w:val="007BFF"/>
          </w:rPr>
          <w:t>421 N.E.2d 886</w:t>
        </w:r>
      </w:hyperlink>
      <w:r>
        <w:rPr>
          <w:rFonts w:ascii="Georgia" w:hAnsi="Georgia"/>
        </w:rPr>
        <w:t> (1981), is unsupported by any citation to authority. </w:t>
      </w:r>
      <w:r>
        <w:rPr>
          <w:rStyle w:val="Emphasis"/>
          <w:rFonts w:ascii="Georgia" w:hAnsi="Georgia"/>
        </w:rPr>
        <w:t>Alois </w:t>
      </w:r>
      <w:r>
        <w:rPr>
          <w:rFonts w:ascii="Georgia" w:hAnsi="Georgia"/>
        </w:rPr>
        <w:t>clearly states that the law stated therein is to apply to all cases in which trial commences after June 8, 1981. </w:t>
      </w:r>
      <w:r>
        <w:rPr>
          <w:rStyle w:val="Emphasis"/>
          <w:rFonts w:ascii="Georgia" w:hAnsi="Georgia"/>
        </w:rPr>
        <w:t>Alvis, </w:t>
      </w:r>
      <w:r w:rsidRPr="00236645">
        <w:rPr>
          <w:rFonts w:ascii="Georgia" w:hAnsi="Georgia"/>
        </w:rPr>
        <w:t>85 Ill. 2d at 28</w:t>
      </w:r>
      <w:r>
        <w:rPr>
          <w:rFonts w:ascii="Georgia" w:hAnsi="Georgia"/>
        </w:rPr>
        <w:t>.</w:t>
      </w:r>
    </w:p>
    <w:p w14:paraId="262981A8" w14:textId="77777777" w:rsidR="00BB3975" w:rsidRDefault="00BB3975" w:rsidP="00BB3975">
      <w:pPr>
        <w:pStyle w:val="NormalWeb"/>
        <w:spacing w:after="225" w:afterAutospacing="0"/>
        <w:rPr>
          <w:rFonts w:ascii="Georgia" w:hAnsi="Georgia"/>
        </w:rPr>
      </w:pPr>
      <w:r>
        <w:rPr>
          <w:rFonts w:ascii="Georgia" w:hAnsi="Georgia"/>
        </w:rPr>
        <w:t>Next, Swift contends that the law of the case, as set forth in </w:t>
      </w:r>
      <w:r>
        <w:rPr>
          <w:rStyle w:val="Emphasis"/>
          <w:rFonts w:ascii="Georgia" w:hAnsi="Georgia"/>
        </w:rPr>
        <w:t>Baylie I, </w:t>
      </w:r>
      <w:r>
        <w:rPr>
          <w:rFonts w:ascii="Georgia" w:hAnsi="Georgia"/>
        </w:rPr>
        <w:t xml:space="preserve">limits the imposition of a duty to warn to the elements of the duty as set forth in the Restatement (Second) of Torts, </w:t>
      </w:r>
      <w:r w:rsidRPr="009B4602">
        <w:rPr>
          <w:rFonts w:ascii="Georgia" w:hAnsi="Georgia"/>
          <w:highlight w:val="cyan"/>
        </w:rPr>
        <w:t>section 388 (Restatement (Second) of Torts § 388 (1965)).</w:t>
      </w:r>
      <w:r>
        <w:rPr>
          <w:rFonts w:ascii="Georgia" w:hAnsi="Georgia"/>
        </w:rPr>
        <w:t xml:space="preserve"> See </w:t>
      </w:r>
      <w:r>
        <w:rPr>
          <w:rStyle w:val="Emphasis"/>
          <w:rFonts w:ascii="Georgia" w:hAnsi="Georgia"/>
        </w:rPr>
        <w:t>Baylie, </w:t>
      </w:r>
      <w:hyperlink r:id="rId23" w:history="1">
        <w:r>
          <w:rPr>
            <w:rStyle w:val="Hyperlink"/>
            <w:rFonts w:ascii="Georgia" w:hAnsi="Georgia"/>
            <w:color w:val="007BFF"/>
          </w:rPr>
          <w:t>27 Ill. App. 3d at 1042</w:t>
        </w:r>
      </w:hyperlink>
      <w:r>
        <w:rPr>
          <w:rFonts w:ascii="Georgia" w:hAnsi="Georgia"/>
        </w:rPr>
        <w:t xml:space="preserve">. Swift argues that it is not liable under </w:t>
      </w:r>
      <w:r w:rsidRPr="009B4602">
        <w:rPr>
          <w:rFonts w:ascii="Georgia" w:hAnsi="Georgia"/>
          <w:highlight w:val="cyan"/>
        </w:rPr>
        <w:t xml:space="preserve">section 388 </w:t>
      </w:r>
      <w:r w:rsidRPr="009B4602">
        <w:rPr>
          <w:rFonts w:ascii="Georgia" w:hAnsi="Georgia"/>
        </w:rPr>
        <w:t>because</w:t>
      </w:r>
      <w:r>
        <w:rPr>
          <w:rFonts w:ascii="Georgia" w:hAnsi="Georgia"/>
        </w:rPr>
        <w:t xml:space="preserve"> it did not know of a risk of calcium stearate, nor did it have reason to believe that the plaintiffs would not appreciate such a risk.</w:t>
      </w:r>
    </w:p>
    <w:p w14:paraId="262981A9" w14:textId="7980480D" w:rsidR="00BB3975" w:rsidRDefault="00BB3975" w:rsidP="00BB3975">
      <w:pPr>
        <w:pStyle w:val="NormalWeb"/>
        <w:spacing w:after="225" w:afterAutospacing="0"/>
        <w:rPr>
          <w:rFonts w:ascii="Georgia" w:hAnsi="Georgia"/>
        </w:rPr>
      </w:pPr>
      <w:r w:rsidRPr="00236645">
        <w:rPr>
          <w:rFonts w:ascii="Georgia" w:hAnsi="Georgia"/>
          <w:i/>
          <w:iCs/>
          <w:sz w:val="19"/>
          <w:szCs w:val="19"/>
        </w:rPr>
        <w:t>*433</w:t>
      </w:r>
      <w:r>
        <w:rPr>
          <w:rFonts w:ascii="Georgia" w:hAnsi="Georgia"/>
        </w:rPr>
        <w:t>However, </w:t>
      </w:r>
      <w:r>
        <w:rPr>
          <w:rStyle w:val="Emphasis"/>
          <w:rFonts w:ascii="Georgia" w:hAnsi="Georgia"/>
        </w:rPr>
        <w:t>Baylie I </w:t>
      </w:r>
      <w:r>
        <w:rPr>
          <w:rFonts w:ascii="Georgia" w:hAnsi="Georgia"/>
        </w:rPr>
        <w:t xml:space="preserve">did not hold that, upon retrial, plaintiffs were limited to proving the elements of </w:t>
      </w:r>
      <w:r w:rsidRPr="009B4602">
        <w:rPr>
          <w:rFonts w:ascii="Georgia" w:hAnsi="Georgia"/>
        </w:rPr>
        <w:t>section 388</w:t>
      </w:r>
      <w:r>
        <w:rPr>
          <w:rFonts w:ascii="Georgia" w:hAnsi="Georgia"/>
        </w:rPr>
        <w:t>. </w:t>
      </w:r>
      <w:r>
        <w:rPr>
          <w:rStyle w:val="Emphasis"/>
          <w:rFonts w:ascii="Georgia" w:hAnsi="Georgia"/>
        </w:rPr>
        <w:t>Baylie I </w:t>
      </w:r>
      <w:r>
        <w:rPr>
          <w:rFonts w:ascii="Georgia" w:hAnsi="Georgia"/>
        </w:rPr>
        <w:t>reversed a directed verdict for Swift and remanded the case for a new trial to allow the jury to make a factual determination.</w:t>
      </w:r>
    </w:p>
    <w:p w14:paraId="262981AA" w14:textId="7A6AC7D7" w:rsidR="00BB3975" w:rsidRDefault="00BB3975" w:rsidP="00BB3975">
      <w:pPr>
        <w:pStyle w:val="NormalWeb"/>
        <w:spacing w:after="225" w:afterAutospacing="0"/>
        <w:rPr>
          <w:rFonts w:ascii="Georgia" w:hAnsi="Georgia"/>
        </w:rPr>
      </w:pPr>
      <w:r>
        <w:rPr>
          <w:rFonts w:ascii="Georgia" w:hAnsi="Georgia"/>
        </w:rPr>
        <w:t>The </w:t>
      </w:r>
      <w:r>
        <w:rPr>
          <w:rStyle w:val="Emphasis"/>
          <w:rFonts w:ascii="Georgia" w:hAnsi="Georgia"/>
        </w:rPr>
        <w:t>Baylie I </w:t>
      </w:r>
      <w:r>
        <w:rPr>
          <w:rFonts w:ascii="Georgia" w:hAnsi="Georgia"/>
        </w:rPr>
        <w:t>court stated that under Illinois law, "[a] duty to warn exists where there is unequal knowledge, actual or constructive, and the defendant, possessed of such knowledge, knows or should know that harm might or could occur.” </w:t>
      </w:r>
      <w:r w:rsidRPr="009B4602">
        <w:rPr>
          <w:rStyle w:val="Emphasis"/>
          <w:rFonts w:ascii="Georgia" w:hAnsi="Georgia"/>
          <w:highlight w:val="cyan"/>
        </w:rPr>
        <w:t>Baylie, </w:t>
      </w:r>
      <w:hyperlink r:id="rId24" w:history="1">
        <w:r w:rsidRPr="009B4602">
          <w:rPr>
            <w:rStyle w:val="Hyperlink"/>
            <w:rFonts w:ascii="Georgia" w:hAnsi="Georgia"/>
            <w:color w:val="007BFF"/>
            <w:highlight w:val="cyan"/>
          </w:rPr>
          <w:t>27 Ill. App. 3d at 1042</w:t>
        </w:r>
      </w:hyperlink>
      <w:r>
        <w:rPr>
          <w:rFonts w:ascii="Georgia" w:hAnsi="Georgia"/>
        </w:rPr>
        <w:t>, citing </w:t>
      </w:r>
      <w:r w:rsidRPr="009B4602">
        <w:rPr>
          <w:rStyle w:val="Emphasis"/>
          <w:rFonts w:ascii="Georgia" w:hAnsi="Georgia"/>
          <w:highlight w:val="cyan"/>
        </w:rPr>
        <w:t>Kirby v. General Paving Co., </w:t>
      </w:r>
      <w:r w:rsidRPr="00236645">
        <w:rPr>
          <w:rFonts w:ascii="Georgia" w:hAnsi="Georgia"/>
          <w:highlight w:val="cyan"/>
        </w:rPr>
        <w:t>86 Ill. App. 2d 453</w:t>
      </w:r>
      <w:r w:rsidRPr="009B4602">
        <w:rPr>
          <w:rFonts w:ascii="Georgia" w:hAnsi="Georgia"/>
          <w:highlight w:val="cyan"/>
        </w:rPr>
        <w:t>, </w:t>
      </w:r>
      <w:hyperlink r:id="rId25" w:history="1">
        <w:r w:rsidRPr="009B4602">
          <w:rPr>
            <w:rStyle w:val="Hyperlink"/>
            <w:rFonts w:ascii="Georgia" w:hAnsi="Georgia"/>
            <w:color w:val="007BFF"/>
            <w:highlight w:val="cyan"/>
          </w:rPr>
          <w:t>229 N.E.2d 777</w:t>
        </w:r>
      </w:hyperlink>
      <w:r w:rsidRPr="009B4602">
        <w:rPr>
          <w:rFonts w:ascii="Georgia" w:hAnsi="Georgia"/>
          <w:highlight w:val="cyan"/>
        </w:rPr>
        <w:t> (1967).</w:t>
      </w:r>
      <w:r>
        <w:rPr>
          <w:rFonts w:ascii="Georgia" w:hAnsi="Georgia"/>
        </w:rPr>
        <w:t xml:space="preserve"> The court continued that an </w:t>
      </w:r>
      <w:r>
        <w:rPr>
          <w:rStyle w:val="Emphasis"/>
          <w:rFonts w:ascii="Georgia" w:hAnsi="Georgia"/>
        </w:rPr>
        <w:t>alternative formulation </w:t>
      </w:r>
      <w:r>
        <w:rPr>
          <w:rFonts w:ascii="Georgia" w:hAnsi="Georgia"/>
        </w:rPr>
        <w:t xml:space="preserve">of the duty is found in </w:t>
      </w:r>
      <w:r w:rsidRPr="009B4602">
        <w:rPr>
          <w:rFonts w:ascii="Georgia" w:hAnsi="Georgia"/>
          <w:highlight w:val="cyan"/>
        </w:rPr>
        <w:t>section 388</w:t>
      </w:r>
      <w:r>
        <w:rPr>
          <w:rFonts w:ascii="Georgia" w:hAnsi="Georgia"/>
        </w:rPr>
        <w:t xml:space="preserve"> and concluded that there was sufficient evidence presented at the first trial for a jury to conclude that all of the conditions of </w:t>
      </w:r>
      <w:r w:rsidRPr="009B4602">
        <w:rPr>
          <w:rFonts w:ascii="Georgia" w:hAnsi="Georgia"/>
          <w:highlight w:val="cyan"/>
        </w:rPr>
        <w:t>section 388</w:t>
      </w:r>
      <w:r>
        <w:rPr>
          <w:rFonts w:ascii="Georgia" w:hAnsi="Georgia"/>
        </w:rPr>
        <w:t xml:space="preserve"> were met. The law of the case therefore did not prevent the current jury from considering whether Swift had a duty to warn.</w:t>
      </w:r>
    </w:p>
    <w:p w14:paraId="262981AB" w14:textId="77777777" w:rsidR="00BB3975" w:rsidRDefault="00BB3975" w:rsidP="00BB3975">
      <w:pPr>
        <w:pStyle w:val="NormalWeb"/>
        <w:spacing w:after="225" w:afterAutospacing="0"/>
        <w:rPr>
          <w:rFonts w:ascii="Georgia" w:hAnsi="Georgia"/>
        </w:rPr>
      </w:pPr>
      <w:r w:rsidRPr="009B4602">
        <w:rPr>
          <w:rFonts w:ascii="Georgia" w:hAnsi="Georgia"/>
          <w:highlight w:val="green"/>
        </w:rPr>
        <w:t>In the present case, the record shows that Swift did not test calcium stearate for flammability, although the means to do so were available at that time. While it is undisputed that there was no scientific literature available at the time that calcium stearate dust presented a possible hazard, literature was available showing that fine dust of other materials presented a hazard of explosion. Swift could have submitted a sample to the Bureau of Mines for testing. In the alternative, Swift had a large research department capable of testing the material for its flash point and could have performed the same test using equipment designated by the Bureau of Mines.</w:t>
      </w:r>
    </w:p>
    <w:p w14:paraId="262981AC" w14:textId="77777777" w:rsidR="00BB3975" w:rsidRDefault="00BB3975" w:rsidP="00BB3975">
      <w:pPr>
        <w:pStyle w:val="NormalWeb"/>
        <w:spacing w:after="225" w:afterAutospacing="0"/>
        <w:rPr>
          <w:rFonts w:ascii="Georgia" w:hAnsi="Georgia"/>
        </w:rPr>
      </w:pPr>
      <w:r>
        <w:rPr>
          <w:rFonts w:ascii="Georgia" w:hAnsi="Georgia"/>
        </w:rPr>
        <w:t xml:space="preserve">Swift further argues that the trial court erred in failing to instruct the jury that under </w:t>
      </w:r>
      <w:r w:rsidRPr="009B4602">
        <w:rPr>
          <w:rFonts w:ascii="Georgia" w:hAnsi="Georgia"/>
          <w:highlight w:val="cyan"/>
        </w:rPr>
        <w:t>section 388(b) of the Restatement</w:t>
      </w:r>
      <w:r>
        <w:rPr>
          <w:rFonts w:ascii="Georgia" w:hAnsi="Georgia"/>
        </w:rPr>
        <w:t xml:space="preserve">, Swift had no reason to believe that Cramer or the plaintiffs would not appreciate any potential risks involved in grinding calcium stearate. </w:t>
      </w:r>
      <w:r w:rsidRPr="009B4602">
        <w:rPr>
          <w:rFonts w:ascii="Georgia" w:hAnsi="Georgia"/>
          <w:highlight w:val="cyan"/>
        </w:rPr>
        <w:t>Section 388(b)</w:t>
      </w:r>
      <w:r>
        <w:rPr>
          <w:rFonts w:ascii="Georgia" w:hAnsi="Georgia"/>
        </w:rPr>
        <w:t xml:space="preserve"> limits liability to the supplier of chattel if the supplier "has no reason to believe that those for whose use the chattel is supplied will realize its dangerous condition.” </w:t>
      </w:r>
      <w:r w:rsidRPr="009B4602">
        <w:rPr>
          <w:rFonts w:ascii="Georgia" w:hAnsi="Georgia"/>
          <w:highlight w:val="cyan"/>
        </w:rPr>
        <w:t>Restatement (Second) of Torts § 388, at 301 (1965).</w:t>
      </w:r>
    </w:p>
    <w:p w14:paraId="262981AD" w14:textId="54B704AF" w:rsidR="00BB3975" w:rsidRDefault="00BB3975" w:rsidP="00BB3975">
      <w:pPr>
        <w:pStyle w:val="NormalWeb"/>
        <w:spacing w:after="225" w:afterAutospacing="0"/>
        <w:rPr>
          <w:rFonts w:ascii="Georgia" w:hAnsi="Georgia"/>
        </w:rPr>
      </w:pPr>
      <w:r>
        <w:rPr>
          <w:rFonts w:ascii="Georgia" w:hAnsi="Georgia"/>
        </w:rPr>
        <w:t>Jury instructions are provided to inform the jury of the correct principles of law that apply to the evidence presented. </w:t>
      </w:r>
      <w:r>
        <w:rPr>
          <w:rStyle w:val="Emphasis"/>
          <w:rFonts w:ascii="Georgia" w:hAnsi="Georgia"/>
        </w:rPr>
        <w:t>Poelker v. Warrensburg-Latham Community Unit School District No. 11, </w:t>
      </w:r>
      <w:r w:rsidRPr="00236645">
        <w:rPr>
          <w:rFonts w:ascii="Georgia" w:hAnsi="Georgia"/>
        </w:rPr>
        <w:t>251 Ill. App. 3d 270</w:t>
      </w:r>
      <w:r>
        <w:rPr>
          <w:rFonts w:ascii="Georgia" w:hAnsi="Georgia"/>
        </w:rPr>
        <w:t>, </w:t>
      </w:r>
      <w:hyperlink r:id="rId26" w:history="1">
        <w:r>
          <w:rPr>
            <w:rStyle w:val="Hyperlink"/>
            <w:rFonts w:ascii="Georgia" w:hAnsi="Georgia"/>
            <w:color w:val="007BFF"/>
          </w:rPr>
          <w:t>621 N.E.2d 940</w:t>
        </w:r>
      </w:hyperlink>
      <w:r>
        <w:rPr>
          <w:rFonts w:ascii="Georgia" w:hAnsi="Georgia"/>
        </w:rPr>
        <w:t> (1993); </w:t>
      </w:r>
      <w:r>
        <w:rPr>
          <w:rStyle w:val="Emphasis"/>
          <w:rFonts w:ascii="Georgia" w:hAnsi="Georgia"/>
        </w:rPr>
        <w:t>Gaskin v. Goldwasser, </w:t>
      </w:r>
      <w:r w:rsidRPr="00236645">
        <w:rPr>
          <w:rFonts w:ascii="Georgia" w:hAnsi="Georgia"/>
        </w:rPr>
        <w:t>166 Ill. App. 3d 996</w:t>
      </w:r>
      <w:r>
        <w:rPr>
          <w:rFonts w:ascii="Georgia" w:hAnsi="Georgia"/>
        </w:rPr>
        <w:t>, 1009, </w:t>
      </w:r>
      <w:hyperlink r:id="rId27" w:history="1">
        <w:r>
          <w:rPr>
            <w:rStyle w:val="Hyperlink"/>
            <w:rFonts w:ascii="Georgia" w:hAnsi="Georgia"/>
            <w:color w:val="007BFF"/>
          </w:rPr>
          <w:t>520 N.E.2d 1085</w:t>
        </w:r>
      </w:hyperlink>
      <w:r>
        <w:rPr>
          <w:rFonts w:ascii="Georgia" w:hAnsi="Georgia"/>
        </w:rPr>
        <w:t>, 1092 (1988). The trial judge has discretion in determining which issues have been raised by the evidence and which instructions will be tendered to the jury. </w:t>
      </w:r>
      <w:r>
        <w:rPr>
          <w:rStyle w:val="Emphasis"/>
          <w:rFonts w:ascii="Georgia" w:hAnsi="Georgia"/>
        </w:rPr>
        <w:t>Ralston v. Plogger, </w:t>
      </w:r>
      <w:r w:rsidRPr="00236645">
        <w:rPr>
          <w:rFonts w:ascii="Georgia" w:hAnsi="Georgia"/>
        </w:rPr>
        <w:t>132 Ill. App. 3d 90</w:t>
      </w:r>
      <w:r>
        <w:rPr>
          <w:rFonts w:ascii="Georgia" w:hAnsi="Georgia"/>
        </w:rPr>
        <w:t>, 98, </w:t>
      </w:r>
      <w:hyperlink r:id="rId28" w:history="1">
        <w:r>
          <w:rPr>
            <w:rStyle w:val="Hyperlink"/>
            <w:rFonts w:ascii="Georgia" w:hAnsi="Georgia"/>
            <w:color w:val="007BFF"/>
          </w:rPr>
          <w:t>476 N.E.2d 1378</w:t>
        </w:r>
      </w:hyperlink>
      <w:r>
        <w:rPr>
          <w:rFonts w:ascii="Georgia" w:hAnsi="Georgia"/>
        </w:rPr>
        <w:t>, 1383 (1985).</w:t>
      </w:r>
    </w:p>
    <w:p w14:paraId="262981AE" w14:textId="77777777" w:rsidR="00BB3975" w:rsidRPr="009B4602" w:rsidRDefault="00BB3975" w:rsidP="00BB3975">
      <w:pPr>
        <w:pStyle w:val="NormalWeb"/>
        <w:spacing w:after="225" w:afterAutospacing="0"/>
        <w:rPr>
          <w:rFonts w:ascii="Georgia" w:hAnsi="Georgia"/>
          <w:highlight w:val="green"/>
        </w:rPr>
      </w:pPr>
      <w:r w:rsidRPr="009B4602">
        <w:rPr>
          <w:rFonts w:ascii="Georgia" w:hAnsi="Georgia"/>
          <w:highlight w:val="green"/>
        </w:rPr>
        <w:t>In the present case, the jury was instructed that defendants were negligent in one or both of the following respects in that they:</w:t>
      </w:r>
    </w:p>
    <w:p w14:paraId="262981AF" w14:textId="63117BD1" w:rsidR="00BB3975" w:rsidRPr="009B4602" w:rsidRDefault="00BB3975" w:rsidP="00BB3975">
      <w:pPr>
        <w:rPr>
          <w:rFonts w:ascii="Georgia" w:hAnsi="Georgia"/>
          <w:color w:val="004FB3"/>
          <w:highlight w:val="green"/>
        </w:rPr>
      </w:pPr>
      <w:r w:rsidRPr="00236645">
        <w:rPr>
          <w:rFonts w:ascii="Georgia" w:hAnsi="Georgia"/>
          <w:i/>
          <w:iCs/>
          <w:sz w:val="19"/>
          <w:szCs w:val="19"/>
          <w:highlight w:val="green"/>
        </w:rPr>
        <w:t>*434</w:t>
      </w:r>
      <w:r w:rsidRPr="009B4602">
        <w:rPr>
          <w:rFonts w:ascii="Georgia" w:hAnsi="Georgia"/>
          <w:color w:val="004FB3"/>
          <w:highlight w:val="green"/>
        </w:rPr>
        <w:t>"(a) Supplied its calcium stearate to Cramer for pulverizing without adequate testing for flammability, combustibility and its ability to explode while in a fine powder form;</w:t>
      </w:r>
    </w:p>
    <w:p w14:paraId="262981B0" w14:textId="77777777" w:rsidR="00BB3975" w:rsidRDefault="00BB3975" w:rsidP="00BB3975">
      <w:pPr>
        <w:rPr>
          <w:rFonts w:ascii="Georgia" w:hAnsi="Georgia"/>
          <w:color w:val="004FB3"/>
        </w:rPr>
      </w:pPr>
      <w:r w:rsidRPr="009B4602">
        <w:rPr>
          <w:rFonts w:ascii="Georgia" w:hAnsi="Georgia"/>
          <w:color w:val="004FB3"/>
          <w:highlight w:val="green"/>
        </w:rPr>
        <w:t>(b) Failed to warn employees of Cramer that calcium stearate was capable of burning, combusting and exploding in 325 mesh form when Swift knew, or should have known, that its calcium stearate was susceptible to burning, combusting and exploding while in fine powder form.”</w:t>
      </w:r>
    </w:p>
    <w:p w14:paraId="262981B1" w14:textId="77777777" w:rsidR="00BB3975" w:rsidRDefault="00BB3975" w:rsidP="00BB3975">
      <w:pPr>
        <w:pStyle w:val="NormalWeb"/>
        <w:spacing w:after="225" w:afterAutospacing="0"/>
        <w:rPr>
          <w:rFonts w:ascii="Georgia" w:hAnsi="Georgia"/>
        </w:rPr>
      </w:pPr>
      <w:r w:rsidRPr="009B4602">
        <w:rPr>
          <w:rFonts w:ascii="Georgia" w:hAnsi="Georgia"/>
          <w:highlight w:val="green"/>
        </w:rPr>
        <w:t>The above instructions reflect the correct principles of law applied to the evidence presented at trial.</w:t>
      </w:r>
      <w:r>
        <w:rPr>
          <w:rFonts w:ascii="Georgia" w:hAnsi="Georgia"/>
        </w:rPr>
        <w:t xml:space="preserve"> Swift has not shown that it was seriously prejudiced by the trial court’s refusal to give its instruction based on section 388(b), where meeting the conditions of section 388 was not a requirement of this case.</w:t>
      </w:r>
    </w:p>
    <w:p w14:paraId="262981B2" w14:textId="77777777" w:rsidR="00BB3975" w:rsidRDefault="00BB3975" w:rsidP="00BB3975">
      <w:pPr>
        <w:pStyle w:val="NormalWeb"/>
        <w:spacing w:after="225" w:afterAutospacing="0"/>
        <w:rPr>
          <w:rFonts w:ascii="Georgia" w:hAnsi="Georgia"/>
        </w:rPr>
      </w:pPr>
      <w:r>
        <w:rPr>
          <w:rFonts w:ascii="Georgia" w:hAnsi="Georgia"/>
        </w:rPr>
        <w:t>Next, Swift contends that the law of the case based on </w:t>
      </w:r>
      <w:r>
        <w:rPr>
          <w:rStyle w:val="Emphasis"/>
          <w:rFonts w:ascii="Georgia" w:hAnsi="Georgia"/>
        </w:rPr>
        <w:t>Baylie I </w:t>
      </w:r>
      <w:r>
        <w:rPr>
          <w:rFonts w:ascii="Georgia" w:hAnsi="Georgia"/>
        </w:rPr>
        <w:t>established that Swift had no duty to test calcium stearate in 325-mesh form prior to supplying it to Cramer for grinding.</w:t>
      </w:r>
    </w:p>
    <w:p w14:paraId="262981B3" w14:textId="77777777" w:rsidR="00BB3975" w:rsidRDefault="00BB3975" w:rsidP="00BB3975">
      <w:pPr>
        <w:pStyle w:val="NormalWeb"/>
        <w:spacing w:after="225" w:afterAutospacing="0"/>
        <w:rPr>
          <w:rFonts w:ascii="Georgia" w:hAnsi="Georgia"/>
        </w:rPr>
      </w:pPr>
      <w:r>
        <w:rPr>
          <w:rFonts w:ascii="Georgia" w:hAnsi="Georgia"/>
        </w:rPr>
        <w:t>Prior to trial, plaintiffs moved to amend their complaint to include an allegation that Swift violated its duty to adequately test calcium stearate in 325-mesh form. Meanwhile, Swift moved </w:t>
      </w:r>
      <w:r>
        <w:rPr>
          <w:rStyle w:val="Emphasis"/>
          <w:rFonts w:ascii="Georgia" w:hAnsi="Georgia"/>
        </w:rPr>
        <w:t>in limine </w:t>
      </w:r>
      <w:r>
        <w:rPr>
          <w:rFonts w:ascii="Georgia" w:hAnsi="Georgia"/>
        </w:rPr>
        <w:t>to bar argument at trial that Swift should have tested calcium stearate in 325-mesh form. The trial court denied the plaintiffs’ motion without prejudice and denied Swift’s motion </w:t>
      </w:r>
      <w:r>
        <w:rPr>
          <w:rStyle w:val="Emphasis"/>
          <w:rFonts w:ascii="Georgia" w:hAnsi="Georgia"/>
        </w:rPr>
        <w:t>in limine, </w:t>
      </w:r>
      <w:r>
        <w:rPr>
          <w:rFonts w:ascii="Georgia" w:hAnsi="Georgia"/>
        </w:rPr>
        <w:t>reserving its ruling until hearing the evidence at trial. The trial court noted that the case was "couched in negligence” and that numerous issues would arise during the trial as the facts unfolded.</w:t>
      </w:r>
    </w:p>
    <w:p w14:paraId="262981B4" w14:textId="77777777" w:rsidR="00BB3975" w:rsidRDefault="00BB3975" w:rsidP="00BB3975">
      <w:pPr>
        <w:pStyle w:val="NormalWeb"/>
        <w:spacing w:after="225" w:afterAutospacing="0"/>
        <w:rPr>
          <w:rFonts w:ascii="Georgia" w:hAnsi="Georgia"/>
        </w:rPr>
      </w:pPr>
      <w:r w:rsidRPr="009B4602">
        <w:rPr>
          <w:rFonts w:ascii="Georgia" w:hAnsi="Georgia"/>
          <w:highlight w:val="magenta"/>
        </w:rPr>
        <w:t>In </w:t>
      </w:r>
      <w:r w:rsidRPr="009B4602">
        <w:rPr>
          <w:rStyle w:val="Emphasis"/>
          <w:rFonts w:ascii="Georgia" w:hAnsi="Georgia"/>
          <w:highlight w:val="magenta"/>
        </w:rPr>
        <w:t>Baylie I, </w:t>
      </w:r>
      <w:r w:rsidRPr="009B4602">
        <w:rPr>
          <w:rFonts w:ascii="Georgia" w:hAnsi="Georgia"/>
          <w:highlight w:val="magenta"/>
        </w:rPr>
        <w:t>this court held that while plaintiffs provided no authority for their contention that Swift owed them a duty to "exercise reasonable care to discover [the] dangerous condition or character [of calcium stearate], and to inform those whom [Swift] should expect to use it,” Swift’s failure to use its facilities to test calcium stearate was relevant to the determination of whether Swift had reason to know that the product was likely to be dangerous and that this was a proper question for the jury. </w:t>
      </w:r>
      <w:r w:rsidRPr="009B4602">
        <w:rPr>
          <w:rStyle w:val="Emphasis"/>
          <w:rFonts w:ascii="Georgia" w:hAnsi="Georgia"/>
          <w:highlight w:val="magenta"/>
        </w:rPr>
        <w:t>Baylie, </w:t>
      </w:r>
      <w:hyperlink r:id="rId29" w:history="1">
        <w:r w:rsidRPr="009B4602">
          <w:rPr>
            <w:rStyle w:val="Hyperlink"/>
            <w:rFonts w:ascii="Georgia" w:hAnsi="Georgia"/>
            <w:color w:val="007BFF"/>
            <w:highlight w:val="magenta"/>
          </w:rPr>
          <w:t>27 Ill. App. 3d at 1045</w:t>
        </w:r>
      </w:hyperlink>
      <w:r w:rsidRPr="009B4602">
        <w:rPr>
          <w:rFonts w:ascii="Georgia" w:hAnsi="Georgia"/>
          <w:highlight w:val="magenta"/>
        </w:rPr>
        <w:t>.</w:t>
      </w:r>
    </w:p>
    <w:p w14:paraId="262981B5" w14:textId="77777777" w:rsidR="00BB3975" w:rsidRDefault="00BB3975" w:rsidP="00BB3975">
      <w:pPr>
        <w:pStyle w:val="NormalWeb"/>
        <w:spacing w:after="225" w:afterAutospacing="0"/>
        <w:rPr>
          <w:rFonts w:ascii="Georgia" w:hAnsi="Georgia"/>
        </w:rPr>
      </w:pPr>
      <w:r w:rsidRPr="009B4602">
        <w:rPr>
          <w:rFonts w:ascii="Georgia" w:hAnsi="Georgia"/>
          <w:highlight w:val="green"/>
        </w:rPr>
        <w:t>The evidence at trial in fact disclosed that Swift had the capability to test the material for flammability and explosibility, but that it failed to do so. Evidence of the so-called "duty to test” was thus intertwined with Swift’s duty to warn and was properly before the jury.</w:t>
      </w:r>
    </w:p>
    <w:p w14:paraId="262981B6" w14:textId="7679F8FD" w:rsidR="00BB3975" w:rsidRDefault="00BB3975" w:rsidP="00BB3975">
      <w:pPr>
        <w:pStyle w:val="NormalWeb"/>
        <w:spacing w:after="225" w:afterAutospacing="0"/>
        <w:rPr>
          <w:rFonts w:ascii="Georgia" w:hAnsi="Georgia"/>
        </w:rPr>
      </w:pPr>
      <w:r>
        <w:rPr>
          <w:rFonts w:ascii="Georgia" w:hAnsi="Georgia"/>
        </w:rPr>
        <w:t>Next, Swift contends that it owed no duty to plaintiffs because they were employed as independent contractors. Swift’s reliance on </w:t>
      </w:r>
      <w:r>
        <w:rPr>
          <w:rStyle w:val="Emphasis"/>
          <w:rFonts w:ascii="Georgia" w:hAnsi="Georgia"/>
        </w:rPr>
        <w:t>Fris v. Personal Products Co., </w:t>
      </w:r>
      <w:r w:rsidRPr="00236645">
        <w:rPr>
          <w:rFonts w:ascii="Georgia" w:hAnsi="Georgia"/>
        </w:rPr>
        <w:t>255 Ill. App. 3d 916</w:t>
      </w:r>
      <w:r>
        <w:rPr>
          <w:rFonts w:ascii="Georgia" w:hAnsi="Georgia"/>
        </w:rPr>
        <w:t>, </w:t>
      </w:r>
      <w:hyperlink r:id="rId30" w:history="1">
        <w:r>
          <w:rPr>
            <w:rStyle w:val="Hyperlink"/>
            <w:rFonts w:ascii="Georgia" w:hAnsi="Georgia"/>
            <w:color w:val="007BFF"/>
          </w:rPr>
          <w:t>627 N.E.2d 1265</w:t>
        </w:r>
      </w:hyperlink>
      <w:r>
        <w:rPr>
          <w:rFonts w:ascii="Georgia" w:hAnsi="Georgia"/>
        </w:rPr>
        <w:t> (1994), and </w:t>
      </w:r>
      <w:r>
        <w:rPr>
          <w:rStyle w:val="Emphasis"/>
          <w:rFonts w:ascii="Georgia" w:hAnsi="Georgia"/>
        </w:rPr>
        <w:t>Weber v. Northern Illinois Gas Co., </w:t>
      </w:r>
      <w:r w:rsidRPr="00236645">
        <w:rPr>
          <w:rFonts w:ascii="Georgia" w:hAnsi="Georgia"/>
        </w:rPr>
        <w:t>10 Ill. App. 3d 625</w:t>
      </w:r>
      <w:r>
        <w:rPr>
          <w:rFonts w:ascii="Georgia" w:hAnsi="Georgia"/>
        </w:rPr>
        <w:t>, </w:t>
      </w:r>
      <w:hyperlink r:id="rId31" w:history="1">
        <w:r>
          <w:rPr>
            <w:rStyle w:val="Hyperlink"/>
            <w:rFonts w:ascii="Georgia" w:hAnsi="Georgia"/>
            <w:color w:val="007BFF"/>
          </w:rPr>
          <w:t>295 N.E.2d 41</w:t>
        </w:r>
      </w:hyperlink>
      <w:r>
        <w:rPr>
          <w:rFonts w:ascii="Georgia" w:hAnsi="Georgia"/>
        </w:rPr>
        <w:t> (1973), is misplaced. </w:t>
      </w:r>
      <w:r>
        <w:rPr>
          <w:rStyle w:val="Emphasis"/>
          <w:rFonts w:ascii="Georgia" w:hAnsi="Georgia"/>
        </w:rPr>
        <w:t>Fris </w:t>
      </w:r>
      <w:r>
        <w:rPr>
          <w:rFonts w:ascii="Georgia" w:hAnsi="Georgia"/>
        </w:rPr>
        <w:t>held that an owner of a build</w:t>
      </w:r>
      <w:r w:rsidRPr="00236645">
        <w:rPr>
          <w:rFonts w:ascii="Georgia" w:hAnsi="Georgia"/>
          <w:i/>
          <w:iCs/>
          <w:sz w:val="19"/>
          <w:szCs w:val="19"/>
        </w:rPr>
        <w:t>*435</w:t>
      </w:r>
      <w:r>
        <w:rPr>
          <w:rFonts w:ascii="Georgia" w:hAnsi="Georgia"/>
        </w:rPr>
        <w:t>ing owed no duty to an employee of an independent contractor with respect to injuries the employee suffered in connection with a </w:t>
      </w:r>
      <w:r>
        <w:rPr>
          <w:rStyle w:val="Emphasis"/>
          <w:rFonts w:ascii="Georgia" w:hAnsi="Georgia"/>
        </w:rPr>
        <w:t>routine and incidental aspect of his job. Fris, </w:t>
      </w:r>
      <w:hyperlink r:id="rId32" w:history="1">
        <w:r>
          <w:rPr>
            <w:rStyle w:val="Hyperlink"/>
            <w:rFonts w:ascii="Georgia" w:hAnsi="Georgia"/>
            <w:color w:val="007BFF"/>
          </w:rPr>
          <w:t>255 Ill. App. 3d at 925</w:t>
        </w:r>
      </w:hyperlink>
      <w:r>
        <w:rPr>
          <w:rFonts w:ascii="Georgia" w:hAnsi="Georgia"/>
        </w:rPr>
        <w:t>.</w:t>
      </w:r>
    </w:p>
    <w:p w14:paraId="262981B7" w14:textId="77777777" w:rsidR="00BB3975" w:rsidRDefault="00BB3975" w:rsidP="00BB3975">
      <w:pPr>
        <w:pStyle w:val="NormalWeb"/>
        <w:spacing w:after="225" w:afterAutospacing="0"/>
        <w:rPr>
          <w:rFonts w:ascii="Georgia" w:hAnsi="Georgia"/>
        </w:rPr>
      </w:pPr>
      <w:r w:rsidRPr="009B4602">
        <w:rPr>
          <w:rFonts w:ascii="Georgia" w:hAnsi="Georgia"/>
          <w:highlight w:val="green"/>
        </w:rPr>
        <w:t>The present case is distinguishable from construction cases involving "methods of work,” as in </w:t>
      </w:r>
      <w:r w:rsidRPr="009B4602">
        <w:rPr>
          <w:rStyle w:val="Emphasis"/>
          <w:rFonts w:ascii="Georgia" w:hAnsi="Georgia"/>
          <w:highlight w:val="cyan"/>
        </w:rPr>
        <w:t>Fris</w:t>
      </w:r>
      <w:r w:rsidRPr="009B4602">
        <w:rPr>
          <w:rStyle w:val="Emphasis"/>
          <w:rFonts w:ascii="Georgia" w:hAnsi="Georgia"/>
          <w:highlight w:val="green"/>
        </w:rPr>
        <w:t>. </w:t>
      </w:r>
      <w:r w:rsidRPr="009B4602">
        <w:rPr>
          <w:rFonts w:ascii="Georgia" w:hAnsi="Georgia"/>
          <w:highlight w:val="green"/>
        </w:rPr>
        <w:t>Here, Swift provided the calcium stearate product to Cramer for grinding. As such, Swift had a duty to warn of any dangers involved with working with the product.</w:t>
      </w:r>
    </w:p>
    <w:p w14:paraId="262981B8" w14:textId="77777777" w:rsidR="00BB3975" w:rsidRDefault="00BB3975" w:rsidP="00BB3975">
      <w:pPr>
        <w:pStyle w:val="NormalWeb"/>
        <w:spacing w:after="225" w:afterAutospacing="0"/>
        <w:rPr>
          <w:rFonts w:ascii="Georgia" w:hAnsi="Georgia"/>
        </w:rPr>
      </w:pPr>
      <w:r>
        <w:rPr>
          <w:rFonts w:ascii="Georgia" w:hAnsi="Georgia"/>
        </w:rPr>
        <w:t>Swift further contends that even if it breached a duty owed to the plaintiffs, that breach was not the </w:t>
      </w:r>
      <w:r>
        <w:rPr>
          <w:rStyle w:val="Emphasis"/>
          <w:rFonts w:ascii="Georgia" w:hAnsi="Georgia"/>
        </w:rPr>
        <w:t>sole </w:t>
      </w:r>
      <w:r>
        <w:rPr>
          <w:rFonts w:ascii="Georgia" w:hAnsi="Georgia"/>
        </w:rPr>
        <w:t>proximate cause of the plaintiffs’ injuries and, therefore, it is not liable. Swift argues that the conduct of Cramer and/or the plaintiffs was the sole proximate cause of the explosion that injured the plaintiffs.</w:t>
      </w:r>
    </w:p>
    <w:p w14:paraId="262981B9" w14:textId="2081F9DC" w:rsidR="00BB3975" w:rsidRDefault="00BB3975" w:rsidP="00BB3975">
      <w:pPr>
        <w:pStyle w:val="NormalWeb"/>
        <w:spacing w:after="225" w:afterAutospacing="0"/>
        <w:rPr>
          <w:rFonts w:ascii="Georgia" w:hAnsi="Georgia"/>
        </w:rPr>
      </w:pPr>
      <w:r>
        <w:rPr>
          <w:rFonts w:ascii="Georgia" w:hAnsi="Georgia"/>
        </w:rPr>
        <w:t>In any negligence action, the plaintiff bears the burden of proving not only duty and breach of duty, but also that defendant proximately caused plaintiff’s injury. </w:t>
      </w:r>
      <w:r>
        <w:rPr>
          <w:rStyle w:val="Emphasis"/>
          <w:rFonts w:ascii="Georgia" w:hAnsi="Georgia"/>
        </w:rPr>
        <w:t>Smith v. Eli Lilly &amp; Co., </w:t>
      </w:r>
      <w:r w:rsidRPr="00236645">
        <w:rPr>
          <w:rFonts w:ascii="Georgia" w:hAnsi="Georgia"/>
        </w:rPr>
        <w:t>137 Ill. 2d 222</w:t>
      </w:r>
      <w:r>
        <w:rPr>
          <w:rFonts w:ascii="Georgia" w:hAnsi="Georgia"/>
        </w:rPr>
        <w:t>, 232, </w:t>
      </w:r>
      <w:hyperlink r:id="rId33" w:history="1">
        <w:r>
          <w:rPr>
            <w:rStyle w:val="Hyperlink"/>
            <w:rFonts w:ascii="Georgia" w:hAnsi="Georgia"/>
            <w:color w:val="007BFF"/>
          </w:rPr>
          <w:t>560 N.E.2d 324</w:t>
        </w:r>
      </w:hyperlink>
      <w:r>
        <w:rPr>
          <w:rFonts w:ascii="Georgia" w:hAnsi="Georgia"/>
        </w:rPr>
        <w:t> (1990); see 1 M. Polelle &amp; B. Ottley, Illinois Tort Law § 14.23 (2d ed. 1996). A defendant in a negligence action may provide a </w:t>
      </w:r>
      <w:r>
        <w:rPr>
          <w:rStyle w:val="Emphasis"/>
          <w:rFonts w:ascii="Georgia" w:hAnsi="Georgia"/>
        </w:rPr>
        <w:t>defense </w:t>
      </w:r>
      <w:r>
        <w:rPr>
          <w:rFonts w:ascii="Georgia" w:hAnsi="Georgia"/>
        </w:rPr>
        <w:t>that he is not the sole proximate cause of a plaintiff’s injury. </w:t>
      </w:r>
      <w:r>
        <w:rPr>
          <w:rStyle w:val="Emphasis"/>
          <w:rFonts w:ascii="Georgia" w:hAnsi="Georgia"/>
        </w:rPr>
        <w:t>Leonardi v. Loyola University, </w:t>
      </w:r>
      <w:r w:rsidRPr="00236645">
        <w:rPr>
          <w:rFonts w:ascii="Georgia" w:hAnsi="Georgia"/>
        </w:rPr>
        <w:t>168 Ill. 2d 83</w:t>
      </w:r>
      <w:r>
        <w:rPr>
          <w:rFonts w:ascii="Georgia" w:hAnsi="Georgia"/>
        </w:rPr>
        <w:t>, </w:t>
      </w:r>
      <w:hyperlink r:id="rId34" w:history="1">
        <w:r>
          <w:rPr>
            <w:rStyle w:val="Hyperlink"/>
            <w:rFonts w:ascii="Georgia" w:hAnsi="Georgia"/>
            <w:color w:val="007BFF"/>
          </w:rPr>
          <w:t>658 N.E.2d 450</w:t>
        </w:r>
      </w:hyperlink>
      <w:r>
        <w:rPr>
          <w:rFonts w:ascii="Georgia" w:hAnsi="Georgia"/>
        </w:rPr>
        <w:t> (1995). The defense does not mean that the plaintiff must prove that the defendant is in fact the </w:t>
      </w:r>
      <w:r>
        <w:rPr>
          <w:rStyle w:val="Emphasis"/>
          <w:rFonts w:ascii="Georgia" w:hAnsi="Georgia"/>
        </w:rPr>
        <w:t>sole </w:t>
      </w:r>
      <w:r>
        <w:rPr>
          <w:rFonts w:ascii="Georgia" w:hAnsi="Georgia"/>
        </w:rPr>
        <w:t>proximate cause of plaintiff’s injury.</w:t>
      </w:r>
    </w:p>
    <w:p w14:paraId="262981BA" w14:textId="77777777" w:rsidR="00BB3975" w:rsidRDefault="00BB3975" w:rsidP="00BB3975">
      <w:pPr>
        <w:pStyle w:val="NormalWeb"/>
        <w:spacing w:after="225" w:afterAutospacing="0"/>
        <w:rPr>
          <w:rFonts w:ascii="Georgia" w:hAnsi="Georgia"/>
        </w:rPr>
      </w:pPr>
      <w:r>
        <w:rPr>
          <w:rFonts w:ascii="Georgia" w:hAnsi="Georgia"/>
        </w:rPr>
        <w:t>In the present case, the evidence did not reveal that Cramer was the sole proximate cause of the plaintiffs’ injuries. Cramer was not a defendant in this case. The jury found that Swift breached its duty to warn plaintiffs of the hazards associated with the milling of calcium stearate and entered its verdict accordingly.</w:t>
      </w:r>
    </w:p>
    <w:p w14:paraId="262981BB" w14:textId="77777777" w:rsidR="00BB3975" w:rsidRDefault="00BB3975" w:rsidP="00BB3975">
      <w:pPr>
        <w:pStyle w:val="NormalWeb"/>
        <w:spacing w:after="225" w:afterAutospacing="0"/>
        <w:rPr>
          <w:rFonts w:ascii="Georgia" w:hAnsi="Georgia"/>
        </w:rPr>
      </w:pPr>
      <w:r w:rsidRPr="009B4602">
        <w:rPr>
          <w:rFonts w:ascii="Georgia" w:hAnsi="Georgia"/>
          <w:highlight w:val="green"/>
        </w:rPr>
        <w:t>Swift also contends that substantial evidence was presented at trial for the jury to find Izzie Baylie comparatively negligent. However, the evidence at trial failed to prove that Izzie Baylie was careless and negligent in any of the ways alleged by Swift. The evidence revealed that Izzie had less than a fourth-grade education and no education, training or experience regarding the explosibility of calcium stearate dust. Thus, the trial court properly refused to instruct the jury on the theory of contributory negligence.</w:t>
      </w:r>
    </w:p>
    <w:p w14:paraId="262981BC" w14:textId="77777777" w:rsidR="00BB3975" w:rsidRDefault="00BB3975" w:rsidP="00BB3975">
      <w:pPr>
        <w:pStyle w:val="NormalWeb"/>
        <w:spacing w:after="225" w:afterAutospacing="0"/>
        <w:rPr>
          <w:rFonts w:ascii="Georgia" w:hAnsi="Georgia"/>
        </w:rPr>
      </w:pPr>
      <w:r>
        <w:rPr>
          <w:rFonts w:ascii="Georgia" w:hAnsi="Georgia"/>
        </w:rPr>
        <w:t>Next, Swift contends that the trial court erred in admitting into evidence Causland’s testimony that calcium stearate was not flammable. Swift argues that this evidence violated the law of the case established in </w:t>
      </w:r>
      <w:r>
        <w:rPr>
          <w:rStyle w:val="Emphasis"/>
          <w:rFonts w:ascii="Georgia" w:hAnsi="Georgia"/>
        </w:rPr>
        <w:t>Baylie I.</w:t>
      </w:r>
    </w:p>
    <w:p w14:paraId="262981BD" w14:textId="046115F2" w:rsidR="00BB3975" w:rsidRDefault="00BB3975" w:rsidP="00BB3975">
      <w:pPr>
        <w:pStyle w:val="NormalWeb"/>
        <w:spacing w:after="225" w:afterAutospacing="0"/>
        <w:rPr>
          <w:rFonts w:ascii="Georgia" w:hAnsi="Georgia"/>
        </w:rPr>
      </w:pPr>
      <w:r>
        <w:rPr>
          <w:rFonts w:ascii="Georgia" w:hAnsi="Georgia"/>
        </w:rPr>
        <w:t>In </w:t>
      </w:r>
      <w:r>
        <w:rPr>
          <w:rStyle w:val="Emphasis"/>
          <w:rFonts w:ascii="Georgia" w:hAnsi="Georgia"/>
        </w:rPr>
        <w:t>Baylie I, </w:t>
      </w:r>
      <w:r>
        <w:rPr>
          <w:rFonts w:ascii="Georgia" w:hAnsi="Georgia"/>
        </w:rPr>
        <w:t>this court struck plaintiffs’ counts based on negligent misrepresentation because there was no evidence at trial that suggested that anyone at Cramer relied on Causland’s alleged misrepre</w:t>
      </w:r>
      <w:r w:rsidRPr="00236645">
        <w:rPr>
          <w:rFonts w:ascii="Georgia" w:hAnsi="Georgia"/>
          <w:i/>
          <w:iCs/>
          <w:sz w:val="19"/>
          <w:szCs w:val="19"/>
        </w:rPr>
        <w:t>*436</w:t>
      </w:r>
      <w:r>
        <w:rPr>
          <w:rFonts w:ascii="Georgia" w:hAnsi="Georgia"/>
        </w:rPr>
        <w:t>sentation that calcium stearate is nonflammable. </w:t>
      </w:r>
      <w:r>
        <w:rPr>
          <w:rStyle w:val="Emphasis"/>
          <w:rFonts w:ascii="Georgia" w:hAnsi="Georgia"/>
        </w:rPr>
        <w:t>Baylie, </w:t>
      </w:r>
      <w:hyperlink r:id="rId35" w:history="1">
        <w:r>
          <w:rPr>
            <w:rStyle w:val="Hyperlink"/>
            <w:rFonts w:ascii="Georgia" w:hAnsi="Georgia"/>
            <w:color w:val="007BFF"/>
          </w:rPr>
          <w:t>27 Ill. App. 3d at 1045</w:t>
        </w:r>
      </w:hyperlink>
      <w:r>
        <w:rPr>
          <w:rFonts w:ascii="Georgia" w:hAnsi="Georgia"/>
        </w:rPr>
        <w:t>. The court did not rule that Causland’s testimony was inadmissible. Thus, admission of Causland’s testimony on retrial was not against the law of the case.</w:t>
      </w:r>
    </w:p>
    <w:p w14:paraId="262981BE" w14:textId="77777777" w:rsidR="00BB3975" w:rsidRDefault="00BB3975" w:rsidP="00BB3975">
      <w:pPr>
        <w:pStyle w:val="NormalWeb"/>
        <w:spacing w:after="225" w:afterAutospacing="0"/>
        <w:rPr>
          <w:rFonts w:ascii="Georgia" w:hAnsi="Georgia"/>
        </w:rPr>
      </w:pPr>
      <w:r>
        <w:rPr>
          <w:rFonts w:ascii="Georgia" w:hAnsi="Georgia"/>
        </w:rPr>
        <w:t>Swift also contends that the trial court improperly excluded a certain portion of Mehl’s testimony as hearsay. The trial court excluded Mehl’s account of a conversation he had with Matthew Hannon (also deceased) as follows:</w:t>
      </w:r>
    </w:p>
    <w:p w14:paraId="262981BF" w14:textId="77777777" w:rsidR="00BB3975" w:rsidRDefault="00BB3975" w:rsidP="00BB3975">
      <w:pPr>
        <w:rPr>
          <w:rFonts w:ascii="Georgia" w:hAnsi="Georgia"/>
          <w:color w:val="004FB3"/>
        </w:rPr>
      </w:pPr>
      <w:r>
        <w:rPr>
          <w:rFonts w:ascii="Georgia" w:hAnsi="Georgia"/>
          <w:color w:val="004FB3"/>
        </w:rPr>
        <w:t>"Mr. Hannon expressed concern that he considered their operation of a rather classified nature. He didn’t — he didn’t want people to observe it too closely.”</w:t>
      </w:r>
    </w:p>
    <w:p w14:paraId="262981C0" w14:textId="77777777" w:rsidR="00BB3975" w:rsidRDefault="00BB3975" w:rsidP="00BB3975">
      <w:pPr>
        <w:pStyle w:val="NormalWeb"/>
        <w:spacing w:after="225" w:afterAutospacing="0"/>
        <w:rPr>
          <w:rFonts w:ascii="Georgia" w:hAnsi="Georgia"/>
        </w:rPr>
      </w:pPr>
      <w:r>
        <w:rPr>
          <w:rFonts w:ascii="Georgia" w:hAnsi="Georgia"/>
        </w:rPr>
        <w:t>Swift argues that the statement was proper because it explained why Mehl walked through the plant quickly and because it was admitted in the 1971 trial without any objection.</w:t>
      </w:r>
    </w:p>
    <w:p w14:paraId="262981C1" w14:textId="77777777" w:rsidR="00BB3975" w:rsidRDefault="00BB3975" w:rsidP="00BB3975">
      <w:pPr>
        <w:pStyle w:val="NormalWeb"/>
        <w:spacing w:after="225" w:afterAutospacing="0"/>
        <w:rPr>
          <w:rFonts w:ascii="Georgia" w:hAnsi="Georgia"/>
        </w:rPr>
      </w:pPr>
      <w:r>
        <w:rPr>
          <w:rFonts w:ascii="Georgia" w:hAnsi="Georgia"/>
        </w:rPr>
        <w:t>We find that the trial court properly excluded that portion of Mehl’s testimony as hearsay because it was offered to prove the truth of the matter asserted, </w:t>
      </w:r>
      <w:r>
        <w:rPr>
          <w:rStyle w:val="Emphasis"/>
          <w:rFonts w:ascii="Georgia" w:hAnsi="Georgia"/>
        </w:rPr>
        <w:t>e.g., </w:t>
      </w:r>
      <w:r>
        <w:rPr>
          <w:rFonts w:ascii="Georgia" w:hAnsi="Georgia"/>
        </w:rPr>
        <w:t>that Cramer prohibited Swift employees from observing the Cramer grinding facilities.</w:t>
      </w:r>
    </w:p>
    <w:p w14:paraId="262981C2" w14:textId="77777777" w:rsidR="00BB3975" w:rsidRDefault="00BB3975" w:rsidP="00BB3975">
      <w:pPr>
        <w:pStyle w:val="NormalWeb"/>
        <w:spacing w:after="225" w:afterAutospacing="0"/>
        <w:rPr>
          <w:rFonts w:ascii="Georgia" w:hAnsi="Georgia"/>
        </w:rPr>
      </w:pPr>
      <w:r>
        <w:rPr>
          <w:rFonts w:ascii="Georgia" w:hAnsi="Georgia"/>
        </w:rPr>
        <w:t>Swift further contends that the trial court erred in denying its motion </w:t>
      </w:r>
      <w:r>
        <w:rPr>
          <w:rStyle w:val="Emphasis"/>
          <w:rFonts w:ascii="Georgia" w:hAnsi="Georgia"/>
        </w:rPr>
        <w:t>in limine </w:t>
      </w:r>
      <w:r>
        <w:rPr>
          <w:rFonts w:ascii="Georgia" w:hAnsi="Georgia"/>
        </w:rPr>
        <w:t>to bar Dr. Grelecki from testifying regarding Swift’s duty to warn plaintiffs of the dangers of calcium stearate.</w:t>
      </w:r>
    </w:p>
    <w:p w14:paraId="262981C3" w14:textId="3BAD4DEE" w:rsidR="00BB3975" w:rsidRDefault="00BB3975" w:rsidP="00BB3975">
      <w:pPr>
        <w:pStyle w:val="NormalWeb"/>
        <w:spacing w:after="225" w:afterAutospacing="0"/>
        <w:rPr>
          <w:rFonts w:ascii="Georgia" w:hAnsi="Georgia"/>
        </w:rPr>
      </w:pPr>
      <w:r>
        <w:rPr>
          <w:rFonts w:ascii="Georgia" w:hAnsi="Georgia"/>
        </w:rPr>
        <w:t>In support, Swift cites </w:t>
      </w:r>
      <w:r>
        <w:rPr>
          <w:rStyle w:val="Emphasis"/>
          <w:rFonts w:ascii="Georgia" w:hAnsi="Georgia"/>
        </w:rPr>
        <w:t>Coyne v. Robert H. Anderson &amp; Associates, Inc., </w:t>
      </w:r>
      <w:r w:rsidRPr="00236645">
        <w:rPr>
          <w:rFonts w:ascii="Georgia" w:hAnsi="Georgia"/>
        </w:rPr>
        <w:t>215 Ill. App. 3d 104</w:t>
      </w:r>
      <w:r>
        <w:rPr>
          <w:rFonts w:ascii="Georgia" w:hAnsi="Georgia"/>
        </w:rPr>
        <w:t>, </w:t>
      </w:r>
      <w:hyperlink r:id="rId36" w:history="1">
        <w:r>
          <w:rPr>
            <w:rStyle w:val="Hyperlink"/>
            <w:rFonts w:ascii="Georgia" w:hAnsi="Georgia"/>
            <w:color w:val="007BFF"/>
          </w:rPr>
          <w:t>574 N.E.2d 863</w:t>
        </w:r>
      </w:hyperlink>
      <w:r>
        <w:rPr>
          <w:rFonts w:ascii="Georgia" w:hAnsi="Georgia"/>
        </w:rPr>
        <w:t> (1991), and </w:t>
      </w:r>
      <w:r>
        <w:rPr>
          <w:rStyle w:val="Emphasis"/>
          <w:rFonts w:ascii="Georgia" w:hAnsi="Georgia"/>
        </w:rPr>
        <w:t>Sohaey v. Van Cura, </w:t>
      </w:r>
      <w:r w:rsidRPr="00236645">
        <w:rPr>
          <w:rFonts w:ascii="Georgia" w:hAnsi="Georgia"/>
        </w:rPr>
        <w:t>240 Ill. App. 3d 266</w:t>
      </w:r>
      <w:r>
        <w:rPr>
          <w:rFonts w:ascii="Georgia" w:hAnsi="Georgia"/>
        </w:rPr>
        <w:t>, </w:t>
      </w:r>
      <w:hyperlink r:id="rId37" w:history="1">
        <w:r>
          <w:rPr>
            <w:rStyle w:val="Hyperlink"/>
            <w:rFonts w:ascii="Georgia" w:hAnsi="Georgia"/>
            <w:color w:val="007BFF"/>
          </w:rPr>
          <w:t>607 N.E.2d 253</w:t>
        </w:r>
      </w:hyperlink>
      <w:r>
        <w:rPr>
          <w:rFonts w:ascii="Georgia" w:hAnsi="Georgia"/>
        </w:rPr>
        <w:t> (1992). Both cases are distinguishable. In </w:t>
      </w:r>
      <w:r>
        <w:rPr>
          <w:rStyle w:val="Emphasis"/>
          <w:rFonts w:ascii="Georgia" w:hAnsi="Georgia"/>
        </w:rPr>
        <w:t>Coyne, </w:t>
      </w:r>
      <w:r>
        <w:rPr>
          <w:rFonts w:ascii="Georgia" w:hAnsi="Georgia"/>
        </w:rPr>
        <w:t>the issue was what responsibilities an engineering firm had both by contract and under the Structural Work Act (740 ILCS 150/1 </w:t>
      </w:r>
      <w:r>
        <w:rPr>
          <w:rStyle w:val="Emphasis"/>
          <w:rFonts w:ascii="Georgia" w:hAnsi="Georgia"/>
        </w:rPr>
        <w:t>et seq. </w:t>
      </w:r>
      <w:r>
        <w:rPr>
          <w:rFonts w:ascii="Georgia" w:hAnsi="Georgia"/>
        </w:rPr>
        <w:t>(West 1992)), regarding a construction project. This court held that this was a factual determination to be made by the jury and, therefore, expert testimony as to who was "having charge of the work” was improper because the jury could make that determination without expert testimony. </w:t>
      </w:r>
      <w:r>
        <w:rPr>
          <w:rStyle w:val="Emphasis"/>
          <w:rFonts w:ascii="Georgia" w:hAnsi="Georgia"/>
        </w:rPr>
        <w:t>Coyne, </w:t>
      </w:r>
      <w:r w:rsidRPr="00236645">
        <w:rPr>
          <w:rFonts w:ascii="Georgia" w:hAnsi="Georgia"/>
        </w:rPr>
        <w:t>215 Ill. App. 3d at 112</w:t>
      </w:r>
      <w:r>
        <w:rPr>
          <w:rFonts w:ascii="Georgia" w:hAnsi="Georgia"/>
        </w:rPr>
        <w:t>.</w:t>
      </w:r>
    </w:p>
    <w:p w14:paraId="262981C4" w14:textId="77777777" w:rsidR="00BB3975" w:rsidRDefault="00BB3975" w:rsidP="00BB3975">
      <w:pPr>
        <w:pStyle w:val="NormalWeb"/>
        <w:spacing w:after="225" w:afterAutospacing="0"/>
        <w:rPr>
          <w:rFonts w:ascii="Georgia" w:hAnsi="Georgia"/>
        </w:rPr>
      </w:pPr>
      <w:r>
        <w:rPr>
          <w:rFonts w:ascii="Georgia" w:hAnsi="Georgia"/>
        </w:rPr>
        <w:t>Similarly, in </w:t>
      </w:r>
      <w:r>
        <w:rPr>
          <w:rStyle w:val="Emphasis"/>
          <w:rFonts w:ascii="Georgia" w:hAnsi="Georgia"/>
        </w:rPr>
        <w:t>Sohaey, </w:t>
      </w:r>
      <w:r>
        <w:rPr>
          <w:rFonts w:ascii="Georgia" w:hAnsi="Georgia"/>
        </w:rPr>
        <w:t>this court found that the trial court properly excluded expert testimony as to the standard of care for real estate brokers because an expert witness is not competent to testify regarding statutory interpretation or to make conclusions a jury could make without the testimony. </w:t>
      </w:r>
      <w:r>
        <w:rPr>
          <w:rStyle w:val="Emphasis"/>
          <w:rFonts w:ascii="Georgia" w:hAnsi="Georgia"/>
        </w:rPr>
        <w:t>Sohaey, </w:t>
      </w:r>
      <w:hyperlink r:id="rId38" w:history="1">
        <w:r>
          <w:rPr>
            <w:rStyle w:val="Hyperlink"/>
            <w:rFonts w:ascii="Georgia" w:hAnsi="Georgia"/>
            <w:color w:val="007BFF"/>
          </w:rPr>
          <w:t>240 Ill. App. 3d at 283</w:t>
        </w:r>
      </w:hyperlink>
      <w:r>
        <w:rPr>
          <w:rFonts w:ascii="Georgia" w:hAnsi="Georgia"/>
        </w:rPr>
        <w:t>.</w:t>
      </w:r>
    </w:p>
    <w:p w14:paraId="262981C5" w14:textId="77777777" w:rsidR="00BB3975" w:rsidRDefault="00BB3975" w:rsidP="00BB3975">
      <w:pPr>
        <w:pStyle w:val="NormalWeb"/>
        <w:spacing w:after="225" w:afterAutospacing="0"/>
        <w:rPr>
          <w:rFonts w:ascii="Georgia" w:hAnsi="Georgia"/>
        </w:rPr>
      </w:pPr>
      <w:r>
        <w:rPr>
          <w:rFonts w:ascii="Georgia" w:hAnsi="Georgia"/>
        </w:rPr>
        <w:t>In the present case, Grelecki’s testimony was not premised on case law and statutes. Grelecki testified as to Swift’s responsibilities within the chemical manufacturing industry, based on his education and experience. Therefore, Grelecki’s testimony was proper.</w:t>
      </w:r>
    </w:p>
    <w:p w14:paraId="262981C6" w14:textId="6C804411" w:rsidR="00BB3975" w:rsidRDefault="00BB3975" w:rsidP="00BB3975">
      <w:pPr>
        <w:pStyle w:val="NormalWeb"/>
        <w:spacing w:after="225" w:afterAutospacing="0"/>
        <w:rPr>
          <w:rFonts w:ascii="Georgia" w:hAnsi="Georgia"/>
        </w:rPr>
      </w:pPr>
      <w:r>
        <w:rPr>
          <w:rFonts w:ascii="Georgia" w:hAnsi="Georgia"/>
        </w:rPr>
        <w:t>Finally, Swift contends that the trial court erred in striking a portion of Swift’s cross-examination of Grelecki and in barring </w:t>
      </w:r>
      <w:r w:rsidRPr="00236645">
        <w:rPr>
          <w:rFonts w:ascii="Georgia" w:hAnsi="Georgia"/>
          <w:i/>
          <w:iCs/>
          <w:sz w:val="19"/>
          <w:szCs w:val="19"/>
        </w:rPr>
        <w:t>*437</w:t>
      </w:r>
      <w:r>
        <w:rPr>
          <w:rFonts w:ascii="Georgia" w:hAnsi="Georgia"/>
        </w:rPr>
        <w:t>defense counsel from questioning Grelecki regarding the fact that he failed to offer opinions in the 1971 trial.</w:t>
      </w:r>
    </w:p>
    <w:p w14:paraId="262981C7" w14:textId="77777777" w:rsidR="00BB3975" w:rsidRDefault="00BB3975" w:rsidP="00BB3975">
      <w:pPr>
        <w:pStyle w:val="NormalWeb"/>
        <w:spacing w:after="225" w:afterAutospacing="0"/>
        <w:rPr>
          <w:rFonts w:ascii="Georgia" w:hAnsi="Georgia"/>
        </w:rPr>
      </w:pPr>
      <w:r>
        <w:rPr>
          <w:rFonts w:ascii="Georgia" w:hAnsi="Georgia"/>
        </w:rPr>
        <w:t>The record shows that Swift sought to impeach Grelecki by omission. The trial court reviewed Grelecki’s testimony in </w:t>
      </w:r>
      <w:r>
        <w:rPr>
          <w:rStyle w:val="Emphasis"/>
          <w:rFonts w:ascii="Georgia" w:hAnsi="Georgia"/>
        </w:rPr>
        <w:t>Baylie I </w:t>
      </w:r>
      <w:r>
        <w:rPr>
          <w:rFonts w:ascii="Georgia" w:hAnsi="Georgia"/>
        </w:rPr>
        <w:t>and determined that there was not sufficient information to conclude that Grelecki should have expressed the same opinions in the first trial. The trial court found that Grelecki was not retained to testify for the same purposes in the 1971 trial. Thus, the trial court properly barred Swift from attempting to impeach Grelecki by omission.</w:t>
      </w:r>
    </w:p>
    <w:p w14:paraId="262981C8" w14:textId="77777777" w:rsidR="00BB3975" w:rsidRDefault="00BB3975" w:rsidP="00BB3975">
      <w:pPr>
        <w:pStyle w:val="NormalWeb"/>
        <w:spacing w:after="225" w:afterAutospacing="0"/>
        <w:rPr>
          <w:rFonts w:ascii="Georgia" w:hAnsi="Georgia"/>
        </w:rPr>
      </w:pPr>
      <w:r w:rsidRPr="009B4602">
        <w:rPr>
          <w:rFonts w:ascii="Georgia" w:hAnsi="Georgia"/>
          <w:highlight w:val="red"/>
        </w:rPr>
        <w:t>For all of the reasons stated above, we therefore affirm the judgment of the circuit court.</w:t>
      </w:r>
    </w:p>
    <w:p w14:paraId="262981C9" w14:textId="77777777" w:rsidR="00BB3975" w:rsidRDefault="00BB3975" w:rsidP="00BB3975">
      <w:pPr>
        <w:pStyle w:val="NormalWeb"/>
        <w:spacing w:after="225" w:afterAutospacing="0"/>
        <w:rPr>
          <w:rFonts w:ascii="Georgia" w:hAnsi="Georgia"/>
        </w:rPr>
      </w:pPr>
      <w:r w:rsidRPr="009B4602">
        <w:rPr>
          <w:rFonts w:ascii="Georgia" w:hAnsi="Georgia"/>
          <w:highlight w:val="red"/>
        </w:rPr>
        <w:t>Affirmed.</w:t>
      </w:r>
    </w:p>
    <w:p w14:paraId="262981CA" w14:textId="77777777" w:rsidR="00BB3975" w:rsidRDefault="00BB3975" w:rsidP="00BB3975">
      <w:pPr>
        <w:pStyle w:val="NormalWeb"/>
        <w:spacing w:after="225" w:afterAutospacing="0"/>
        <w:rPr>
          <w:rFonts w:ascii="Georgia" w:hAnsi="Georgia"/>
        </w:rPr>
      </w:pPr>
      <w:r>
        <w:rPr>
          <w:rFonts w:ascii="Georgia" w:hAnsi="Georgia"/>
        </w:rPr>
        <w:t>BUCKLEY and BRADEN, JJ., concur.</w:t>
      </w:r>
    </w:p>
    <w:p w14:paraId="262981CB" w14:textId="77777777" w:rsidR="00BB3975" w:rsidRDefault="00236645" w:rsidP="00BB3975">
      <w:pPr>
        <w:rPr>
          <w:rFonts w:ascii="Times New Roman" w:hAnsi="Times New Roman"/>
        </w:rPr>
      </w:pPr>
      <w:hyperlink r:id="rId39" w:anchor="ref_footnote_1_1" w:history="1">
        <w:r w:rsidR="00BB3975">
          <w:rPr>
            <w:rStyle w:val="Hyperlink"/>
            <w:rFonts w:ascii="Georgia" w:hAnsi="Georgia"/>
            <w:b/>
            <w:bCs/>
            <w:color w:val="E878FF"/>
          </w:rPr>
          <w:t>1</w:t>
        </w:r>
      </w:hyperlink>
    </w:p>
    <w:p w14:paraId="262981CC" w14:textId="77777777" w:rsidR="00BB3975" w:rsidRDefault="00BB3975" w:rsidP="00BB3975">
      <w:pPr>
        <w:pStyle w:val="NormalWeb"/>
        <w:spacing w:before="0" w:beforeAutospacing="0" w:after="120" w:afterAutospacing="0"/>
        <w:rPr>
          <w:rFonts w:ascii="Georgia" w:hAnsi="Georgia"/>
        </w:rPr>
      </w:pPr>
      <w:r>
        <w:rPr>
          <w:rFonts w:ascii="Georgia" w:hAnsi="Georgia"/>
        </w:rPr>
        <w:t>The record reveals that the United States Army inadvertently altered the spelling of Izzie’s last name upon his conscription.</w:t>
      </w:r>
    </w:p>
    <w:p w14:paraId="262981CD" w14:textId="77777777" w:rsidR="003C7770" w:rsidRDefault="003C7770" w:rsidP="00C568A9"/>
    <w:p w14:paraId="262981CE" w14:textId="77777777" w:rsidR="00C568A9" w:rsidRDefault="00C568A9" w:rsidP="00C568A9"/>
    <w:p w14:paraId="262981CF" w14:textId="77777777" w:rsidR="00C568A9" w:rsidRPr="009456D4" w:rsidRDefault="00C568A9" w:rsidP="00C568A9">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62981D0" w14:textId="77777777" w:rsidR="00C568A9" w:rsidRPr="00C568A9" w:rsidRDefault="009B4602" w:rsidP="00D10F24">
      <w:pPr>
        <w:spacing w:before="100" w:beforeAutospacing="1" w:after="225" w:line="240" w:lineRule="auto"/>
      </w:pPr>
      <w:r w:rsidRPr="009B4602">
        <w:rPr>
          <w:rFonts w:ascii="Georgia" w:eastAsia="Times New Roman" w:hAnsi="Georgia" w:cs="Times New Roman"/>
          <w:sz w:val="28"/>
          <w:szCs w:val="24"/>
          <w:lang w:eastAsia="en-GB"/>
        </w:rPr>
        <w:t xml:space="preserve">Izzie Baylie </w:t>
      </w:r>
      <w:r w:rsidR="00D10F24">
        <w:rPr>
          <w:rFonts w:ascii="Georgia" w:eastAsia="Times New Roman" w:hAnsi="Georgia" w:cs="Times New Roman"/>
          <w:sz w:val="28"/>
          <w:szCs w:val="24"/>
          <w:lang w:eastAsia="en-GB"/>
        </w:rPr>
        <w:t xml:space="preserve">and his brother Forest Bailey </w:t>
      </w:r>
      <w:r w:rsidR="00D10F24" w:rsidRPr="00D10F24">
        <w:rPr>
          <w:rFonts w:ascii="Georgia" w:eastAsia="Times New Roman" w:hAnsi="Georgia" w:cs="Times New Roman"/>
          <w:sz w:val="28"/>
          <w:szCs w:val="24"/>
          <w:lang w:eastAsia="en-GB"/>
        </w:rPr>
        <w:t>were employed by Cramer</w:t>
      </w:r>
      <w:r w:rsidR="00D10F24">
        <w:rPr>
          <w:rFonts w:ascii="Georgia" w:eastAsia="Times New Roman" w:hAnsi="Georgia" w:cs="Times New Roman"/>
          <w:sz w:val="28"/>
          <w:szCs w:val="24"/>
          <w:lang w:eastAsia="en-GB"/>
        </w:rPr>
        <w:t xml:space="preserve"> Company</w:t>
      </w:r>
      <w:r w:rsidR="00D10F24" w:rsidRPr="00D10F24">
        <w:rPr>
          <w:rFonts w:ascii="Georgia" w:eastAsia="Times New Roman" w:hAnsi="Georgia" w:cs="Times New Roman"/>
          <w:sz w:val="28"/>
          <w:szCs w:val="24"/>
          <w:lang w:eastAsia="en-GB"/>
        </w:rPr>
        <w:t>, a custom milling operation, to grind calcium stearate for use in a soap product manufactured by Swift.</w:t>
      </w:r>
      <w:r w:rsidR="00D10F24">
        <w:rPr>
          <w:rFonts w:ascii="Georgia" w:eastAsia="Times New Roman" w:hAnsi="Georgia" w:cs="Times New Roman"/>
          <w:sz w:val="28"/>
          <w:szCs w:val="24"/>
          <w:lang w:eastAsia="en-GB"/>
        </w:rPr>
        <w:t xml:space="preserve"> They </w:t>
      </w:r>
      <w:r w:rsidRPr="009B4602">
        <w:rPr>
          <w:rFonts w:ascii="Georgia" w:eastAsia="Times New Roman" w:hAnsi="Georgia" w:cs="Times New Roman"/>
          <w:sz w:val="28"/>
          <w:szCs w:val="24"/>
          <w:lang w:eastAsia="en-GB"/>
        </w:rPr>
        <w:t xml:space="preserve">were injured as a result of an explosion and fire </w:t>
      </w:r>
      <w:r w:rsidR="00D10F24">
        <w:rPr>
          <w:rFonts w:ascii="Georgia" w:eastAsia="Times New Roman" w:hAnsi="Georgia" w:cs="Times New Roman"/>
          <w:sz w:val="28"/>
          <w:szCs w:val="24"/>
          <w:lang w:eastAsia="en-GB"/>
        </w:rPr>
        <w:t>in the course of their employment</w:t>
      </w:r>
      <w:r>
        <w:rPr>
          <w:rFonts w:ascii="Georgia" w:eastAsia="Times New Roman" w:hAnsi="Georgia" w:cs="Times New Roman"/>
          <w:sz w:val="28"/>
          <w:szCs w:val="24"/>
          <w:lang w:eastAsia="en-GB"/>
        </w:rPr>
        <w:t xml:space="preserve">. </w:t>
      </w:r>
      <w:r w:rsidR="00D10F24" w:rsidRPr="00D10F24">
        <w:rPr>
          <w:rFonts w:ascii="Georgia" w:eastAsia="Times New Roman" w:hAnsi="Georgia" w:cs="Times New Roman"/>
          <w:sz w:val="28"/>
          <w:szCs w:val="24"/>
          <w:lang w:eastAsia="en-GB"/>
        </w:rPr>
        <w:t xml:space="preserve">Plaintiffs </w:t>
      </w:r>
      <w:r w:rsidR="00D10F24">
        <w:rPr>
          <w:rFonts w:ascii="Georgia" w:eastAsia="Times New Roman" w:hAnsi="Georgia" w:cs="Times New Roman"/>
          <w:sz w:val="28"/>
          <w:szCs w:val="24"/>
          <w:lang w:eastAsia="en-GB"/>
        </w:rPr>
        <w:t xml:space="preserve">sued Swift, claiming that it </w:t>
      </w:r>
      <w:r w:rsidR="00D10F24" w:rsidRPr="00D10F24">
        <w:rPr>
          <w:rFonts w:ascii="Georgia" w:eastAsia="Times New Roman" w:hAnsi="Georgia" w:cs="Times New Roman"/>
          <w:sz w:val="28"/>
          <w:szCs w:val="24"/>
          <w:lang w:eastAsia="en-GB"/>
        </w:rPr>
        <w:t>had failed to warn Cramer that calcium stearate presented a risk of explosion under certain circumstances.</w:t>
      </w:r>
      <w:r w:rsidR="00D10F24">
        <w:rPr>
          <w:rFonts w:ascii="Georgia" w:eastAsia="Times New Roman" w:hAnsi="Georgia" w:cs="Times New Roman"/>
          <w:sz w:val="28"/>
          <w:szCs w:val="24"/>
          <w:lang w:eastAsia="en-GB"/>
        </w:rPr>
        <w:t xml:space="preserve"> A jury found in favour of plaintiffs, and defendant appealed. The appellate court a</w:t>
      </w:r>
      <w:r w:rsidR="00B86F02">
        <w:rPr>
          <w:rFonts w:ascii="Georgia" w:eastAsia="Times New Roman" w:hAnsi="Georgia" w:cs="Times New Roman"/>
          <w:sz w:val="28"/>
          <w:szCs w:val="24"/>
          <w:lang w:eastAsia="en-GB"/>
        </w:rPr>
        <w:t>ffirmed.</w:t>
      </w:r>
    </w:p>
    <w:sectPr w:rsidR="00C568A9" w:rsidRPr="00C56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84394"/>
    <w:multiLevelType w:val="multilevel"/>
    <w:tmpl w:val="86F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050C2"/>
    <w:multiLevelType w:val="multilevel"/>
    <w:tmpl w:val="E182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C0114"/>
    <w:multiLevelType w:val="multilevel"/>
    <w:tmpl w:val="335A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B6842"/>
    <w:multiLevelType w:val="multilevel"/>
    <w:tmpl w:val="067C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A21F9"/>
    <w:multiLevelType w:val="multilevel"/>
    <w:tmpl w:val="0AA4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915C9"/>
    <w:multiLevelType w:val="multilevel"/>
    <w:tmpl w:val="F042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874B0"/>
    <w:multiLevelType w:val="multilevel"/>
    <w:tmpl w:val="D068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04E0C"/>
    <w:multiLevelType w:val="multilevel"/>
    <w:tmpl w:val="F28C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A3325"/>
    <w:multiLevelType w:val="multilevel"/>
    <w:tmpl w:val="9948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6064B"/>
    <w:multiLevelType w:val="multilevel"/>
    <w:tmpl w:val="5D10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4573D"/>
    <w:multiLevelType w:val="multilevel"/>
    <w:tmpl w:val="308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B3AC8"/>
    <w:multiLevelType w:val="multilevel"/>
    <w:tmpl w:val="AF5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9383F"/>
    <w:multiLevelType w:val="multilevel"/>
    <w:tmpl w:val="FA64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15C35"/>
    <w:multiLevelType w:val="multilevel"/>
    <w:tmpl w:val="6B26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556AD8"/>
    <w:multiLevelType w:val="multilevel"/>
    <w:tmpl w:val="47D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B683E"/>
    <w:multiLevelType w:val="multilevel"/>
    <w:tmpl w:val="BCCE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23872"/>
    <w:multiLevelType w:val="multilevel"/>
    <w:tmpl w:val="3660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E55FE"/>
    <w:multiLevelType w:val="multilevel"/>
    <w:tmpl w:val="90A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E6262F"/>
    <w:multiLevelType w:val="multilevel"/>
    <w:tmpl w:val="4658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807A34"/>
    <w:multiLevelType w:val="multilevel"/>
    <w:tmpl w:val="FF4E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FE5F84"/>
    <w:multiLevelType w:val="multilevel"/>
    <w:tmpl w:val="12F2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B6BED"/>
    <w:multiLevelType w:val="multilevel"/>
    <w:tmpl w:val="4AAE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B42421"/>
    <w:multiLevelType w:val="multilevel"/>
    <w:tmpl w:val="67B4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FE4B83"/>
    <w:multiLevelType w:val="multilevel"/>
    <w:tmpl w:val="2CEC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6D03B7"/>
    <w:multiLevelType w:val="multilevel"/>
    <w:tmpl w:val="874E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B75784"/>
    <w:multiLevelType w:val="multilevel"/>
    <w:tmpl w:val="4AE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600CAF"/>
    <w:multiLevelType w:val="multilevel"/>
    <w:tmpl w:val="AAC0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4D34E7"/>
    <w:multiLevelType w:val="multilevel"/>
    <w:tmpl w:val="87DE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8E671B"/>
    <w:multiLevelType w:val="multilevel"/>
    <w:tmpl w:val="9E4E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C1705B"/>
    <w:multiLevelType w:val="multilevel"/>
    <w:tmpl w:val="57B0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E02167"/>
    <w:multiLevelType w:val="multilevel"/>
    <w:tmpl w:val="64F6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4A2CD2"/>
    <w:multiLevelType w:val="multilevel"/>
    <w:tmpl w:val="45FA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5F5EED"/>
    <w:multiLevelType w:val="multilevel"/>
    <w:tmpl w:val="F054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511C1A"/>
    <w:multiLevelType w:val="multilevel"/>
    <w:tmpl w:val="6A2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161303">
    <w:abstractNumId w:val="32"/>
  </w:num>
  <w:num w:numId="2" w16cid:durableId="1837307772">
    <w:abstractNumId w:val="22"/>
  </w:num>
  <w:num w:numId="3" w16cid:durableId="1022824520">
    <w:abstractNumId w:val="25"/>
  </w:num>
  <w:num w:numId="4" w16cid:durableId="1669600612">
    <w:abstractNumId w:val="10"/>
  </w:num>
  <w:num w:numId="5" w16cid:durableId="1836728825">
    <w:abstractNumId w:val="16"/>
  </w:num>
  <w:num w:numId="6" w16cid:durableId="956832709">
    <w:abstractNumId w:val="27"/>
  </w:num>
  <w:num w:numId="7" w16cid:durableId="673075951">
    <w:abstractNumId w:val="2"/>
  </w:num>
  <w:num w:numId="8" w16cid:durableId="1086264072">
    <w:abstractNumId w:val="6"/>
  </w:num>
  <w:num w:numId="9" w16cid:durableId="2069985939">
    <w:abstractNumId w:val="26"/>
  </w:num>
  <w:num w:numId="10" w16cid:durableId="1985893477">
    <w:abstractNumId w:val="33"/>
  </w:num>
  <w:num w:numId="11" w16cid:durableId="962887667">
    <w:abstractNumId w:val="19"/>
  </w:num>
  <w:num w:numId="12" w16cid:durableId="692651978">
    <w:abstractNumId w:val="17"/>
  </w:num>
  <w:num w:numId="13" w16cid:durableId="1705667258">
    <w:abstractNumId w:val="11"/>
  </w:num>
  <w:num w:numId="14" w16cid:durableId="218133534">
    <w:abstractNumId w:val="24"/>
  </w:num>
  <w:num w:numId="15" w16cid:durableId="22093118">
    <w:abstractNumId w:val="5"/>
  </w:num>
  <w:num w:numId="16" w16cid:durableId="943614640">
    <w:abstractNumId w:val="21"/>
  </w:num>
  <w:num w:numId="17" w16cid:durableId="1168902968">
    <w:abstractNumId w:val="0"/>
  </w:num>
  <w:num w:numId="18" w16cid:durableId="845632019">
    <w:abstractNumId w:val="18"/>
  </w:num>
  <w:num w:numId="19" w16cid:durableId="1076589734">
    <w:abstractNumId w:val="13"/>
  </w:num>
  <w:num w:numId="20" w16cid:durableId="1526404433">
    <w:abstractNumId w:val="3"/>
  </w:num>
  <w:num w:numId="21" w16cid:durableId="685405303">
    <w:abstractNumId w:val="23"/>
  </w:num>
  <w:num w:numId="22" w16cid:durableId="508373344">
    <w:abstractNumId w:val="1"/>
  </w:num>
  <w:num w:numId="23" w16cid:durableId="633175444">
    <w:abstractNumId w:val="7"/>
  </w:num>
  <w:num w:numId="24" w16cid:durableId="1014914272">
    <w:abstractNumId w:val="8"/>
  </w:num>
  <w:num w:numId="25" w16cid:durableId="1878397661">
    <w:abstractNumId w:val="31"/>
  </w:num>
  <w:num w:numId="26" w16cid:durableId="1237856527">
    <w:abstractNumId w:val="15"/>
  </w:num>
  <w:num w:numId="27" w16cid:durableId="48578706">
    <w:abstractNumId w:val="12"/>
  </w:num>
  <w:num w:numId="28" w16cid:durableId="1537739615">
    <w:abstractNumId w:val="9"/>
  </w:num>
  <w:num w:numId="29" w16cid:durableId="1701276000">
    <w:abstractNumId w:val="28"/>
  </w:num>
  <w:num w:numId="30" w16cid:durableId="165488361">
    <w:abstractNumId w:val="20"/>
  </w:num>
  <w:num w:numId="31" w16cid:durableId="621614937">
    <w:abstractNumId w:val="4"/>
  </w:num>
  <w:num w:numId="32" w16cid:durableId="598485336">
    <w:abstractNumId w:val="30"/>
  </w:num>
  <w:num w:numId="33" w16cid:durableId="367604768">
    <w:abstractNumId w:val="29"/>
  </w:num>
  <w:num w:numId="34" w16cid:durableId="18615799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642"/>
    <w:rsid w:val="00000368"/>
    <w:rsid w:val="00216276"/>
    <w:rsid w:val="00236645"/>
    <w:rsid w:val="002F7510"/>
    <w:rsid w:val="0036748D"/>
    <w:rsid w:val="00397AB6"/>
    <w:rsid w:val="003C7770"/>
    <w:rsid w:val="00432489"/>
    <w:rsid w:val="004944FD"/>
    <w:rsid w:val="005C1BCB"/>
    <w:rsid w:val="0068721B"/>
    <w:rsid w:val="00776E1B"/>
    <w:rsid w:val="0092364F"/>
    <w:rsid w:val="00942E97"/>
    <w:rsid w:val="009B4602"/>
    <w:rsid w:val="009B7642"/>
    <w:rsid w:val="00A414BF"/>
    <w:rsid w:val="00AD4082"/>
    <w:rsid w:val="00B86F02"/>
    <w:rsid w:val="00BA409A"/>
    <w:rsid w:val="00BB3975"/>
    <w:rsid w:val="00C568A9"/>
    <w:rsid w:val="00CD7D4F"/>
    <w:rsid w:val="00CE1449"/>
    <w:rsid w:val="00D10F24"/>
    <w:rsid w:val="00E24B56"/>
    <w:rsid w:val="00F77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816E"/>
  <w15:docId w15:val="{F02AD9F1-6075-4FC3-860B-5874063D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76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414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4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B7642"/>
  </w:style>
  <w:style w:type="character" w:customStyle="1" w:styleId="court-name">
    <w:name w:val="court-name"/>
    <w:basedOn w:val="DefaultParagraphFont"/>
    <w:rsid w:val="009B7642"/>
  </w:style>
  <w:style w:type="character" w:customStyle="1" w:styleId="docket-number">
    <w:name w:val="docket-number"/>
    <w:basedOn w:val="DefaultParagraphFont"/>
    <w:rsid w:val="009B7642"/>
  </w:style>
  <w:style w:type="character" w:customStyle="1" w:styleId="case-name-v">
    <w:name w:val="case-name-v"/>
    <w:basedOn w:val="DefaultParagraphFont"/>
    <w:rsid w:val="009B7642"/>
  </w:style>
  <w:style w:type="paragraph" w:customStyle="1" w:styleId="attorneys">
    <w:name w:val="attorneys"/>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B7642"/>
    <w:rPr>
      <w:i/>
      <w:iCs/>
    </w:rPr>
  </w:style>
  <w:style w:type="paragraph" w:styleId="NormalWeb">
    <w:name w:val="Normal (Web)"/>
    <w:basedOn w:val="Normal"/>
    <w:uiPriority w:val="99"/>
    <w:semiHidden/>
    <w:unhideWhenUsed/>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B7642"/>
    <w:rPr>
      <w:color w:val="0000FF"/>
      <w:u w:val="single"/>
    </w:rPr>
  </w:style>
  <w:style w:type="paragraph" w:customStyle="1" w:styleId="author">
    <w:name w:val="author"/>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A414B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A414BF"/>
    <w:rPr>
      <w:color w:val="800080"/>
      <w:u w:val="single"/>
    </w:rPr>
  </w:style>
  <w:style w:type="paragraph" w:customStyle="1" w:styleId="otherdate">
    <w:name w:val="otherdate"/>
    <w:basedOn w:val="Normal"/>
    <w:rsid w:val="00A414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C568A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18930">
      <w:bodyDiv w:val="1"/>
      <w:marLeft w:val="0"/>
      <w:marRight w:val="0"/>
      <w:marTop w:val="0"/>
      <w:marBottom w:val="0"/>
      <w:divBdr>
        <w:top w:val="none" w:sz="0" w:space="0" w:color="auto"/>
        <w:left w:val="none" w:sz="0" w:space="0" w:color="auto"/>
        <w:bottom w:val="none" w:sz="0" w:space="0" w:color="auto"/>
        <w:right w:val="none" w:sz="0" w:space="0" w:color="auto"/>
      </w:divBdr>
      <w:divsChild>
        <w:div w:id="2043239908">
          <w:marLeft w:val="0"/>
          <w:marRight w:val="0"/>
          <w:marTop w:val="0"/>
          <w:marBottom w:val="0"/>
          <w:divBdr>
            <w:top w:val="none" w:sz="0" w:space="0" w:color="auto"/>
            <w:left w:val="none" w:sz="0" w:space="0" w:color="auto"/>
            <w:bottom w:val="none" w:sz="0" w:space="0" w:color="auto"/>
            <w:right w:val="none" w:sz="0" w:space="0" w:color="auto"/>
          </w:divBdr>
          <w:divsChild>
            <w:div w:id="1198854478">
              <w:marLeft w:val="0"/>
              <w:marRight w:val="0"/>
              <w:marTop w:val="0"/>
              <w:marBottom w:val="0"/>
              <w:divBdr>
                <w:top w:val="none" w:sz="0" w:space="0" w:color="auto"/>
                <w:left w:val="none" w:sz="0" w:space="0" w:color="auto"/>
                <w:bottom w:val="none" w:sz="0" w:space="0" w:color="auto"/>
                <w:right w:val="none" w:sz="0" w:space="0" w:color="auto"/>
              </w:divBdr>
              <w:divsChild>
                <w:div w:id="1755854348">
                  <w:marLeft w:val="0"/>
                  <w:marRight w:val="0"/>
                  <w:marTop w:val="0"/>
                  <w:marBottom w:val="0"/>
                  <w:divBdr>
                    <w:top w:val="none" w:sz="0" w:space="0" w:color="auto"/>
                    <w:left w:val="none" w:sz="0" w:space="0" w:color="auto"/>
                    <w:bottom w:val="none" w:sz="0" w:space="0" w:color="auto"/>
                    <w:right w:val="none" w:sz="0" w:space="0" w:color="auto"/>
                  </w:divBdr>
                </w:div>
                <w:div w:id="20620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5355">
          <w:marLeft w:val="0"/>
          <w:marRight w:val="0"/>
          <w:marTop w:val="0"/>
          <w:marBottom w:val="0"/>
          <w:divBdr>
            <w:top w:val="none" w:sz="0" w:space="0" w:color="auto"/>
            <w:left w:val="none" w:sz="0" w:space="0" w:color="auto"/>
            <w:bottom w:val="none" w:sz="0" w:space="0" w:color="auto"/>
            <w:right w:val="none" w:sz="0" w:space="0" w:color="auto"/>
          </w:divBdr>
          <w:divsChild>
            <w:div w:id="459690584">
              <w:marLeft w:val="0"/>
              <w:marRight w:val="0"/>
              <w:marTop w:val="0"/>
              <w:marBottom w:val="0"/>
              <w:divBdr>
                <w:top w:val="none" w:sz="0" w:space="0" w:color="auto"/>
                <w:left w:val="none" w:sz="0" w:space="0" w:color="auto"/>
                <w:bottom w:val="none" w:sz="0" w:space="0" w:color="auto"/>
                <w:right w:val="none" w:sz="0" w:space="0" w:color="auto"/>
              </w:divBdr>
              <w:divsChild>
                <w:div w:id="299113294">
                  <w:marLeft w:val="0"/>
                  <w:marRight w:val="0"/>
                  <w:marTop w:val="0"/>
                  <w:marBottom w:val="0"/>
                  <w:divBdr>
                    <w:top w:val="none" w:sz="0" w:space="0" w:color="auto"/>
                    <w:left w:val="none" w:sz="0" w:space="0" w:color="auto"/>
                    <w:bottom w:val="none" w:sz="0" w:space="0" w:color="auto"/>
                    <w:right w:val="none" w:sz="0" w:space="0" w:color="auto"/>
                  </w:divBdr>
                  <w:divsChild>
                    <w:div w:id="311492719">
                      <w:marLeft w:val="0"/>
                      <w:marRight w:val="0"/>
                      <w:marTop w:val="0"/>
                      <w:marBottom w:val="0"/>
                      <w:divBdr>
                        <w:top w:val="none" w:sz="0" w:space="0" w:color="auto"/>
                        <w:left w:val="none" w:sz="0" w:space="0" w:color="auto"/>
                        <w:bottom w:val="none" w:sz="0" w:space="0" w:color="auto"/>
                        <w:right w:val="none" w:sz="0" w:space="0" w:color="auto"/>
                      </w:divBdr>
                      <w:divsChild>
                        <w:div w:id="483081778">
                          <w:marLeft w:val="0"/>
                          <w:marRight w:val="0"/>
                          <w:marTop w:val="0"/>
                          <w:marBottom w:val="0"/>
                          <w:divBdr>
                            <w:top w:val="none" w:sz="0" w:space="0" w:color="auto"/>
                            <w:left w:val="none" w:sz="0" w:space="0" w:color="auto"/>
                            <w:bottom w:val="none" w:sz="0" w:space="0" w:color="auto"/>
                            <w:right w:val="none" w:sz="0" w:space="0" w:color="auto"/>
                          </w:divBdr>
                        </w:div>
                      </w:divsChild>
                    </w:div>
                    <w:div w:id="1963606990">
                      <w:marLeft w:val="0"/>
                      <w:marRight w:val="0"/>
                      <w:marTop w:val="0"/>
                      <w:marBottom w:val="0"/>
                      <w:divBdr>
                        <w:top w:val="none" w:sz="0" w:space="0" w:color="auto"/>
                        <w:left w:val="none" w:sz="0" w:space="0" w:color="auto"/>
                        <w:bottom w:val="none" w:sz="0" w:space="0" w:color="auto"/>
                        <w:right w:val="none" w:sz="0" w:space="0" w:color="auto"/>
                      </w:divBdr>
                      <w:divsChild>
                        <w:div w:id="373891988">
                          <w:marLeft w:val="0"/>
                          <w:marRight w:val="0"/>
                          <w:marTop w:val="0"/>
                          <w:marBottom w:val="0"/>
                          <w:divBdr>
                            <w:top w:val="none" w:sz="0" w:space="0" w:color="auto"/>
                            <w:left w:val="none" w:sz="0" w:space="0" w:color="auto"/>
                            <w:bottom w:val="none" w:sz="0" w:space="0" w:color="auto"/>
                            <w:right w:val="none" w:sz="0" w:space="0" w:color="auto"/>
                          </w:divBdr>
                        </w:div>
                      </w:divsChild>
                    </w:div>
                    <w:div w:id="315840676">
                      <w:marLeft w:val="0"/>
                      <w:marRight w:val="0"/>
                      <w:marTop w:val="0"/>
                      <w:marBottom w:val="0"/>
                      <w:divBdr>
                        <w:top w:val="none" w:sz="0" w:space="0" w:color="auto"/>
                        <w:left w:val="none" w:sz="0" w:space="0" w:color="auto"/>
                        <w:bottom w:val="none" w:sz="0" w:space="0" w:color="auto"/>
                        <w:right w:val="none" w:sz="0" w:space="0" w:color="auto"/>
                      </w:divBdr>
                      <w:divsChild>
                        <w:div w:id="1085999102">
                          <w:marLeft w:val="0"/>
                          <w:marRight w:val="0"/>
                          <w:marTop w:val="0"/>
                          <w:marBottom w:val="0"/>
                          <w:divBdr>
                            <w:top w:val="none" w:sz="0" w:space="0" w:color="auto"/>
                            <w:left w:val="none" w:sz="0" w:space="0" w:color="auto"/>
                            <w:bottom w:val="none" w:sz="0" w:space="0" w:color="auto"/>
                            <w:right w:val="none" w:sz="0" w:space="0" w:color="auto"/>
                          </w:divBdr>
                        </w:div>
                      </w:divsChild>
                    </w:div>
                    <w:div w:id="240679178">
                      <w:marLeft w:val="0"/>
                      <w:marRight w:val="0"/>
                      <w:marTop w:val="0"/>
                      <w:marBottom w:val="0"/>
                      <w:divBdr>
                        <w:top w:val="none" w:sz="0" w:space="0" w:color="auto"/>
                        <w:left w:val="none" w:sz="0" w:space="0" w:color="auto"/>
                        <w:bottom w:val="none" w:sz="0" w:space="0" w:color="auto"/>
                        <w:right w:val="none" w:sz="0" w:space="0" w:color="auto"/>
                      </w:divBdr>
                      <w:divsChild>
                        <w:div w:id="16713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10994">
          <w:marLeft w:val="0"/>
          <w:marRight w:val="0"/>
          <w:marTop w:val="0"/>
          <w:marBottom w:val="0"/>
          <w:divBdr>
            <w:top w:val="none" w:sz="0" w:space="0" w:color="auto"/>
            <w:left w:val="none" w:sz="0" w:space="0" w:color="auto"/>
            <w:bottom w:val="none" w:sz="0" w:space="0" w:color="auto"/>
            <w:right w:val="none" w:sz="0" w:space="0" w:color="auto"/>
          </w:divBdr>
          <w:divsChild>
            <w:div w:id="1863975848">
              <w:marLeft w:val="0"/>
              <w:marRight w:val="0"/>
              <w:marTop w:val="0"/>
              <w:marBottom w:val="0"/>
              <w:divBdr>
                <w:top w:val="none" w:sz="0" w:space="0" w:color="auto"/>
                <w:left w:val="none" w:sz="0" w:space="0" w:color="auto"/>
                <w:bottom w:val="none" w:sz="0" w:space="0" w:color="auto"/>
                <w:right w:val="none" w:sz="0" w:space="0" w:color="auto"/>
              </w:divBdr>
              <w:divsChild>
                <w:div w:id="1347707735">
                  <w:marLeft w:val="0"/>
                  <w:marRight w:val="0"/>
                  <w:marTop w:val="0"/>
                  <w:marBottom w:val="0"/>
                  <w:divBdr>
                    <w:top w:val="none" w:sz="0" w:space="0" w:color="auto"/>
                    <w:left w:val="none" w:sz="0" w:space="0" w:color="auto"/>
                    <w:bottom w:val="none" w:sz="0" w:space="0" w:color="auto"/>
                    <w:right w:val="none" w:sz="0" w:space="0" w:color="auto"/>
                  </w:divBdr>
                  <w:divsChild>
                    <w:div w:id="256060761">
                      <w:marLeft w:val="1169"/>
                      <w:marRight w:val="0"/>
                      <w:marTop w:val="0"/>
                      <w:marBottom w:val="0"/>
                      <w:divBdr>
                        <w:top w:val="none" w:sz="0" w:space="0" w:color="auto"/>
                        <w:left w:val="none" w:sz="0" w:space="0" w:color="auto"/>
                        <w:bottom w:val="none" w:sz="0" w:space="0" w:color="auto"/>
                        <w:right w:val="none" w:sz="0" w:space="0" w:color="auto"/>
                      </w:divBdr>
                    </w:div>
                  </w:divsChild>
                </w:div>
                <w:div w:id="627124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02203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398218">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156">
                  <w:blockQuote w:val="1"/>
                  <w:marLeft w:val="720"/>
                  <w:marRight w:val="720"/>
                  <w:marTop w:val="100"/>
                  <w:marBottom w:val="100"/>
                  <w:divBdr>
                    <w:top w:val="none" w:sz="0" w:space="0" w:color="auto"/>
                    <w:left w:val="none" w:sz="0" w:space="0" w:color="auto"/>
                    <w:bottom w:val="none" w:sz="0" w:space="0" w:color="auto"/>
                    <w:right w:val="none" w:sz="0" w:space="0" w:color="auto"/>
                  </w:divBdr>
                </w:div>
                <w:div w:id="681588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2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97214565">
                  <w:blockQuote w:val="1"/>
                  <w:marLeft w:val="720"/>
                  <w:marRight w:val="720"/>
                  <w:marTop w:val="100"/>
                  <w:marBottom w:val="100"/>
                  <w:divBdr>
                    <w:top w:val="none" w:sz="0" w:space="0" w:color="auto"/>
                    <w:left w:val="none" w:sz="0" w:space="0" w:color="auto"/>
                    <w:bottom w:val="none" w:sz="0" w:space="0" w:color="auto"/>
                    <w:right w:val="none" w:sz="0" w:space="0" w:color="auto"/>
                  </w:divBdr>
                </w:div>
                <w:div w:id="531579442">
                  <w:blockQuote w:val="1"/>
                  <w:marLeft w:val="720"/>
                  <w:marRight w:val="720"/>
                  <w:marTop w:val="100"/>
                  <w:marBottom w:val="100"/>
                  <w:divBdr>
                    <w:top w:val="none" w:sz="0" w:space="0" w:color="auto"/>
                    <w:left w:val="none" w:sz="0" w:space="0" w:color="auto"/>
                    <w:bottom w:val="none" w:sz="0" w:space="0" w:color="auto"/>
                    <w:right w:val="none" w:sz="0" w:space="0" w:color="auto"/>
                  </w:divBdr>
                </w:div>
                <w:div w:id="324212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693092">
      <w:bodyDiv w:val="1"/>
      <w:marLeft w:val="0"/>
      <w:marRight w:val="0"/>
      <w:marTop w:val="0"/>
      <w:marBottom w:val="0"/>
      <w:divBdr>
        <w:top w:val="none" w:sz="0" w:space="0" w:color="auto"/>
        <w:left w:val="none" w:sz="0" w:space="0" w:color="auto"/>
        <w:bottom w:val="none" w:sz="0" w:space="0" w:color="auto"/>
        <w:right w:val="none" w:sz="0" w:space="0" w:color="auto"/>
      </w:divBdr>
      <w:divsChild>
        <w:div w:id="39135011">
          <w:marLeft w:val="0"/>
          <w:marRight w:val="0"/>
          <w:marTop w:val="0"/>
          <w:marBottom w:val="0"/>
          <w:divBdr>
            <w:top w:val="none" w:sz="0" w:space="0" w:color="auto"/>
            <w:left w:val="none" w:sz="0" w:space="0" w:color="auto"/>
            <w:bottom w:val="none" w:sz="0" w:space="0" w:color="auto"/>
            <w:right w:val="none" w:sz="0" w:space="0" w:color="auto"/>
          </w:divBdr>
          <w:divsChild>
            <w:div w:id="1293747821">
              <w:marLeft w:val="0"/>
              <w:marRight w:val="0"/>
              <w:marTop w:val="0"/>
              <w:marBottom w:val="0"/>
              <w:divBdr>
                <w:top w:val="none" w:sz="0" w:space="0" w:color="auto"/>
                <w:left w:val="none" w:sz="0" w:space="0" w:color="auto"/>
                <w:bottom w:val="none" w:sz="0" w:space="0" w:color="auto"/>
                <w:right w:val="none" w:sz="0" w:space="0" w:color="auto"/>
              </w:divBdr>
              <w:divsChild>
                <w:div w:id="2060586143">
                  <w:marLeft w:val="0"/>
                  <w:marRight w:val="0"/>
                  <w:marTop w:val="0"/>
                  <w:marBottom w:val="0"/>
                  <w:divBdr>
                    <w:top w:val="none" w:sz="0" w:space="0" w:color="auto"/>
                    <w:left w:val="none" w:sz="0" w:space="0" w:color="auto"/>
                    <w:bottom w:val="none" w:sz="0" w:space="0" w:color="auto"/>
                    <w:right w:val="none" w:sz="0" w:space="0" w:color="auto"/>
                  </w:divBdr>
                </w:div>
                <w:div w:id="6800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5797">
          <w:marLeft w:val="0"/>
          <w:marRight w:val="0"/>
          <w:marTop w:val="0"/>
          <w:marBottom w:val="0"/>
          <w:divBdr>
            <w:top w:val="none" w:sz="0" w:space="0" w:color="auto"/>
            <w:left w:val="none" w:sz="0" w:space="0" w:color="auto"/>
            <w:bottom w:val="none" w:sz="0" w:space="0" w:color="auto"/>
            <w:right w:val="none" w:sz="0" w:space="0" w:color="auto"/>
          </w:divBdr>
          <w:divsChild>
            <w:div w:id="927884574">
              <w:marLeft w:val="0"/>
              <w:marRight w:val="0"/>
              <w:marTop w:val="0"/>
              <w:marBottom w:val="0"/>
              <w:divBdr>
                <w:top w:val="none" w:sz="0" w:space="0" w:color="auto"/>
                <w:left w:val="none" w:sz="0" w:space="0" w:color="auto"/>
                <w:bottom w:val="none" w:sz="0" w:space="0" w:color="auto"/>
                <w:right w:val="none" w:sz="0" w:space="0" w:color="auto"/>
              </w:divBdr>
              <w:divsChild>
                <w:div w:id="316300996">
                  <w:marLeft w:val="0"/>
                  <w:marRight w:val="0"/>
                  <w:marTop w:val="0"/>
                  <w:marBottom w:val="0"/>
                  <w:divBdr>
                    <w:top w:val="none" w:sz="0" w:space="0" w:color="auto"/>
                    <w:left w:val="none" w:sz="0" w:space="0" w:color="auto"/>
                    <w:bottom w:val="none" w:sz="0" w:space="0" w:color="auto"/>
                    <w:right w:val="none" w:sz="0" w:space="0" w:color="auto"/>
                  </w:divBdr>
                  <w:divsChild>
                    <w:div w:id="1929970329">
                      <w:marLeft w:val="0"/>
                      <w:marRight w:val="0"/>
                      <w:marTop w:val="0"/>
                      <w:marBottom w:val="0"/>
                      <w:divBdr>
                        <w:top w:val="none" w:sz="0" w:space="0" w:color="auto"/>
                        <w:left w:val="none" w:sz="0" w:space="0" w:color="auto"/>
                        <w:bottom w:val="none" w:sz="0" w:space="0" w:color="auto"/>
                        <w:right w:val="none" w:sz="0" w:space="0" w:color="auto"/>
                      </w:divBdr>
                      <w:divsChild>
                        <w:div w:id="71317417">
                          <w:marLeft w:val="0"/>
                          <w:marRight w:val="0"/>
                          <w:marTop w:val="0"/>
                          <w:marBottom w:val="0"/>
                          <w:divBdr>
                            <w:top w:val="none" w:sz="0" w:space="0" w:color="auto"/>
                            <w:left w:val="none" w:sz="0" w:space="0" w:color="auto"/>
                            <w:bottom w:val="none" w:sz="0" w:space="0" w:color="auto"/>
                            <w:right w:val="none" w:sz="0" w:space="0" w:color="auto"/>
                          </w:divBdr>
                        </w:div>
                      </w:divsChild>
                    </w:div>
                    <w:div w:id="833033782">
                      <w:marLeft w:val="0"/>
                      <w:marRight w:val="0"/>
                      <w:marTop w:val="0"/>
                      <w:marBottom w:val="0"/>
                      <w:divBdr>
                        <w:top w:val="none" w:sz="0" w:space="0" w:color="auto"/>
                        <w:left w:val="none" w:sz="0" w:space="0" w:color="auto"/>
                        <w:bottom w:val="none" w:sz="0" w:space="0" w:color="auto"/>
                        <w:right w:val="none" w:sz="0" w:space="0" w:color="auto"/>
                      </w:divBdr>
                      <w:divsChild>
                        <w:div w:id="2047758503">
                          <w:marLeft w:val="0"/>
                          <w:marRight w:val="0"/>
                          <w:marTop w:val="0"/>
                          <w:marBottom w:val="0"/>
                          <w:divBdr>
                            <w:top w:val="none" w:sz="0" w:space="0" w:color="auto"/>
                            <w:left w:val="none" w:sz="0" w:space="0" w:color="auto"/>
                            <w:bottom w:val="none" w:sz="0" w:space="0" w:color="auto"/>
                            <w:right w:val="none" w:sz="0" w:space="0" w:color="auto"/>
                          </w:divBdr>
                        </w:div>
                      </w:divsChild>
                    </w:div>
                    <w:div w:id="1674409612">
                      <w:marLeft w:val="0"/>
                      <w:marRight w:val="0"/>
                      <w:marTop w:val="0"/>
                      <w:marBottom w:val="0"/>
                      <w:divBdr>
                        <w:top w:val="none" w:sz="0" w:space="0" w:color="auto"/>
                        <w:left w:val="none" w:sz="0" w:space="0" w:color="auto"/>
                        <w:bottom w:val="none" w:sz="0" w:space="0" w:color="auto"/>
                        <w:right w:val="none" w:sz="0" w:space="0" w:color="auto"/>
                      </w:divBdr>
                      <w:divsChild>
                        <w:div w:id="2875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436508">
          <w:marLeft w:val="0"/>
          <w:marRight w:val="0"/>
          <w:marTop w:val="0"/>
          <w:marBottom w:val="0"/>
          <w:divBdr>
            <w:top w:val="none" w:sz="0" w:space="0" w:color="auto"/>
            <w:left w:val="none" w:sz="0" w:space="0" w:color="auto"/>
            <w:bottom w:val="none" w:sz="0" w:space="0" w:color="auto"/>
            <w:right w:val="none" w:sz="0" w:space="0" w:color="auto"/>
          </w:divBdr>
          <w:divsChild>
            <w:div w:id="1546941073">
              <w:marLeft w:val="0"/>
              <w:marRight w:val="0"/>
              <w:marTop w:val="0"/>
              <w:marBottom w:val="0"/>
              <w:divBdr>
                <w:top w:val="none" w:sz="0" w:space="0" w:color="auto"/>
                <w:left w:val="none" w:sz="0" w:space="0" w:color="auto"/>
                <w:bottom w:val="none" w:sz="0" w:space="0" w:color="auto"/>
                <w:right w:val="none" w:sz="0" w:space="0" w:color="auto"/>
              </w:divBdr>
              <w:divsChild>
                <w:div w:id="1176576532">
                  <w:marLeft w:val="0"/>
                  <w:marRight w:val="0"/>
                  <w:marTop w:val="0"/>
                  <w:marBottom w:val="0"/>
                  <w:divBdr>
                    <w:top w:val="none" w:sz="0" w:space="0" w:color="auto"/>
                    <w:left w:val="none" w:sz="0" w:space="0" w:color="auto"/>
                    <w:bottom w:val="none" w:sz="0" w:space="0" w:color="auto"/>
                    <w:right w:val="none" w:sz="0" w:space="0" w:color="auto"/>
                  </w:divBdr>
                  <w:divsChild>
                    <w:div w:id="566309269">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3807">
      <w:bodyDiv w:val="1"/>
      <w:marLeft w:val="0"/>
      <w:marRight w:val="0"/>
      <w:marTop w:val="0"/>
      <w:marBottom w:val="0"/>
      <w:divBdr>
        <w:top w:val="none" w:sz="0" w:space="0" w:color="auto"/>
        <w:left w:val="none" w:sz="0" w:space="0" w:color="auto"/>
        <w:bottom w:val="none" w:sz="0" w:space="0" w:color="auto"/>
        <w:right w:val="none" w:sz="0" w:space="0" w:color="auto"/>
      </w:divBdr>
      <w:divsChild>
        <w:div w:id="1047878909">
          <w:marLeft w:val="0"/>
          <w:marRight w:val="0"/>
          <w:marTop w:val="0"/>
          <w:marBottom w:val="0"/>
          <w:divBdr>
            <w:top w:val="none" w:sz="0" w:space="0" w:color="auto"/>
            <w:left w:val="none" w:sz="0" w:space="0" w:color="auto"/>
            <w:bottom w:val="none" w:sz="0" w:space="0" w:color="auto"/>
            <w:right w:val="none" w:sz="0" w:space="0" w:color="auto"/>
          </w:divBdr>
          <w:divsChild>
            <w:div w:id="106782451">
              <w:marLeft w:val="0"/>
              <w:marRight w:val="0"/>
              <w:marTop w:val="0"/>
              <w:marBottom w:val="0"/>
              <w:divBdr>
                <w:top w:val="none" w:sz="0" w:space="0" w:color="auto"/>
                <w:left w:val="none" w:sz="0" w:space="0" w:color="auto"/>
                <w:bottom w:val="none" w:sz="0" w:space="0" w:color="auto"/>
                <w:right w:val="none" w:sz="0" w:space="0" w:color="auto"/>
              </w:divBdr>
              <w:divsChild>
                <w:div w:id="202333764">
                  <w:marLeft w:val="0"/>
                  <w:marRight w:val="0"/>
                  <w:marTop w:val="0"/>
                  <w:marBottom w:val="0"/>
                  <w:divBdr>
                    <w:top w:val="none" w:sz="0" w:space="0" w:color="auto"/>
                    <w:left w:val="none" w:sz="0" w:space="0" w:color="auto"/>
                    <w:bottom w:val="none" w:sz="0" w:space="0" w:color="auto"/>
                    <w:right w:val="none" w:sz="0" w:space="0" w:color="auto"/>
                  </w:divBdr>
                </w:div>
                <w:div w:id="19689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688">
          <w:marLeft w:val="0"/>
          <w:marRight w:val="0"/>
          <w:marTop w:val="0"/>
          <w:marBottom w:val="0"/>
          <w:divBdr>
            <w:top w:val="none" w:sz="0" w:space="0" w:color="auto"/>
            <w:left w:val="none" w:sz="0" w:space="0" w:color="auto"/>
            <w:bottom w:val="none" w:sz="0" w:space="0" w:color="auto"/>
            <w:right w:val="none" w:sz="0" w:space="0" w:color="auto"/>
          </w:divBdr>
          <w:divsChild>
            <w:div w:id="873229389">
              <w:marLeft w:val="0"/>
              <w:marRight w:val="0"/>
              <w:marTop w:val="0"/>
              <w:marBottom w:val="0"/>
              <w:divBdr>
                <w:top w:val="none" w:sz="0" w:space="0" w:color="auto"/>
                <w:left w:val="none" w:sz="0" w:space="0" w:color="auto"/>
                <w:bottom w:val="none" w:sz="0" w:space="0" w:color="auto"/>
                <w:right w:val="none" w:sz="0" w:space="0" w:color="auto"/>
              </w:divBdr>
              <w:divsChild>
                <w:div w:id="166100799">
                  <w:marLeft w:val="0"/>
                  <w:marRight w:val="0"/>
                  <w:marTop w:val="0"/>
                  <w:marBottom w:val="0"/>
                  <w:divBdr>
                    <w:top w:val="none" w:sz="0" w:space="0" w:color="auto"/>
                    <w:left w:val="none" w:sz="0" w:space="0" w:color="auto"/>
                    <w:bottom w:val="none" w:sz="0" w:space="0" w:color="auto"/>
                    <w:right w:val="none" w:sz="0" w:space="0" w:color="auto"/>
                  </w:divBdr>
                  <w:divsChild>
                    <w:div w:id="1306857385">
                      <w:marLeft w:val="0"/>
                      <w:marRight w:val="0"/>
                      <w:marTop w:val="0"/>
                      <w:marBottom w:val="0"/>
                      <w:divBdr>
                        <w:top w:val="none" w:sz="0" w:space="0" w:color="auto"/>
                        <w:left w:val="none" w:sz="0" w:space="0" w:color="auto"/>
                        <w:bottom w:val="none" w:sz="0" w:space="0" w:color="auto"/>
                        <w:right w:val="none" w:sz="0" w:space="0" w:color="auto"/>
                      </w:divBdr>
                      <w:divsChild>
                        <w:div w:id="11802334">
                          <w:marLeft w:val="0"/>
                          <w:marRight w:val="0"/>
                          <w:marTop w:val="0"/>
                          <w:marBottom w:val="0"/>
                          <w:divBdr>
                            <w:top w:val="none" w:sz="0" w:space="0" w:color="auto"/>
                            <w:left w:val="none" w:sz="0" w:space="0" w:color="auto"/>
                            <w:bottom w:val="none" w:sz="0" w:space="0" w:color="auto"/>
                            <w:right w:val="none" w:sz="0" w:space="0" w:color="auto"/>
                          </w:divBdr>
                        </w:div>
                      </w:divsChild>
                    </w:div>
                    <w:div w:id="1425610046">
                      <w:marLeft w:val="0"/>
                      <w:marRight w:val="0"/>
                      <w:marTop w:val="0"/>
                      <w:marBottom w:val="0"/>
                      <w:divBdr>
                        <w:top w:val="none" w:sz="0" w:space="0" w:color="auto"/>
                        <w:left w:val="none" w:sz="0" w:space="0" w:color="auto"/>
                        <w:bottom w:val="none" w:sz="0" w:space="0" w:color="auto"/>
                        <w:right w:val="none" w:sz="0" w:space="0" w:color="auto"/>
                      </w:divBdr>
                      <w:divsChild>
                        <w:div w:id="975649088">
                          <w:marLeft w:val="0"/>
                          <w:marRight w:val="0"/>
                          <w:marTop w:val="0"/>
                          <w:marBottom w:val="0"/>
                          <w:divBdr>
                            <w:top w:val="none" w:sz="0" w:space="0" w:color="auto"/>
                            <w:left w:val="none" w:sz="0" w:space="0" w:color="auto"/>
                            <w:bottom w:val="none" w:sz="0" w:space="0" w:color="auto"/>
                            <w:right w:val="none" w:sz="0" w:space="0" w:color="auto"/>
                          </w:divBdr>
                        </w:div>
                      </w:divsChild>
                    </w:div>
                    <w:div w:id="1740783353">
                      <w:marLeft w:val="0"/>
                      <w:marRight w:val="0"/>
                      <w:marTop w:val="0"/>
                      <w:marBottom w:val="0"/>
                      <w:divBdr>
                        <w:top w:val="none" w:sz="0" w:space="0" w:color="auto"/>
                        <w:left w:val="none" w:sz="0" w:space="0" w:color="auto"/>
                        <w:bottom w:val="none" w:sz="0" w:space="0" w:color="auto"/>
                        <w:right w:val="none" w:sz="0" w:space="0" w:color="auto"/>
                      </w:divBdr>
                      <w:divsChild>
                        <w:div w:id="2039043227">
                          <w:marLeft w:val="0"/>
                          <w:marRight w:val="0"/>
                          <w:marTop w:val="0"/>
                          <w:marBottom w:val="0"/>
                          <w:divBdr>
                            <w:top w:val="none" w:sz="0" w:space="0" w:color="auto"/>
                            <w:left w:val="none" w:sz="0" w:space="0" w:color="auto"/>
                            <w:bottom w:val="none" w:sz="0" w:space="0" w:color="auto"/>
                            <w:right w:val="none" w:sz="0" w:space="0" w:color="auto"/>
                          </w:divBdr>
                        </w:div>
                      </w:divsChild>
                    </w:div>
                    <w:div w:id="607930133">
                      <w:marLeft w:val="0"/>
                      <w:marRight w:val="0"/>
                      <w:marTop w:val="0"/>
                      <w:marBottom w:val="0"/>
                      <w:divBdr>
                        <w:top w:val="none" w:sz="0" w:space="0" w:color="auto"/>
                        <w:left w:val="none" w:sz="0" w:space="0" w:color="auto"/>
                        <w:bottom w:val="none" w:sz="0" w:space="0" w:color="auto"/>
                        <w:right w:val="none" w:sz="0" w:space="0" w:color="auto"/>
                      </w:divBdr>
                      <w:divsChild>
                        <w:div w:id="18016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327">
          <w:marLeft w:val="0"/>
          <w:marRight w:val="0"/>
          <w:marTop w:val="0"/>
          <w:marBottom w:val="0"/>
          <w:divBdr>
            <w:top w:val="none" w:sz="0" w:space="0" w:color="auto"/>
            <w:left w:val="none" w:sz="0" w:space="0" w:color="auto"/>
            <w:bottom w:val="none" w:sz="0" w:space="0" w:color="auto"/>
            <w:right w:val="none" w:sz="0" w:space="0" w:color="auto"/>
          </w:divBdr>
          <w:divsChild>
            <w:div w:id="558515617">
              <w:marLeft w:val="0"/>
              <w:marRight w:val="0"/>
              <w:marTop w:val="0"/>
              <w:marBottom w:val="0"/>
              <w:divBdr>
                <w:top w:val="none" w:sz="0" w:space="0" w:color="auto"/>
                <w:left w:val="none" w:sz="0" w:space="0" w:color="auto"/>
                <w:bottom w:val="none" w:sz="0" w:space="0" w:color="auto"/>
                <w:right w:val="none" w:sz="0" w:space="0" w:color="auto"/>
              </w:divBdr>
              <w:divsChild>
                <w:div w:id="1406679701">
                  <w:marLeft w:val="0"/>
                  <w:marRight w:val="0"/>
                  <w:marTop w:val="0"/>
                  <w:marBottom w:val="0"/>
                  <w:divBdr>
                    <w:top w:val="none" w:sz="0" w:space="0" w:color="auto"/>
                    <w:left w:val="none" w:sz="0" w:space="0" w:color="auto"/>
                    <w:bottom w:val="none" w:sz="0" w:space="0" w:color="auto"/>
                    <w:right w:val="none" w:sz="0" w:space="0" w:color="auto"/>
                  </w:divBdr>
                  <w:divsChild>
                    <w:div w:id="1104614997">
                      <w:marLeft w:val="1170"/>
                      <w:marRight w:val="0"/>
                      <w:marTop w:val="0"/>
                      <w:marBottom w:val="0"/>
                      <w:divBdr>
                        <w:top w:val="none" w:sz="0" w:space="0" w:color="auto"/>
                        <w:left w:val="none" w:sz="0" w:space="0" w:color="auto"/>
                        <w:bottom w:val="none" w:sz="0" w:space="0" w:color="auto"/>
                        <w:right w:val="none" w:sz="0" w:space="0" w:color="auto"/>
                      </w:divBdr>
                    </w:div>
                  </w:divsChild>
                </w:div>
                <w:div w:id="25903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3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637574">
                  <w:blockQuote w:val="1"/>
                  <w:marLeft w:val="720"/>
                  <w:marRight w:val="720"/>
                  <w:marTop w:val="100"/>
                  <w:marBottom w:val="100"/>
                  <w:divBdr>
                    <w:top w:val="none" w:sz="0" w:space="0" w:color="auto"/>
                    <w:left w:val="none" w:sz="0" w:space="0" w:color="auto"/>
                    <w:bottom w:val="none" w:sz="0" w:space="0" w:color="auto"/>
                    <w:right w:val="none" w:sz="0" w:space="0" w:color="auto"/>
                  </w:divBdr>
                </w:div>
                <w:div w:id="35280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358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89082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645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41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1189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331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9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72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941572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6493122">
      <w:bodyDiv w:val="1"/>
      <w:marLeft w:val="0"/>
      <w:marRight w:val="0"/>
      <w:marTop w:val="0"/>
      <w:marBottom w:val="0"/>
      <w:divBdr>
        <w:top w:val="none" w:sz="0" w:space="0" w:color="auto"/>
        <w:left w:val="none" w:sz="0" w:space="0" w:color="auto"/>
        <w:bottom w:val="none" w:sz="0" w:space="0" w:color="auto"/>
        <w:right w:val="none" w:sz="0" w:space="0" w:color="auto"/>
      </w:divBdr>
      <w:divsChild>
        <w:div w:id="639192253">
          <w:marLeft w:val="0"/>
          <w:marRight w:val="0"/>
          <w:marTop w:val="0"/>
          <w:marBottom w:val="0"/>
          <w:divBdr>
            <w:top w:val="none" w:sz="0" w:space="0" w:color="auto"/>
            <w:left w:val="none" w:sz="0" w:space="0" w:color="auto"/>
            <w:bottom w:val="none" w:sz="0" w:space="0" w:color="auto"/>
            <w:right w:val="none" w:sz="0" w:space="0" w:color="auto"/>
          </w:divBdr>
          <w:divsChild>
            <w:div w:id="1535847822">
              <w:marLeft w:val="0"/>
              <w:marRight w:val="0"/>
              <w:marTop w:val="0"/>
              <w:marBottom w:val="0"/>
              <w:divBdr>
                <w:top w:val="none" w:sz="0" w:space="0" w:color="auto"/>
                <w:left w:val="none" w:sz="0" w:space="0" w:color="auto"/>
                <w:bottom w:val="none" w:sz="0" w:space="0" w:color="auto"/>
                <w:right w:val="none" w:sz="0" w:space="0" w:color="auto"/>
              </w:divBdr>
              <w:divsChild>
                <w:div w:id="1049301992">
                  <w:marLeft w:val="0"/>
                  <w:marRight w:val="0"/>
                  <w:marTop w:val="0"/>
                  <w:marBottom w:val="0"/>
                  <w:divBdr>
                    <w:top w:val="none" w:sz="0" w:space="0" w:color="auto"/>
                    <w:left w:val="none" w:sz="0" w:space="0" w:color="auto"/>
                    <w:bottom w:val="none" w:sz="0" w:space="0" w:color="auto"/>
                    <w:right w:val="none" w:sz="0" w:space="0" w:color="auto"/>
                  </w:divBdr>
                </w:div>
                <w:div w:id="941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182">
          <w:marLeft w:val="0"/>
          <w:marRight w:val="0"/>
          <w:marTop w:val="0"/>
          <w:marBottom w:val="0"/>
          <w:divBdr>
            <w:top w:val="none" w:sz="0" w:space="0" w:color="auto"/>
            <w:left w:val="none" w:sz="0" w:space="0" w:color="auto"/>
            <w:bottom w:val="none" w:sz="0" w:space="0" w:color="auto"/>
            <w:right w:val="none" w:sz="0" w:space="0" w:color="auto"/>
          </w:divBdr>
          <w:divsChild>
            <w:div w:id="875777059">
              <w:marLeft w:val="0"/>
              <w:marRight w:val="0"/>
              <w:marTop w:val="0"/>
              <w:marBottom w:val="0"/>
              <w:divBdr>
                <w:top w:val="none" w:sz="0" w:space="0" w:color="auto"/>
                <w:left w:val="none" w:sz="0" w:space="0" w:color="auto"/>
                <w:bottom w:val="none" w:sz="0" w:space="0" w:color="auto"/>
                <w:right w:val="none" w:sz="0" w:space="0" w:color="auto"/>
              </w:divBdr>
              <w:divsChild>
                <w:div w:id="109514114">
                  <w:marLeft w:val="0"/>
                  <w:marRight w:val="0"/>
                  <w:marTop w:val="0"/>
                  <w:marBottom w:val="0"/>
                  <w:divBdr>
                    <w:top w:val="none" w:sz="0" w:space="0" w:color="auto"/>
                    <w:left w:val="none" w:sz="0" w:space="0" w:color="auto"/>
                    <w:bottom w:val="none" w:sz="0" w:space="0" w:color="auto"/>
                    <w:right w:val="none" w:sz="0" w:space="0" w:color="auto"/>
                  </w:divBdr>
                  <w:divsChild>
                    <w:div w:id="1850874934">
                      <w:marLeft w:val="0"/>
                      <w:marRight w:val="0"/>
                      <w:marTop w:val="0"/>
                      <w:marBottom w:val="0"/>
                      <w:divBdr>
                        <w:top w:val="none" w:sz="0" w:space="0" w:color="auto"/>
                        <w:left w:val="none" w:sz="0" w:space="0" w:color="auto"/>
                        <w:bottom w:val="none" w:sz="0" w:space="0" w:color="auto"/>
                        <w:right w:val="none" w:sz="0" w:space="0" w:color="auto"/>
                      </w:divBdr>
                      <w:divsChild>
                        <w:div w:id="615403702">
                          <w:marLeft w:val="0"/>
                          <w:marRight w:val="0"/>
                          <w:marTop w:val="0"/>
                          <w:marBottom w:val="0"/>
                          <w:divBdr>
                            <w:top w:val="none" w:sz="0" w:space="0" w:color="auto"/>
                            <w:left w:val="none" w:sz="0" w:space="0" w:color="auto"/>
                            <w:bottom w:val="none" w:sz="0" w:space="0" w:color="auto"/>
                            <w:right w:val="none" w:sz="0" w:space="0" w:color="auto"/>
                          </w:divBdr>
                        </w:div>
                      </w:divsChild>
                    </w:div>
                    <w:div w:id="2078090733">
                      <w:marLeft w:val="0"/>
                      <w:marRight w:val="0"/>
                      <w:marTop w:val="0"/>
                      <w:marBottom w:val="0"/>
                      <w:divBdr>
                        <w:top w:val="none" w:sz="0" w:space="0" w:color="auto"/>
                        <w:left w:val="none" w:sz="0" w:space="0" w:color="auto"/>
                        <w:bottom w:val="none" w:sz="0" w:space="0" w:color="auto"/>
                        <w:right w:val="none" w:sz="0" w:space="0" w:color="auto"/>
                      </w:divBdr>
                      <w:divsChild>
                        <w:div w:id="955255672">
                          <w:marLeft w:val="0"/>
                          <w:marRight w:val="0"/>
                          <w:marTop w:val="0"/>
                          <w:marBottom w:val="0"/>
                          <w:divBdr>
                            <w:top w:val="none" w:sz="0" w:space="0" w:color="auto"/>
                            <w:left w:val="none" w:sz="0" w:space="0" w:color="auto"/>
                            <w:bottom w:val="none" w:sz="0" w:space="0" w:color="auto"/>
                            <w:right w:val="none" w:sz="0" w:space="0" w:color="auto"/>
                          </w:divBdr>
                        </w:div>
                      </w:divsChild>
                    </w:div>
                    <w:div w:id="70976217">
                      <w:marLeft w:val="0"/>
                      <w:marRight w:val="0"/>
                      <w:marTop w:val="0"/>
                      <w:marBottom w:val="0"/>
                      <w:divBdr>
                        <w:top w:val="none" w:sz="0" w:space="0" w:color="auto"/>
                        <w:left w:val="none" w:sz="0" w:space="0" w:color="auto"/>
                        <w:bottom w:val="none" w:sz="0" w:space="0" w:color="auto"/>
                        <w:right w:val="none" w:sz="0" w:space="0" w:color="auto"/>
                      </w:divBdr>
                      <w:divsChild>
                        <w:div w:id="2039310927">
                          <w:marLeft w:val="0"/>
                          <w:marRight w:val="0"/>
                          <w:marTop w:val="0"/>
                          <w:marBottom w:val="0"/>
                          <w:divBdr>
                            <w:top w:val="none" w:sz="0" w:space="0" w:color="auto"/>
                            <w:left w:val="none" w:sz="0" w:space="0" w:color="auto"/>
                            <w:bottom w:val="none" w:sz="0" w:space="0" w:color="auto"/>
                            <w:right w:val="none" w:sz="0" w:space="0" w:color="auto"/>
                          </w:divBdr>
                        </w:div>
                      </w:divsChild>
                    </w:div>
                    <w:div w:id="849872623">
                      <w:marLeft w:val="0"/>
                      <w:marRight w:val="0"/>
                      <w:marTop w:val="0"/>
                      <w:marBottom w:val="0"/>
                      <w:divBdr>
                        <w:top w:val="none" w:sz="0" w:space="0" w:color="auto"/>
                        <w:left w:val="none" w:sz="0" w:space="0" w:color="auto"/>
                        <w:bottom w:val="none" w:sz="0" w:space="0" w:color="auto"/>
                        <w:right w:val="none" w:sz="0" w:space="0" w:color="auto"/>
                      </w:divBdr>
                      <w:divsChild>
                        <w:div w:id="21402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37472">
          <w:marLeft w:val="0"/>
          <w:marRight w:val="0"/>
          <w:marTop w:val="0"/>
          <w:marBottom w:val="0"/>
          <w:divBdr>
            <w:top w:val="none" w:sz="0" w:space="0" w:color="auto"/>
            <w:left w:val="none" w:sz="0" w:space="0" w:color="auto"/>
            <w:bottom w:val="none" w:sz="0" w:space="0" w:color="auto"/>
            <w:right w:val="none" w:sz="0" w:space="0" w:color="auto"/>
          </w:divBdr>
          <w:divsChild>
            <w:div w:id="1976444347">
              <w:marLeft w:val="0"/>
              <w:marRight w:val="0"/>
              <w:marTop w:val="0"/>
              <w:marBottom w:val="0"/>
              <w:divBdr>
                <w:top w:val="none" w:sz="0" w:space="0" w:color="auto"/>
                <w:left w:val="none" w:sz="0" w:space="0" w:color="auto"/>
                <w:bottom w:val="none" w:sz="0" w:space="0" w:color="auto"/>
                <w:right w:val="none" w:sz="0" w:space="0" w:color="auto"/>
              </w:divBdr>
              <w:divsChild>
                <w:div w:id="1891383796">
                  <w:marLeft w:val="0"/>
                  <w:marRight w:val="0"/>
                  <w:marTop w:val="0"/>
                  <w:marBottom w:val="0"/>
                  <w:divBdr>
                    <w:top w:val="none" w:sz="0" w:space="0" w:color="auto"/>
                    <w:left w:val="none" w:sz="0" w:space="0" w:color="auto"/>
                    <w:bottom w:val="none" w:sz="0" w:space="0" w:color="auto"/>
                    <w:right w:val="none" w:sz="0" w:space="0" w:color="auto"/>
                  </w:divBdr>
                  <w:divsChild>
                    <w:div w:id="438381811">
                      <w:marLeft w:val="1170"/>
                      <w:marRight w:val="0"/>
                      <w:marTop w:val="0"/>
                      <w:marBottom w:val="0"/>
                      <w:divBdr>
                        <w:top w:val="none" w:sz="0" w:space="0" w:color="auto"/>
                        <w:left w:val="none" w:sz="0" w:space="0" w:color="auto"/>
                        <w:bottom w:val="none" w:sz="0" w:space="0" w:color="auto"/>
                        <w:right w:val="none" w:sz="0" w:space="0" w:color="auto"/>
                      </w:divBdr>
                    </w:div>
                  </w:divsChild>
                </w:div>
                <w:div w:id="1795513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977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384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594058">
                  <w:blockQuote w:val="1"/>
                  <w:marLeft w:val="720"/>
                  <w:marRight w:val="720"/>
                  <w:marTop w:val="100"/>
                  <w:marBottom w:val="100"/>
                  <w:divBdr>
                    <w:top w:val="none" w:sz="0" w:space="0" w:color="auto"/>
                    <w:left w:val="none" w:sz="0" w:space="0" w:color="auto"/>
                    <w:bottom w:val="none" w:sz="0" w:space="0" w:color="auto"/>
                    <w:right w:val="none" w:sz="0" w:space="0" w:color="auto"/>
                  </w:divBdr>
                </w:div>
                <w:div w:id="85199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64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50637905">
      <w:bodyDiv w:val="1"/>
      <w:marLeft w:val="0"/>
      <w:marRight w:val="0"/>
      <w:marTop w:val="0"/>
      <w:marBottom w:val="0"/>
      <w:divBdr>
        <w:top w:val="none" w:sz="0" w:space="0" w:color="auto"/>
        <w:left w:val="none" w:sz="0" w:space="0" w:color="auto"/>
        <w:bottom w:val="none" w:sz="0" w:space="0" w:color="auto"/>
        <w:right w:val="none" w:sz="0" w:space="0" w:color="auto"/>
      </w:divBdr>
      <w:divsChild>
        <w:div w:id="2018463329">
          <w:marLeft w:val="0"/>
          <w:marRight w:val="0"/>
          <w:marTop w:val="0"/>
          <w:marBottom w:val="0"/>
          <w:divBdr>
            <w:top w:val="none" w:sz="0" w:space="0" w:color="auto"/>
            <w:left w:val="none" w:sz="0" w:space="0" w:color="auto"/>
            <w:bottom w:val="none" w:sz="0" w:space="0" w:color="auto"/>
            <w:right w:val="none" w:sz="0" w:space="0" w:color="auto"/>
          </w:divBdr>
          <w:divsChild>
            <w:div w:id="463432197">
              <w:marLeft w:val="0"/>
              <w:marRight w:val="0"/>
              <w:marTop w:val="0"/>
              <w:marBottom w:val="0"/>
              <w:divBdr>
                <w:top w:val="none" w:sz="0" w:space="0" w:color="auto"/>
                <w:left w:val="none" w:sz="0" w:space="0" w:color="auto"/>
                <w:bottom w:val="none" w:sz="0" w:space="0" w:color="auto"/>
                <w:right w:val="none" w:sz="0" w:space="0" w:color="auto"/>
              </w:divBdr>
              <w:divsChild>
                <w:div w:id="963462916">
                  <w:marLeft w:val="0"/>
                  <w:marRight w:val="0"/>
                  <w:marTop w:val="0"/>
                  <w:marBottom w:val="0"/>
                  <w:divBdr>
                    <w:top w:val="none" w:sz="0" w:space="0" w:color="auto"/>
                    <w:left w:val="none" w:sz="0" w:space="0" w:color="auto"/>
                    <w:bottom w:val="none" w:sz="0" w:space="0" w:color="auto"/>
                    <w:right w:val="none" w:sz="0" w:space="0" w:color="auto"/>
                  </w:divBdr>
                </w:div>
                <w:div w:id="1273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6345">
          <w:marLeft w:val="0"/>
          <w:marRight w:val="0"/>
          <w:marTop w:val="0"/>
          <w:marBottom w:val="0"/>
          <w:divBdr>
            <w:top w:val="none" w:sz="0" w:space="0" w:color="auto"/>
            <w:left w:val="none" w:sz="0" w:space="0" w:color="auto"/>
            <w:bottom w:val="none" w:sz="0" w:space="0" w:color="auto"/>
            <w:right w:val="none" w:sz="0" w:space="0" w:color="auto"/>
          </w:divBdr>
          <w:divsChild>
            <w:div w:id="927468469">
              <w:marLeft w:val="0"/>
              <w:marRight w:val="0"/>
              <w:marTop w:val="0"/>
              <w:marBottom w:val="0"/>
              <w:divBdr>
                <w:top w:val="none" w:sz="0" w:space="0" w:color="auto"/>
                <w:left w:val="none" w:sz="0" w:space="0" w:color="auto"/>
                <w:bottom w:val="none" w:sz="0" w:space="0" w:color="auto"/>
                <w:right w:val="none" w:sz="0" w:space="0" w:color="auto"/>
              </w:divBdr>
              <w:divsChild>
                <w:div w:id="213009104">
                  <w:marLeft w:val="0"/>
                  <w:marRight w:val="0"/>
                  <w:marTop w:val="0"/>
                  <w:marBottom w:val="0"/>
                  <w:divBdr>
                    <w:top w:val="none" w:sz="0" w:space="0" w:color="auto"/>
                    <w:left w:val="none" w:sz="0" w:space="0" w:color="auto"/>
                    <w:bottom w:val="none" w:sz="0" w:space="0" w:color="auto"/>
                    <w:right w:val="none" w:sz="0" w:space="0" w:color="auto"/>
                  </w:divBdr>
                  <w:divsChild>
                    <w:div w:id="481123015">
                      <w:marLeft w:val="0"/>
                      <w:marRight w:val="0"/>
                      <w:marTop w:val="0"/>
                      <w:marBottom w:val="0"/>
                      <w:divBdr>
                        <w:top w:val="none" w:sz="0" w:space="0" w:color="auto"/>
                        <w:left w:val="none" w:sz="0" w:space="0" w:color="auto"/>
                        <w:bottom w:val="none" w:sz="0" w:space="0" w:color="auto"/>
                        <w:right w:val="none" w:sz="0" w:space="0" w:color="auto"/>
                      </w:divBdr>
                      <w:divsChild>
                        <w:div w:id="1337153743">
                          <w:marLeft w:val="0"/>
                          <w:marRight w:val="0"/>
                          <w:marTop w:val="0"/>
                          <w:marBottom w:val="0"/>
                          <w:divBdr>
                            <w:top w:val="none" w:sz="0" w:space="0" w:color="auto"/>
                            <w:left w:val="none" w:sz="0" w:space="0" w:color="auto"/>
                            <w:bottom w:val="none" w:sz="0" w:space="0" w:color="auto"/>
                            <w:right w:val="none" w:sz="0" w:space="0" w:color="auto"/>
                          </w:divBdr>
                        </w:div>
                      </w:divsChild>
                    </w:div>
                    <w:div w:id="73400505">
                      <w:marLeft w:val="0"/>
                      <w:marRight w:val="0"/>
                      <w:marTop w:val="0"/>
                      <w:marBottom w:val="0"/>
                      <w:divBdr>
                        <w:top w:val="none" w:sz="0" w:space="0" w:color="auto"/>
                        <w:left w:val="none" w:sz="0" w:space="0" w:color="auto"/>
                        <w:bottom w:val="none" w:sz="0" w:space="0" w:color="auto"/>
                        <w:right w:val="none" w:sz="0" w:space="0" w:color="auto"/>
                      </w:divBdr>
                      <w:divsChild>
                        <w:div w:id="640694860">
                          <w:marLeft w:val="0"/>
                          <w:marRight w:val="0"/>
                          <w:marTop w:val="0"/>
                          <w:marBottom w:val="0"/>
                          <w:divBdr>
                            <w:top w:val="none" w:sz="0" w:space="0" w:color="auto"/>
                            <w:left w:val="none" w:sz="0" w:space="0" w:color="auto"/>
                            <w:bottom w:val="none" w:sz="0" w:space="0" w:color="auto"/>
                            <w:right w:val="none" w:sz="0" w:space="0" w:color="auto"/>
                          </w:divBdr>
                        </w:div>
                      </w:divsChild>
                    </w:div>
                    <w:div w:id="460078233">
                      <w:marLeft w:val="0"/>
                      <w:marRight w:val="0"/>
                      <w:marTop w:val="0"/>
                      <w:marBottom w:val="0"/>
                      <w:divBdr>
                        <w:top w:val="none" w:sz="0" w:space="0" w:color="auto"/>
                        <w:left w:val="none" w:sz="0" w:space="0" w:color="auto"/>
                        <w:bottom w:val="none" w:sz="0" w:space="0" w:color="auto"/>
                        <w:right w:val="none" w:sz="0" w:space="0" w:color="auto"/>
                      </w:divBdr>
                      <w:divsChild>
                        <w:div w:id="1302468587">
                          <w:marLeft w:val="0"/>
                          <w:marRight w:val="0"/>
                          <w:marTop w:val="0"/>
                          <w:marBottom w:val="0"/>
                          <w:divBdr>
                            <w:top w:val="none" w:sz="0" w:space="0" w:color="auto"/>
                            <w:left w:val="none" w:sz="0" w:space="0" w:color="auto"/>
                            <w:bottom w:val="none" w:sz="0" w:space="0" w:color="auto"/>
                            <w:right w:val="none" w:sz="0" w:space="0" w:color="auto"/>
                          </w:divBdr>
                        </w:div>
                      </w:divsChild>
                    </w:div>
                    <w:div w:id="1796636428">
                      <w:marLeft w:val="0"/>
                      <w:marRight w:val="0"/>
                      <w:marTop w:val="0"/>
                      <w:marBottom w:val="0"/>
                      <w:divBdr>
                        <w:top w:val="none" w:sz="0" w:space="0" w:color="auto"/>
                        <w:left w:val="none" w:sz="0" w:space="0" w:color="auto"/>
                        <w:bottom w:val="none" w:sz="0" w:space="0" w:color="auto"/>
                        <w:right w:val="none" w:sz="0" w:space="0" w:color="auto"/>
                      </w:divBdr>
                      <w:divsChild>
                        <w:div w:id="6027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5164">
          <w:marLeft w:val="0"/>
          <w:marRight w:val="0"/>
          <w:marTop w:val="0"/>
          <w:marBottom w:val="0"/>
          <w:divBdr>
            <w:top w:val="none" w:sz="0" w:space="0" w:color="auto"/>
            <w:left w:val="none" w:sz="0" w:space="0" w:color="auto"/>
            <w:bottom w:val="none" w:sz="0" w:space="0" w:color="auto"/>
            <w:right w:val="none" w:sz="0" w:space="0" w:color="auto"/>
          </w:divBdr>
          <w:divsChild>
            <w:div w:id="1246913709">
              <w:marLeft w:val="0"/>
              <w:marRight w:val="0"/>
              <w:marTop w:val="0"/>
              <w:marBottom w:val="0"/>
              <w:divBdr>
                <w:top w:val="none" w:sz="0" w:space="0" w:color="auto"/>
                <w:left w:val="none" w:sz="0" w:space="0" w:color="auto"/>
                <w:bottom w:val="none" w:sz="0" w:space="0" w:color="auto"/>
                <w:right w:val="none" w:sz="0" w:space="0" w:color="auto"/>
              </w:divBdr>
              <w:divsChild>
                <w:div w:id="1721250226">
                  <w:marLeft w:val="0"/>
                  <w:marRight w:val="0"/>
                  <w:marTop w:val="0"/>
                  <w:marBottom w:val="0"/>
                  <w:divBdr>
                    <w:top w:val="none" w:sz="0" w:space="0" w:color="auto"/>
                    <w:left w:val="none" w:sz="0" w:space="0" w:color="auto"/>
                    <w:bottom w:val="none" w:sz="0" w:space="0" w:color="auto"/>
                    <w:right w:val="none" w:sz="0" w:space="0" w:color="auto"/>
                  </w:divBdr>
                  <w:divsChild>
                    <w:div w:id="797721060">
                      <w:marLeft w:val="1170"/>
                      <w:marRight w:val="0"/>
                      <w:marTop w:val="0"/>
                      <w:marBottom w:val="0"/>
                      <w:divBdr>
                        <w:top w:val="none" w:sz="0" w:space="0" w:color="auto"/>
                        <w:left w:val="none" w:sz="0" w:space="0" w:color="auto"/>
                        <w:bottom w:val="none" w:sz="0" w:space="0" w:color="auto"/>
                        <w:right w:val="none" w:sz="0" w:space="0" w:color="auto"/>
                      </w:divBdr>
                    </w:div>
                  </w:divsChild>
                </w:div>
                <w:div w:id="265624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6701512">
      <w:bodyDiv w:val="1"/>
      <w:marLeft w:val="0"/>
      <w:marRight w:val="0"/>
      <w:marTop w:val="0"/>
      <w:marBottom w:val="0"/>
      <w:divBdr>
        <w:top w:val="none" w:sz="0" w:space="0" w:color="auto"/>
        <w:left w:val="none" w:sz="0" w:space="0" w:color="auto"/>
        <w:bottom w:val="none" w:sz="0" w:space="0" w:color="auto"/>
        <w:right w:val="none" w:sz="0" w:space="0" w:color="auto"/>
      </w:divBdr>
      <w:divsChild>
        <w:div w:id="1811557165">
          <w:marLeft w:val="0"/>
          <w:marRight w:val="0"/>
          <w:marTop w:val="0"/>
          <w:marBottom w:val="0"/>
          <w:divBdr>
            <w:top w:val="none" w:sz="0" w:space="0" w:color="auto"/>
            <w:left w:val="none" w:sz="0" w:space="0" w:color="auto"/>
            <w:bottom w:val="none" w:sz="0" w:space="0" w:color="auto"/>
            <w:right w:val="none" w:sz="0" w:space="0" w:color="auto"/>
          </w:divBdr>
        </w:div>
        <w:div w:id="1652711645">
          <w:marLeft w:val="0"/>
          <w:marRight w:val="0"/>
          <w:marTop w:val="0"/>
          <w:marBottom w:val="0"/>
          <w:divBdr>
            <w:top w:val="none" w:sz="0" w:space="0" w:color="auto"/>
            <w:left w:val="none" w:sz="0" w:space="0" w:color="auto"/>
            <w:bottom w:val="none" w:sz="0" w:space="0" w:color="auto"/>
            <w:right w:val="none" w:sz="0" w:space="0" w:color="auto"/>
          </w:divBdr>
        </w:div>
        <w:div w:id="1466317040">
          <w:marLeft w:val="0"/>
          <w:marRight w:val="0"/>
          <w:marTop w:val="0"/>
          <w:marBottom w:val="0"/>
          <w:divBdr>
            <w:top w:val="none" w:sz="0" w:space="0" w:color="auto"/>
            <w:left w:val="none" w:sz="0" w:space="0" w:color="auto"/>
            <w:bottom w:val="none" w:sz="0" w:space="0" w:color="auto"/>
            <w:right w:val="none" w:sz="0" w:space="0" w:color="auto"/>
          </w:divBdr>
          <w:divsChild>
            <w:div w:id="363749732">
              <w:marLeft w:val="1417"/>
              <w:marRight w:val="0"/>
              <w:marTop w:val="0"/>
              <w:marBottom w:val="0"/>
              <w:divBdr>
                <w:top w:val="none" w:sz="0" w:space="0" w:color="auto"/>
                <w:left w:val="none" w:sz="0" w:space="0" w:color="auto"/>
                <w:bottom w:val="none" w:sz="0" w:space="0" w:color="auto"/>
                <w:right w:val="none" w:sz="0" w:space="0" w:color="auto"/>
              </w:divBdr>
            </w:div>
          </w:divsChild>
        </w:div>
        <w:div w:id="198601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610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012741">
          <w:blockQuote w:val="1"/>
          <w:marLeft w:val="720"/>
          <w:marRight w:val="720"/>
          <w:marTop w:val="100"/>
          <w:marBottom w:val="100"/>
          <w:divBdr>
            <w:top w:val="none" w:sz="0" w:space="0" w:color="auto"/>
            <w:left w:val="none" w:sz="0" w:space="0" w:color="auto"/>
            <w:bottom w:val="none" w:sz="0" w:space="0" w:color="auto"/>
            <w:right w:val="none" w:sz="0" w:space="0" w:color="auto"/>
          </w:divBdr>
        </w:div>
        <w:div w:id="249892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015445">
      <w:bodyDiv w:val="1"/>
      <w:marLeft w:val="0"/>
      <w:marRight w:val="0"/>
      <w:marTop w:val="0"/>
      <w:marBottom w:val="0"/>
      <w:divBdr>
        <w:top w:val="none" w:sz="0" w:space="0" w:color="auto"/>
        <w:left w:val="none" w:sz="0" w:space="0" w:color="auto"/>
        <w:bottom w:val="none" w:sz="0" w:space="0" w:color="auto"/>
        <w:right w:val="none" w:sz="0" w:space="0" w:color="auto"/>
      </w:divBdr>
      <w:divsChild>
        <w:div w:id="818612929">
          <w:marLeft w:val="0"/>
          <w:marRight w:val="0"/>
          <w:marTop w:val="0"/>
          <w:marBottom w:val="0"/>
          <w:divBdr>
            <w:top w:val="none" w:sz="0" w:space="0" w:color="auto"/>
            <w:left w:val="none" w:sz="0" w:space="0" w:color="auto"/>
            <w:bottom w:val="none" w:sz="0" w:space="0" w:color="auto"/>
            <w:right w:val="none" w:sz="0" w:space="0" w:color="auto"/>
          </w:divBdr>
          <w:divsChild>
            <w:div w:id="361714979">
              <w:marLeft w:val="0"/>
              <w:marRight w:val="0"/>
              <w:marTop w:val="0"/>
              <w:marBottom w:val="0"/>
              <w:divBdr>
                <w:top w:val="none" w:sz="0" w:space="0" w:color="auto"/>
                <w:left w:val="none" w:sz="0" w:space="0" w:color="auto"/>
                <w:bottom w:val="none" w:sz="0" w:space="0" w:color="auto"/>
                <w:right w:val="none" w:sz="0" w:space="0" w:color="auto"/>
              </w:divBdr>
              <w:divsChild>
                <w:div w:id="2063600618">
                  <w:marLeft w:val="0"/>
                  <w:marRight w:val="0"/>
                  <w:marTop w:val="0"/>
                  <w:marBottom w:val="0"/>
                  <w:divBdr>
                    <w:top w:val="none" w:sz="0" w:space="0" w:color="auto"/>
                    <w:left w:val="none" w:sz="0" w:space="0" w:color="auto"/>
                    <w:bottom w:val="none" w:sz="0" w:space="0" w:color="auto"/>
                    <w:right w:val="none" w:sz="0" w:space="0" w:color="auto"/>
                  </w:divBdr>
                </w:div>
                <w:div w:id="6037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2317">
          <w:marLeft w:val="0"/>
          <w:marRight w:val="0"/>
          <w:marTop w:val="0"/>
          <w:marBottom w:val="0"/>
          <w:divBdr>
            <w:top w:val="none" w:sz="0" w:space="0" w:color="auto"/>
            <w:left w:val="none" w:sz="0" w:space="0" w:color="auto"/>
            <w:bottom w:val="none" w:sz="0" w:space="0" w:color="auto"/>
            <w:right w:val="none" w:sz="0" w:space="0" w:color="auto"/>
          </w:divBdr>
          <w:divsChild>
            <w:div w:id="1877624366">
              <w:marLeft w:val="0"/>
              <w:marRight w:val="0"/>
              <w:marTop w:val="0"/>
              <w:marBottom w:val="0"/>
              <w:divBdr>
                <w:top w:val="none" w:sz="0" w:space="0" w:color="auto"/>
                <w:left w:val="none" w:sz="0" w:space="0" w:color="auto"/>
                <w:bottom w:val="none" w:sz="0" w:space="0" w:color="auto"/>
                <w:right w:val="none" w:sz="0" w:space="0" w:color="auto"/>
              </w:divBdr>
              <w:divsChild>
                <w:div w:id="576016319">
                  <w:marLeft w:val="0"/>
                  <w:marRight w:val="0"/>
                  <w:marTop w:val="0"/>
                  <w:marBottom w:val="0"/>
                  <w:divBdr>
                    <w:top w:val="none" w:sz="0" w:space="0" w:color="auto"/>
                    <w:left w:val="none" w:sz="0" w:space="0" w:color="auto"/>
                    <w:bottom w:val="none" w:sz="0" w:space="0" w:color="auto"/>
                    <w:right w:val="none" w:sz="0" w:space="0" w:color="auto"/>
                  </w:divBdr>
                  <w:divsChild>
                    <w:div w:id="1190291672">
                      <w:marLeft w:val="0"/>
                      <w:marRight w:val="0"/>
                      <w:marTop w:val="0"/>
                      <w:marBottom w:val="0"/>
                      <w:divBdr>
                        <w:top w:val="none" w:sz="0" w:space="0" w:color="auto"/>
                        <w:left w:val="none" w:sz="0" w:space="0" w:color="auto"/>
                        <w:bottom w:val="none" w:sz="0" w:space="0" w:color="auto"/>
                        <w:right w:val="none" w:sz="0" w:space="0" w:color="auto"/>
                      </w:divBdr>
                      <w:divsChild>
                        <w:div w:id="794953897">
                          <w:marLeft w:val="0"/>
                          <w:marRight w:val="0"/>
                          <w:marTop w:val="0"/>
                          <w:marBottom w:val="0"/>
                          <w:divBdr>
                            <w:top w:val="none" w:sz="0" w:space="0" w:color="auto"/>
                            <w:left w:val="none" w:sz="0" w:space="0" w:color="auto"/>
                            <w:bottom w:val="none" w:sz="0" w:space="0" w:color="auto"/>
                            <w:right w:val="none" w:sz="0" w:space="0" w:color="auto"/>
                          </w:divBdr>
                        </w:div>
                      </w:divsChild>
                    </w:div>
                    <w:div w:id="1424260099">
                      <w:marLeft w:val="0"/>
                      <w:marRight w:val="0"/>
                      <w:marTop w:val="0"/>
                      <w:marBottom w:val="0"/>
                      <w:divBdr>
                        <w:top w:val="none" w:sz="0" w:space="0" w:color="auto"/>
                        <w:left w:val="none" w:sz="0" w:space="0" w:color="auto"/>
                        <w:bottom w:val="none" w:sz="0" w:space="0" w:color="auto"/>
                        <w:right w:val="none" w:sz="0" w:space="0" w:color="auto"/>
                      </w:divBdr>
                      <w:divsChild>
                        <w:div w:id="388114430">
                          <w:marLeft w:val="0"/>
                          <w:marRight w:val="0"/>
                          <w:marTop w:val="0"/>
                          <w:marBottom w:val="0"/>
                          <w:divBdr>
                            <w:top w:val="none" w:sz="0" w:space="0" w:color="auto"/>
                            <w:left w:val="none" w:sz="0" w:space="0" w:color="auto"/>
                            <w:bottom w:val="none" w:sz="0" w:space="0" w:color="auto"/>
                            <w:right w:val="none" w:sz="0" w:space="0" w:color="auto"/>
                          </w:divBdr>
                        </w:div>
                      </w:divsChild>
                    </w:div>
                    <w:div w:id="335035045">
                      <w:marLeft w:val="0"/>
                      <w:marRight w:val="0"/>
                      <w:marTop w:val="0"/>
                      <w:marBottom w:val="0"/>
                      <w:divBdr>
                        <w:top w:val="none" w:sz="0" w:space="0" w:color="auto"/>
                        <w:left w:val="none" w:sz="0" w:space="0" w:color="auto"/>
                        <w:bottom w:val="none" w:sz="0" w:space="0" w:color="auto"/>
                        <w:right w:val="none" w:sz="0" w:space="0" w:color="auto"/>
                      </w:divBdr>
                      <w:divsChild>
                        <w:div w:id="790974780">
                          <w:marLeft w:val="0"/>
                          <w:marRight w:val="0"/>
                          <w:marTop w:val="0"/>
                          <w:marBottom w:val="0"/>
                          <w:divBdr>
                            <w:top w:val="none" w:sz="0" w:space="0" w:color="auto"/>
                            <w:left w:val="none" w:sz="0" w:space="0" w:color="auto"/>
                            <w:bottom w:val="none" w:sz="0" w:space="0" w:color="auto"/>
                            <w:right w:val="none" w:sz="0" w:space="0" w:color="auto"/>
                          </w:divBdr>
                        </w:div>
                      </w:divsChild>
                    </w:div>
                    <w:div w:id="342241631">
                      <w:marLeft w:val="0"/>
                      <w:marRight w:val="0"/>
                      <w:marTop w:val="0"/>
                      <w:marBottom w:val="0"/>
                      <w:divBdr>
                        <w:top w:val="none" w:sz="0" w:space="0" w:color="auto"/>
                        <w:left w:val="none" w:sz="0" w:space="0" w:color="auto"/>
                        <w:bottom w:val="none" w:sz="0" w:space="0" w:color="auto"/>
                        <w:right w:val="none" w:sz="0" w:space="0" w:color="auto"/>
                      </w:divBdr>
                      <w:divsChild>
                        <w:div w:id="12300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20531">
          <w:marLeft w:val="0"/>
          <w:marRight w:val="0"/>
          <w:marTop w:val="0"/>
          <w:marBottom w:val="0"/>
          <w:divBdr>
            <w:top w:val="none" w:sz="0" w:space="0" w:color="auto"/>
            <w:left w:val="none" w:sz="0" w:space="0" w:color="auto"/>
            <w:bottom w:val="none" w:sz="0" w:space="0" w:color="auto"/>
            <w:right w:val="none" w:sz="0" w:space="0" w:color="auto"/>
          </w:divBdr>
          <w:divsChild>
            <w:div w:id="1528371320">
              <w:marLeft w:val="0"/>
              <w:marRight w:val="0"/>
              <w:marTop w:val="0"/>
              <w:marBottom w:val="0"/>
              <w:divBdr>
                <w:top w:val="none" w:sz="0" w:space="0" w:color="auto"/>
                <w:left w:val="none" w:sz="0" w:space="0" w:color="auto"/>
                <w:bottom w:val="none" w:sz="0" w:space="0" w:color="auto"/>
                <w:right w:val="none" w:sz="0" w:space="0" w:color="auto"/>
              </w:divBdr>
              <w:divsChild>
                <w:div w:id="1704673834">
                  <w:marLeft w:val="0"/>
                  <w:marRight w:val="0"/>
                  <w:marTop w:val="0"/>
                  <w:marBottom w:val="0"/>
                  <w:divBdr>
                    <w:top w:val="none" w:sz="0" w:space="0" w:color="auto"/>
                    <w:left w:val="none" w:sz="0" w:space="0" w:color="auto"/>
                    <w:bottom w:val="none" w:sz="0" w:space="0" w:color="auto"/>
                    <w:right w:val="none" w:sz="0" w:space="0" w:color="auto"/>
                  </w:divBdr>
                  <w:divsChild>
                    <w:div w:id="304966139">
                      <w:marLeft w:val="11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98963">
      <w:bodyDiv w:val="1"/>
      <w:marLeft w:val="0"/>
      <w:marRight w:val="0"/>
      <w:marTop w:val="0"/>
      <w:marBottom w:val="0"/>
      <w:divBdr>
        <w:top w:val="none" w:sz="0" w:space="0" w:color="auto"/>
        <w:left w:val="none" w:sz="0" w:space="0" w:color="auto"/>
        <w:bottom w:val="none" w:sz="0" w:space="0" w:color="auto"/>
        <w:right w:val="none" w:sz="0" w:space="0" w:color="auto"/>
      </w:divBdr>
      <w:divsChild>
        <w:div w:id="122309025">
          <w:marLeft w:val="0"/>
          <w:marRight w:val="0"/>
          <w:marTop w:val="0"/>
          <w:marBottom w:val="0"/>
          <w:divBdr>
            <w:top w:val="none" w:sz="0" w:space="0" w:color="auto"/>
            <w:left w:val="none" w:sz="0" w:space="0" w:color="auto"/>
            <w:bottom w:val="none" w:sz="0" w:space="0" w:color="auto"/>
            <w:right w:val="none" w:sz="0" w:space="0" w:color="auto"/>
          </w:divBdr>
          <w:divsChild>
            <w:div w:id="2040427288">
              <w:marLeft w:val="0"/>
              <w:marRight w:val="0"/>
              <w:marTop w:val="0"/>
              <w:marBottom w:val="0"/>
              <w:divBdr>
                <w:top w:val="none" w:sz="0" w:space="0" w:color="auto"/>
                <w:left w:val="none" w:sz="0" w:space="0" w:color="auto"/>
                <w:bottom w:val="none" w:sz="0" w:space="0" w:color="auto"/>
                <w:right w:val="none" w:sz="0" w:space="0" w:color="auto"/>
              </w:divBdr>
              <w:divsChild>
                <w:div w:id="304748909">
                  <w:marLeft w:val="0"/>
                  <w:marRight w:val="0"/>
                  <w:marTop w:val="0"/>
                  <w:marBottom w:val="0"/>
                  <w:divBdr>
                    <w:top w:val="none" w:sz="0" w:space="0" w:color="auto"/>
                    <w:left w:val="none" w:sz="0" w:space="0" w:color="auto"/>
                    <w:bottom w:val="none" w:sz="0" w:space="0" w:color="auto"/>
                    <w:right w:val="none" w:sz="0" w:space="0" w:color="auto"/>
                  </w:divBdr>
                </w:div>
                <w:div w:id="18758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005">
          <w:marLeft w:val="0"/>
          <w:marRight w:val="0"/>
          <w:marTop w:val="0"/>
          <w:marBottom w:val="0"/>
          <w:divBdr>
            <w:top w:val="none" w:sz="0" w:space="0" w:color="auto"/>
            <w:left w:val="none" w:sz="0" w:space="0" w:color="auto"/>
            <w:bottom w:val="none" w:sz="0" w:space="0" w:color="auto"/>
            <w:right w:val="none" w:sz="0" w:space="0" w:color="auto"/>
          </w:divBdr>
          <w:divsChild>
            <w:div w:id="283583974">
              <w:marLeft w:val="0"/>
              <w:marRight w:val="0"/>
              <w:marTop w:val="0"/>
              <w:marBottom w:val="0"/>
              <w:divBdr>
                <w:top w:val="none" w:sz="0" w:space="0" w:color="auto"/>
                <w:left w:val="none" w:sz="0" w:space="0" w:color="auto"/>
                <w:bottom w:val="none" w:sz="0" w:space="0" w:color="auto"/>
                <w:right w:val="none" w:sz="0" w:space="0" w:color="auto"/>
              </w:divBdr>
              <w:divsChild>
                <w:div w:id="1117019580">
                  <w:marLeft w:val="0"/>
                  <w:marRight w:val="0"/>
                  <w:marTop w:val="0"/>
                  <w:marBottom w:val="0"/>
                  <w:divBdr>
                    <w:top w:val="none" w:sz="0" w:space="0" w:color="auto"/>
                    <w:left w:val="none" w:sz="0" w:space="0" w:color="auto"/>
                    <w:bottom w:val="none" w:sz="0" w:space="0" w:color="auto"/>
                    <w:right w:val="none" w:sz="0" w:space="0" w:color="auto"/>
                  </w:divBdr>
                  <w:divsChild>
                    <w:div w:id="2019195276">
                      <w:marLeft w:val="0"/>
                      <w:marRight w:val="0"/>
                      <w:marTop w:val="0"/>
                      <w:marBottom w:val="0"/>
                      <w:divBdr>
                        <w:top w:val="none" w:sz="0" w:space="0" w:color="auto"/>
                        <w:left w:val="none" w:sz="0" w:space="0" w:color="auto"/>
                        <w:bottom w:val="none" w:sz="0" w:space="0" w:color="auto"/>
                        <w:right w:val="none" w:sz="0" w:space="0" w:color="auto"/>
                      </w:divBdr>
                      <w:divsChild>
                        <w:div w:id="1530797058">
                          <w:marLeft w:val="0"/>
                          <w:marRight w:val="0"/>
                          <w:marTop w:val="0"/>
                          <w:marBottom w:val="0"/>
                          <w:divBdr>
                            <w:top w:val="none" w:sz="0" w:space="0" w:color="auto"/>
                            <w:left w:val="none" w:sz="0" w:space="0" w:color="auto"/>
                            <w:bottom w:val="none" w:sz="0" w:space="0" w:color="auto"/>
                            <w:right w:val="none" w:sz="0" w:space="0" w:color="auto"/>
                          </w:divBdr>
                        </w:div>
                      </w:divsChild>
                    </w:div>
                    <w:div w:id="895550048">
                      <w:marLeft w:val="0"/>
                      <w:marRight w:val="0"/>
                      <w:marTop w:val="0"/>
                      <w:marBottom w:val="0"/>
                      <w:divBdr>
                        <w:top w:val="none" w:sz="0" w:space="0" w:color="auto"/>
                        <w:left w:val="none" w:sz="0" w:space="0" w:color="auto"/>
                        <w:bottom w:val="none" w:sz="0" w:space="0" w:color="auto"/>
                        <w:right w:val="none" w:sz="0" w:space="0" w:color="auto"/>
                      </w:divBdr>
                      <w:divsChild>
                        <w:div w:id="75519003">
                          <w:marLeft w:val="0"/>
                          <w:marRight w:val="0"/>
                          <w:marTop w:val="0"/>
                          <w:marBottom w:val="0"/>
                          <w:divBdr>
                            <w:top w:val="none" w:sz="0" w:space="0" w:color="auto"/>
                            <w:left w:val="none" w:sz="0" w:space="0" w:color="auto"/>
                            <w:bottom w:val="none" w:sz="0" w:space="0" w:color="auto"/>
                            <w:right w:val="none" w:sz="0" w:space="0" w:color="auto"/>
                          </w:divBdr>
                        </w:div>
                      </w:divsChild>
                    </w:div>
                    <w:div w:id="152333886">
                      <w:marLeft w:val="0"/>
                      <w:marRight w:val="0"/>
                      <w:marTop w:val="0"/>
                      <w:marBottom w:val="0"/>
                      <w:divBdr>
                        <w:top w:val="none" w:sz="0" w:space="0" w:color="auto"/>
                        <w:left w:val="none" w:sz="0" w:space="0" w:color="auto"/>
                        <w:bottom w:val="none" w:sz="0" w:space="0" w:color="auto"/>
                        <w:right w:val="none" w:sz="0" w:space="0" w:color="auto"/>
                      </w:divBdr>
                      <w:divsChild>
                        <w:div w:id="794759273">
                          <w:marLeft w:val="0"/>
                          <w:marRight w:val="0"/>
                          <w:marTop w:val="0"/>
                          <w:marBottom w:val="0"/>
                          <w:divBdr>
                            <w:top w:val="none" w:sz="0" w:space="0" w:color="auto"/>
                            <w:left w:val="none" w:sz="0" w:space="0" w:color="auto"/>
                            <w:bottom w:val="none" w:sz="0" w:space="0" w:color="auto"/>
                            <w:right w:val="none" w:sz="0" w:space="0" w:color="auto"/>
                          </w:divBdr>
                        </w:div>
                      </w:divsChild>
                    </w:div>
                    <w:div w:id="1373463210">
                      <w:marLeft w:val="0"/>
                      <w:marRight w:val="0"/>
                      <w:marTop w:val="0"/>
                      <w:marBottom w:val="0"/>
                      <w:divBdr>
                        <w:top w:val="none" w:sz="0" w:space="0" w:color="auto"/>
                        <w:left w:val="none" w:sz="0" w:space="0" w:color="auto"/>
                        <w:bottom w:val="none" w:sz="0" w:space="0" w:color="auto"/>
                        <w:right w:val="none" w:sz="0" w:space="0" w:color="auto"/>
                      </w:divBdr>
                      <w:divsChild>
                        <w:div w:id="667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9355">
          <w:marLeft w:val="0"/>
          <w:marRight w:val="0"/>
          <w:marTop w:val="0"/>
          <w:marBottom w:val="0"/>
          <w:divBdr>
            <w:top w:val="none" w:sz="0" w:space="0" w:color="auto"/>
            <w:left w:val="none" w:sz="0" w:space="0" w:color="auto"/>
            <w:bottom w:val="none" w:sz="0" w:space="0" w:color="auto"/>
            <w:right w:val="none" w:sz="0" w:space="0" w:color="auto"/>
          </w:divBdr>
          <w:divsChild>
            <w:div w:id="126508036">
              <w:marLeft w:val="0"/>
              <w:marRight w:val="0"/>
              <w:marTop w:val="0"/>
              <w:marBottom w:val="0"/>
              <w:divBdr>
                <w:top w:val="none" w:sz="0" w:space="0" w:color="auto"/>
                <w:left w:val="none" w:sz="0" w:space="0" w:color="auto"/>
                <w:bottom w:val="none" w:sz="0" w:space="0" w:color="auto"/>
                <w:right w:val="none" w:sz="0" w:space="0" w:color="auto"/>
              </w:divBdr>
              <w:divsChild>
                <w:div w:id="2097165193">
                  <w:marLeft w:val="0"/>
                  <w:marRight w:val="0"/>
                  <w:marTop w:val="0"/>
                  <w:marBottom w:val="0"/>
                  <w:divBdr>
                    <w:top w:val="none" w:sz="0" w:space="0" w:color="auto"/>
                    <w:left w:val="none" w:sz="0" w:space="0" w:color="auto"/>
                    <w:bottom w:val="none" w:sz="0" w:space="0" w:color="auto"/>
                    <w:right w:val="none" w:sz="0" w:space="0" w:color="auto"/>
                  </w:divBdr>
                  <w:divsChild>
                    <w:div w:id="2101483395">
                      <w:marLeft w:val="1169"/>
                      <w:marRight w:val="0"/>
                      <w:marTop w:val="0"/>
                      <w:marBottom w:val="0"/>
                      <w:divBdr>
                        <w:top w:val="none" w:sz="0" w:space="0" w:color="auto"/>
                        <w:left w:val="none" w:sz="0" w:space="0" w:color="auto"/>
                        <w:bottom w:val="none" w:sz="0" w:space="0" w:color="auto"/>
                        <w:right w:val="none" w:sz="0" w:space="0" w:color="auto"/>
                      </w:divBdr>
                    </w:div>
                  </w:divsChild>
                </w:div>
                <w:div w:id="871845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1501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04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38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463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99360306">
      <w:bodyDiv w:val="1"/>
      <w:marLeft w:val="0"/>
      <w:marRight w:val="0"/>
      <w:marTop w:val="0"/>
      <w:marBottom w:val="0"/>
      <w:divBdr>
        <w:top w:val="none" w:sz="0" w:space="0" w:color="auto"/>
        <w:left w:val="none" w:sz="0" w:space="0" w:color="auto"/>
        <w:bottom w:val="none" w:sz="0" w:space="0" w:color="auto"/>
        <w:right w:val="none" w:sz="0" w:space="0" w:color="auto"/>
      </w:divBdr>
      <w:divsChild>
        <w:div w:id="61758419">
          <w:marLeft w:val="0"/>
          <w:marRight w:val="0"/>
          <w:marTop w:val="0"/>
          <w:marBottom w:val="0"/>
          <w:divBdr>
            <w:top w:val="none" w:sz="0" w:space="0" w:color="auto"/>
            <w:left w:val="none" w:sz="0" w:space="0" w:color="auto"/>
            <w:bottom w:val="none" w:sz="0" w:space="0" w:color="auto"/>
            <w:right w:val="none" w:sz="0" w:space="0" w:color="auto"/>
          </w:divBdr>
        </w:div>
        <w:div w:id="1044906630">
          <w:marLeft w:val="0"/>
          <w:marRight w:val="0"/>
          <w:marTop w:val="0"/>
          <w:marBottom w:val="0"/>
          <w:divBdr>
            <w:top w:val="none" w:sz="0" w:space="0" w:color="auto"/>
            <w:left w:val="none" w:sz="0" w:space="0" w:color="auto"/>
            <w:bottom w:val="none" w:sz="0" w:space="0" w:color="auto"/>
            <w:right w:val="none" w:sz="0" w:space="0" w:color="auto"/>
          </w:divBdr>
        </w:div>
        <w:div w:id="766969924">
          <w:marLeft w:val="0"/>
          <w:marRight w:val="0"/>
          <w:marTop w:val="0"/>
          <w:marBottom w:val="0"/>
          <w:divBdr>
            <w:top w:val="none" w:sz="0" w:space="0" w:color="auto"/>
            <w:left w:val="none" w:sz="0" w:space="0" w:color="auto"/>
            <w:bottom w:val="none" w:sz="0" w:space="0" w:color="auto"/>
            <w:right w:val="none" w:sz="0" w:space="0" w:color="auto"/>
          </w:divBdr>
          <w:divsChild>
            <w:div w:id="1464470109">
              <w:marLeft w:val="1417"/>
              <w:marRight w:val="0"/>
              <w:marTop w:val="0"/>
              <w:marBottom w:val="0"/>
              <w:divBdr>
                <w:top w:val="none" w:sz="0" w:space="0" w:color="auto"/>
                <w:left w:val="none" w:sz="0" w:space="0" w:color="auto"/>
                <w:bottom w:val="none" w:sz="0" w:space="0" w:color="auto"/>
                <w:right w:val="none" w:sz="0" w:space="0" w:color="auto"/>
              </w:divBdr>
            </w:div>
          </w:divsChild>
        </w:div>
        <w:div w:id="611668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224734">
          <w:blockQuote w:val="1"/>
          <w:marLeft w:val="720"/>
          <w:marRight w:val="720"/>
          <w:marTop w:val="100"/>
          <w:marBottom w:val="100"/>
          <w:divBdr>
            <w:top w:val="none" w:sz="0" w:space="0" w:color="auto"/>
            <w:left w:val="none" w:sz="0" w:space="0" w:color="auto"/>
            <w:bottom w:val="none" w:sz="0" w:space="0" w:color="auto"/>
            <w:right w:val="none" w:sz="0" w:space="0" w:color="auto"/>
          </w:divBdr>
        </w:div>
        <w:div w:id="31722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591526">
      <w:bodyDiv w:val="1"/>
      <w:marLeft w:val="0"/>
      <w:marRight w:val="0"/>
      <w:marTop w:val="0"/>
      <w:marBottom w:val="0"/>
      <w:divBdr>
        <w:top w:val="none" w:sz="0" w:space="0" w:color="auto"/>
        <w:left w:val="none" w:sz="0" w:space="0" w:color="auto"/>
        <w:bottom w:val="none" w:sz="0" w:space="0" w:color="auto"/>
        <w:right w:val="none" w:sz="0" w:space="0" w:color="auto"/>
      </w:divBdr>
      <w:divsChild>
        <w:div w:id="1180778032">
          <w:marLeft w:val="0"/>
          <w:marRight w:val="0"/>
          <w:marTop w:val="0"/>
          <w:marBottom w:val="0"/>
          <w:divBdr>
            <w:top w:val="none" w:sz="0" w:space="0" w:color="auto"/>
            <w:left w:val="none" w:sz="0" w:space="0" w:color="auto"/>
            <w:bottom w:val="none" w:sz="0" w:space="0" w:color="auto"/>
            <w:right w:val="none" w:sz="0" w:space="0" w:color="auto"/>
          </w:divBdr>
          <w:divsChild>
            <w:div w:id="1409231463">
              <w:marLeft w:val="0"/>
              <w:marRight w:val="0"/>
              <w:marTop w:val="0"/>
              <w:marBottom w:val="0"/>
              <w:divBdr>
                <w:top w:val="none" w:sz="0" w:space="0" w:color="auto"/>
                <w:left w:val="none" w:sz="0" w:space="0" w:color="auto"/>
                <w:bottom w:val="none" w:sz="0" w:space="0" w:color="auto"/>
                <w:right w:val="none" w:sz="0" w:space="0" w:color="auto"/>
              </w:divBdr>
              <w:divsChild>
                <w:div w:id="525295532">
                  <w:marLeft w:val="0"/>
                  <w:marRight w:val="0"/>
                  <w:marTop w:val="0"/>
                  <w:marBottom w:val="0"/>
                  <w:divBdr>
                    <w:top w:val="none" w:sz="0" w:space="0" w:color="auto"/>
                    <w:left w:val="none" w:sz="0" w:space="0" w:color="auto"/>
                    <w:bottom w:val="none" w:sz="0" w:space="0" w:color="auto"/>
                    <w:right w:val="none" w:sz="0" w:space="0" w:color="auto"/>
                  </w:divBdr>
                </w:div>
                <w:div w:id="21464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0681">
          <w:marLeft w:val="0"/>
          <w:marRight w:val="0"/>
          <w:marTop w:val="0"/>
          <w:marBottom w:val="0"/>
          <w:divBdr>
            <w:top w:val="none" w:sz="0" w:space="0" w:color="auto"/>
            <w:left w:val="none" w:sz="0" w:space="0" w:color="auto"/>
            <w:bottom w:val="none" w:sz="0" w:space="0" w:color="auto"/>
            <w:right w:val="none" w:sz="0" w:space="0" w:color="auto"/>
          </w:divBdr>
          <w:divsChild>
            <w:div w:id="1185292072">
              <w:marLeft w:val="0"/>
              <w:marRight w:val="0"/>
              <w:marTop w:val="0"/>
              <w:marBottom w:val="0"/>
              <w:divBdr>
                <w:top w:val="none" w:sz="0" w:space="0" w:color="auto"/>
                <w:left w:val="none" w:sz="0" w:space="0" w:color="auto"/>
                <w:bottom w:val="none" w:sz="0" w:space="0" w:color="auto"/>
                <w:right w:val="none" w:sz="0" w:space="0" w:color="auto"/>
              </w:divBdr>
              <w:divsChild>
                <w:div w:id="960696807">
                  <w:marLeft w:val="0"/>
                  <w:marRight w:val="0"/>
                  <w:marTop w:val="0"/>
                  <w:marBottom w:val="0"/>
                  <w:divBdr>
                    <w:top w:val="none" w:sz="0" w:space="0" w:color="auto"/>
                    <w:left w:val="none" w:sz="0" w:space="0" w:color="auto"/>
                    <w:bottom w:val="none" w:sz="0" w:space="0" w:color="auto"/>
                    <w:right w:val="none" w:sz="0" w:space="0" w:color="auto"/>
                  </w:divBdr>
                  <w:divsChild>
                    <w:div w:id="728455878">
                      <w:marLeft w:val="0"/>
                      <w:marRight w:val="0"/>
                      <w:marTop w:val="0"/>
                      <w:marBottom w:val="0"/>
                      <w:divBdr>
                        <w:top w:val="none" w:sz="0" w:space="0" w:color="auto"/>
                        <w:left w:val="none" w:sz="0" w:space="0" w:color="auto"/>
                        <w:bottom w:val="none" w:sz="0" w:space="0" w:color="auto"/>
                        <w:right w:val="none" w:sz="0" w:space="0" w:color="auto"/>
                      </w:divBdr>
                      <w:divsChild>
                        <w:div w:id="1739934146">
                          <w:marLeft w:val="0"/>
                          <w:marRight w:val="0"/>
                          <w:marTop w:val="0"/>
                          <w:marBottom w:val="0"/>
                          <w:divBdr>
                            <w:top w:val="none" w:sz="0" w:space="0" w:color="auto"/>
                            <w:left w:val="none" w:sz="0" w:space="0" w:color="auto"/>
                            <w:bottom w:val="none" w:sz="0" w:space="0" w:color="auto"/>
                            <w:right w:val="none" w:sz="0" w:space="0" w:color="auto"/>
                          </w:divBdr>
                        </w:div>
                      </w:divsChild>
                    </w:div>
                    <w:div w:id="331684461">
                      <w:marLeft w:val="0"/>
                      <w:marRight w:val="0"/>
                      <w:marTop w:val="0"/>
                      <w:marBottom w:val="0"/>
                      <w:divBdr>
                        <w:top w:val="none" w:sz="0" w:space="0" w:color="auto"/>
                        <w:left w:val="none" w:sz="0" w:space="0" w:color="auto"/>
                        <w:bottom w:val="none" w:sz="0" w:space="0" w:color="auto"/>
                        <w:right w:val="none" w:sz="0" w:space="0" w:color="auto"/>
                      </w:divBdr>
                      <w:divsChild>
                        <w:div w:id="754008913">
                          <w:marLeft w:val="0"/>
                          <w:marRight w:val="0"/>
                          <w:marTop w:val="0"/>
                          <w:marBottom w:val="0"/>
                          <w:divBdr>
                            <w:top w:val="none" w:sz="0" w:space="0" w:color="auto"/>
                            <w:left w:val="none" w:sz="0" w:space="0" w:color="auto"/>
                            <w:bottom w:val="none" w:sz="0" w:space="0" w:color="auto"/>
                            <w:right w:val="none" w:sz="0" w:space="0" w:color="auto"/>
                          </w:divBdr>
                        </w:div>
                      </w:divsChild>
                    </w:div>
                    <w:div w:id="1152212407">
                      <w:marLeft w:val="0"/>
                      <w:marRight w:val="0"/>
                      <w:marTop w:val="0"/>
                      <w:marBottom w:val="0"/>
                      <w:divBdr>
                        <w:top w:val="none" w:sz="0" w:space="0" w:color="auto"/>
                        <w:left w:val="none" w:sz="0" w:space="0" w:color="auto"/>
                        <w:bottom w:val="none" w:sz="0" w:space="0" w:color="auto"/>
                        <w:right w:val="none" w:sz="0" w:space="0" w:color="auto"/>
                      </w:divBdr>
                      <w:divsChild>
                        <w:div w:id="1511286629">
                          <w:marLeft w:val="0"/>
                          <w:marRight w:val="0"/>
                          <w:marTop w:val="0"/>
                          <w:marBottom w:val="0"/>
                          <w:divBdr>
                            <w:top w:val="none" w:sz="0" w:space="0" w:color="auto"/>
                            <w:left w:val="none" w:sz="0" w:space="0" w:color="auto"/>
                            <w:bottom w:val="none" w:sz="0" w:space="0" w:color="auto"/>
                            <w:right w:val="none" w:sz="0" w:space="0" w:color="auto"/>
                          </w:divBdr>
                        </w:div>
                      </w:divsChild>
                    </w:div>
                    <w:div w:id="1988128977">
                      <w:marLeft w:val="0"/>
                      <w:marRight w:val="0"/>
                      <w:marTop w:val="0"/>
                      <w:marBottom w:val="0"/>
                      <w:divBdr>
                        <w:top w:val="none" w:sz="0" w:space="0" w:color="auto"/>
                        <w:left w:val="none" w:sz="0" w:space="0" w:color="auto"/>
                        <w:bottom w:val="none" w:sz="0" w:space="0" w:color="auto"/>
                        <w:right w:val="none" w:sz="0" w:space="0" w:color="auto"/>
                      </w:divBdr>
                      <w:divsChild>
                        <w:div w:id="1677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76831">
          <w:marLeft w:val="0"/>
          <w:marRight w:val="0"/>
          <w:marTop w:val="0"/>
          <w:marBottom w:val="0"/>
          <w:divBdr>
            <w:top w:val="none" w:sz="0" w:space="0" w:color="auto"/>
            <w:left w:val="none" w:sz="0" w:space="0" w:color="auto"/>
            <w:bottom w:val="none" w:sz="0" w:space="0" w:color="auto"/>
            <w:right w:val="none" w:sz="0" w:space="0" w:color="auto"/>
          </w:divBdr>
          <w:divsChild>
            <w:div w:id="1744568877">
              <w:marLeft w:val="0"/>
              <w:marRight w:val="0"/>
              <w:marTop w:val="0"/>
              <w:marBottom w:val="0"/>
              <w:divBdr>
                <w:top w:val="none" w:sz="0" w:space="0" w:color="auto"/>
                <w:left w:val="none" w:sz="0" w:space="0" w:color="auto"/>
                <w:bottom w:val="none" w:sz="0" w:space="0" w:color="auto"/>
                <w:right w:val="none" w:sz="0" w:space="0" w:color="auto"/>
              </w:divBdr>
              <w:divsChild>
                <w:div w:id="1212155440">
                  <w:marLeft w:val="0"/>
                  <w:marRight w:val="0"/>
                  <w:marTop w:val="0"/>
                  <w:marBottom w:val="0"/>
                  <w:divBdr>
                    <w:top w:val="none" w:sz="0" w:space="0" w:color="auto"/>
                    <w:left w:val="none" w:sz="0" w:space="0" w:color="auto"/>
                    <w:bottom w:val="none" w:sz="0" w:space="0" w:color="auto"/>
                    <w:right w:val="none" w:sz="0" w:space="0" w:color="auto"/>
                  </w:divBdr>
                  <w:divsChild>
                    <w:div w:id="1802111002">
                      <w:marLeft w:val="1170"/>
                      <w:marRight w:val="0"/>
                      <w:marTop w:val="0"/>
                      <w:marBottom w:val="0"/>
                      <w:divBdr>
                        <w:top w:val="none" w:sz="0" w:space="0" w:color="auto"/>
                        <w:left w:val="none" w:sz="0" w:space="0" w:color="auto"/>
                        <w:bottom w:val="none" w:sz="0" w:space="0" w:color="auto"/>
                        <w:right w:val="none" w:sz="0" w:space="0" w:color="auto"/>
                      </w:divBdr>
                    </w:div>
                  </w:divsChild>
                </w:div>
                <w:div w:id="2041926872">
                  <w:blockQuote w:val="1"/>
                  <w:marLeft w:val="720"/>
                  <w:marRight w:val="720"/>
                  <w:marTop w:val="100"/>
                  <w:marBottom w:val="100"/>
                  <w:divBdr>
                    <w:top w:val="none" w:sz="0" w:space="0" w:color="auto"/>
                    <w:left w:val="none" w:sz="0" w:space="0" w:color="auto"/>
                    <w:bottom w:val="none" w:sz="0" w:space="0" w:color="auto"/>
                    <w:right w:val="none" w:sz="0" w:space="0" w:color="auto"/>
                  </w:divBdr>
                </w:div>
                <w:div w:id="5204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25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159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7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02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918439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3776602">
      <w:bodyDiv w:val="1"/>
      <w:marLeft w:val="0"/>
      <w:marRight w:val="0"/>
      <w:marTop w:val="0"/>
      <w:marBottom w:val="0"/>
      <w:divBdr>
        <w:top w:val="none" w:sz="0" w:space="0" w:color="auto"/>
        <w:left w:val="none" w:sz="0" w:space="0" w:color="auto"/>
        <w:bottom w:val="none" w:sz="0" w:space="0" w:color="auto"/>
        <w:right w:val="none" w:sz="0" w:space="0" w:color="auto"/>
      </w:divBdr>
      <w:divsChild>
        <w:div w:id="690061282">
          <w:marLeft w:val="0"/>
          <w:marRight w:val="0"/>
          <w:marTop w:val="0"/>
          <w:marBottom w:val="0"/>
          <w:divBdr>
            <w:top w:val="none" w:sz="0" w:space="0" w:color="auto"/>
            <w:left w:val="none" w:sz="0" w:space="0" w:color="auto"/>
            <w:bottom w:val="none" w:sz="0" w:space="0" w:color="auto"/>
            <w:right w:val="none" w:sz="0" w:space="0" w:color="auto"/>
          </w:divBdr>
          <w:divsChild>
            <w:div w:id="1809083464">
              <w:marLeft w:val="0"/>
              <w:marRight w:val="0"/>
              <w:marTop w:val="0"/>
              <w:marBottom w:val="0"/>
              <w:divBdr>
                <w:top w:val="none" w:sz="0" w:space="0" w:color="auto"/>
                <w:left w:val="none" w:sz="0" w:space="0" w:color="auto"/>
                <w:bottom w:val="none" w:sz="0" w:space="0" w:color="auto"/>
                <w:right w:val="none" w:sz="0" w:space="0" w:color="auto"/>
              </w:divBdr>
              <w:divsChild>
                <w:div w:id="1041705409">
                  <w:marLeft w:val="0"/>
                  <w:marRight w:val="0"/>
                  <w:marTop w:val="0"/>
                  <w:marBottom w:val="0"/>
                  <w:divBdr>
                    <w:top w:val="none" w:sz="0" w:space="0" w:color="auto"/>
                    <w:left w:val="none" w:sz="0" w:space="0" w:color="auto"/>
                    <w:bottom w:val="none" w:sz="0" w:space="0" w:color="auto"/>
                    <w:right w:val="none" w:sz="0" w:space="0" w:color="auto"/>
                  </w:divBdr>
                </w:div>
                <w:div w:id="157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4940">
          <w:marLeft w:val="0"/>
          <w:marRight w:val="0"/>
          <w:marTop w:val="0"/>
          <w:marBottom w:val="0"/>
          <w:divBdr>
            <w:top w:val="none" w:sz="0" w:space="0" w:color="auto"/>
            <w:left w:val="none" w:sz="0" w:space="0" w:color="auto"/>
            <w:bottom w:val="none" w:sz="0" w:space="0" w:color="auto"/>
            <w:right w:val="none" w:sz="0" w:space="0" w:color="auto"/>
          </w:divBdr>
          <w:divsChild>
            <w:div w:id="1424912216">
              <w:marLeft w:val="0"/>
              <w:marRight w:val="0"/>
              <w:marTop w:val="0"/>
              <w:marBottom w:val="0"/>
              <w:divBdr>
                <w:top w:val="none" w:sz="0" w:space="0" w:color="auto"/>
                <w:left w:val="none" w:sz="0" w:space="0" w:color="auto"/>
                <w:bottom w:val="none" w:sz="0" w:space="0" w:color="auto"/>
                <w:right w:val="none" w:sz="0" w:space="0" w:color="auto"/>
              </w:divBdr>
              <w:divsChild>
                <w:div w:id="1646354337">
                  <w:marLeft w:val="0"/>
                  <w:marRight w:val="0"/>
                  <w:marTop w:val="0"/>
                  <w:marBottom w:val="0"/>
                  <w:divBdr>
                    <w:top w:val="none" w:sz="0" w:space="0" w:color="auto"/>
                    <w:left w:val="none" w:sz="0" w:space="0" w:color="auto"/>
                    <w:bottom w:val="none" w:sz="0" w:space="0" w:color="auto"/>
                    <w:right w:val="none" w:sz="0" w:space="0" w:color="auto"/>
                  </w:divBdr>
                  <w:divsChild>
                    <w:div w:id="900485035">
                      <w:marLeft w:val="0"/>
                      <w:marRight w:val="0"/>
                      <w:marTop w:val="0"/>
                      <w:marBottom w:val="0"/>
                      <w:divBdr>
                        <w:top w:val="none" w:sz="0" w:space="0" w:color="auto"/>
                        <w:left w:val="none" w:sz="0" w:space="0" w:color="auto"/>
                        <w:bottom w:val="none" w:sz="0" w:space="0" w:color="auto"/>
                        <w:right w:val="none" w:sz="0" w:space="0" w:color="auto"/>
                      </w:divBdr>
                      <w:divsChild>
                        <w:div w:id="692457147">
                          <w:marLeft w:val="0"/>
                          <w:marRight w:val="0"/>
                          <w:marTop w:val="0"/>
                          <w:marBottom w:val="0"/>
                          <w:divBdr>
                            <w:top w:val="none" w:sz="0" w:space="0" w:color="auto"/>
                            <w:left w:val="none" w:sz="0" w:space="0" w:color="auto"/>
                            <w:bottom w:val="none" w:sz="0" w:space="0" w:color="auto"/>
                            <w:right w:val="none" w:sz="0" w:space="0" w:color="auto"/>
                          </w:divBdr>
                        </w:div>
                      </w:divsChild>
                    </w:div>
                    <w:div w:id="378554732">
                      <w:marLeft w:val="0"/>
                      <w:marRight w:val="0"/>
                      <w:marTop w:val="0"/>
                      <w:marBottom w:val="0"/>
                      <w:divBdr>
                        <w:top w:val="none" w:sz="0" w:space="0" w:color="auto"/>
                        <w:left w:val="none" w:sz="0" w:space="0" w:color="auto"/>
                        <w:bottom w:val="none" w:sz="0" w:space="0" w:color="auto"/>
                        <w:right w:val="none" w:sz="0" w:space="0" w:color="auto"/>
                      </w:divBdr>
                      <w:divsChild>
                        <w:div w:id="478420034">
                          <w:marLeft w:val="0"/>
                          <w:marRight w:val="0"/>
                          <w:marTop w:val="0"/>
                          <w:marBottom w:val="0"/>
                          <w:divBdr>
                            <w:top w:val="none" w:sz="0" w:space="0" w:color="auto"/>
                            <w:left w:val="none" w:sz="0" w:space="0" w:color="auto"/>
                            <w:bottom w:val="none" w:sz="0" w:space="0" w:color="auto"/>
                            <w:right w:val="none" w:sz="0" w:space="0" w:color="auto"/>
                          </w:divBdr>
                        </w:div>
                      </w:divsChild>
                    </w:div>
                    <w:div w:id="660739581">
                      <w:marLeft w:val="0"/>
                      <w:marRight w:val="0"/>
                      <w:marTop w:val="0"/>
                      <w:marBottom w:val="0"/>
                      <w:divBdr>
                        <w:top w:val="none" w:sz="0" w:space="0" w:color="auto"/>
                        <w:left w:val="none" w:sz="0" w:space="0" w:color="auto"/>
                        <w:bottom w:val="none" w:sz="0" w:space="0" w:color="auto"/>
                        <w:right w:val="none" w:sz="0" w:space="0" w:color="auto"/>
                      </w:divBdr>
                      <w:divsChild>
                        <w:div w:id="1307587942">
                          <w:marLeft w:val="0"/>
                          <w:marRight w:val="0"/>
                          <w:marTop w:val="0"/>
                          <w:marBottom w:val="0"/>
                          <w:divBdr>
                            <w:top w:val="none" w:sz="0" w:space="0" w:color="auto"/>
                            <w:left w:val="none" w:sz="0" w:space="0" w:color="auto"/>
                            <w:bottom w:val="none" w:sz="0" w:space="0" w:color="auto"/>
                            <w:right w:val="none" w:sz="0" w:space="0" w:color="auto"/>
                          </w:divBdr>
                        </w:div>
                      </w:divsChild>
                    </w:div>
                    <w:div w:id="874192961">
                      <w:marLeft w:val="0"/>
                      <w:marRight w:val="0"/>
                      <w:marTop w:val="0"/>
                      <w:marBottom w:val="0"/>
                      <w:divBdr>
                        <w:top w:val="none" w:sz="0" w:space="0" w:color="auto"/>
                        <w:left w:val="none" w:sz="0" w:space="0" w:color="auto"/>
                        <w:bottom w:val="none" w:sz="0" w:space="0" w:color="auto"/>
                        <w:right w:val="none" w:sz="0" w:space="0" w:color="auto"/>
                      </w:divBdr>
                      <w:divsChild>
                        <w:div w:id="13519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86154">
          <w:marLeft w:val="0"/>
          <w:marRight w:val="0"/>
          <w:marTop w:val="0"/>
          <w:marBottom w:val="0"/>
          <w:divBdr>
            <w:top w:val="none" w:sz="0" w:space="0" w:color="auto"/>
            <w:left w:val="none" w:sz="0" w:space="0" w:color="auto"/>
            <w:bottom w:val="none" w:sz="0" w:space="0" w:color="auto"/>
            <w:right w:val="none" w:sz="0" w:space="0" w:color="auto"/>
          </w:divBdr>
          <w:divsChild>
            <w:div w:id="351492782">
              <w:marLeft w:val="0"/>
              <w:marRight w:val="0"/>
              <w:marTop w:val="0"/>
              <w:marBottom w:val="0"/>
              <w:divBdr>
                <w:top w:val="none" w:sz="0" w:space="0" w:color="auto"/>
                <w:left w:val="none" w:sz="0" w:space="0" w:color="auto"/>
                <w:bottom w:val="none" w:sz="0" w:space="0" w:color="auto"/>
                <w:right w:val="none" w:sz="0" w:space="0" w:color="auto"/>
              </w:divBdr>
              <w:divsChild>
                <w:div w:id="134954887">
                  <w:marLeft w:val="0"/>
                  <w:marRight w:val="0"/>
                  <w:marTop w:val="0"/>
                  <w:marBottom w:val="0"/>
                  <w:divBdr>
                    <w:top w:val="none" w:sz="0" w:space="0" w:color="auto"/>
                    <w:left w:val="none" w:sz="0" w:space="0" w:color="auto"/>
                    <w:bottom w:val="none" w:sz="0" w:space="0" w:color="auto"/>
                    <w:right w:val="none" w:sz="0" w:space="0" w:color="auto"/>
                  </w:divBdr>
                  <w:divsChild>
                    <w:div w:id="298803357">
                      <w:marLeft w:val="1170"/>
                      <w:marRight w:val="0"/>
                      <w:marTop w:val="0"/>
                      <w:marBottom w:val="0"/>
                      <w:divBdr>
                        <w:top w:val="none" w:sz="0" w:space="0" w:color="auto"/>
                        <w:left w:val="none" w:sz="0" w:space="0" w:color="auto"/>
                        <w:bottom w:val="none" w:sz="0" w:space="0" w:color="auto"/>
                        <w:right w:val="none" w:sz="0" w:space="0" w:color="auto"/>
                      </w:divBdr>
                    </w:div>
                  </w:divsChild>
                </w:div>
                <w:div w:id="10116437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97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5875460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4000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481062">
                  <w:blockQuote w:val="1"/>
                  <w:marLeft w:val="0"/>
                  <w:marRight w:val="0"/>
                  <w:marTop w:val="0"/>
                  <w:marBottom w:val="120"/>
                  <w:divBdr>
                    <w:top w:val="none" w:sz="0" w:space="0" w:color="auto"/>
                    <w:left w:val="none" w:sz="0" w:space="0" w:color="auto"/>
                    <w:bottom w:val="none" w:sz="0" w:space="0" w:color="auto"/>
                    <w:right w:val="none" w:sz="0" w:space="0" w:color="auto"/>
                  </w:divBdr>
                </w:div>
                <w:div w:id="1514109142">
                  <w:blockQuote w:val="1"/>
                  <w:marLeft w:val="0"/>
                  <w:marRight w:val="0"/>
                  <w:marTop w:val="0"/>
                  <w:marBottom w:val="120"/>
                  <w:divBdr>
                    <w:top w:val="none" w:sz="0" w:space="0" w:color="auto"/>
                    <w:left w:val="none" w:sz="0" w:space="0" w:color="auto"/>
                    <w:bottom w:val="none" w:sz="0" w:space="0" w:color="auto"/>
                    <w:right w:val="none" w:sz="0" w:space="0" w:color="auto"/>
                  </w:divBdr>
                </w:div>
                <w:div w:id="1130637227">
                  <w:blockQuote w:val="1"/>
                  <w:marLeft w:val="0"/>
                  <w:marRight w:val="0"/>
                  <w:marTop w:val="0"/>
                  <w:marBottom w:val="120"/>
                  <w:divBdr>
                    <w:top w:val="none" w:sz="0" w:space="0" w:color="auto"/>
                    <w:left w:val="none" w:sz="0" w:space="0" w:color="auto"/>
                    <w:bottom w:val="none" w:sz="0" w:space="0" w:color="auto"/>
                    <w:right w:val="none" w:sz="0" w:space="0" w:color="auto"/>
                  </w:divBdr>
                </w:div>
                <w:div w:id="1822261165">
                  <w:blockQuote w:val="1"/>
                  <w:marLeft w:val="0"/>
                  <w:marRight w:val="0"/>
                  <w:marTop w:val="0"/>
                  <w:marBottom w:val="120"/>
                  <w:divBdr>
                    <w:top w:val="none" w:sz="0" w:space="0" w:color="auto"/>
                    <w:left w:val="none" w:sz="0" w:space="0" w:color="auto"/>
                    <w:bottom w:val="none" w:sz="0" w:space="0" w:color="auto"/>
                    <w:right w:val="none" w:sz="0" w:space="0" w:color="auto"/>
                  </w:divBdr>
                </w:div>
                <w:div w:id="1080323316">
                  <w:blockQuote w:val="1"/>
                  <w:marLeft w:val="0"/>
                  <w:marRight w:val="0"/>
                  <w:marTop w:val="0"/>
                  <w:marBottom w:val="120"/>
                  <w:divBdr>
                    <w:top w:val="none" w:sz="0" w:space="0" w:color="auto"/>
                    <w:left w:val="none" w:sz="0" w:space="0" w:color="auto"/>
                    <w:bottom w:val="none" w:sz="0" w:space="0" w:color="auto"/>
                    <w:right w:val="none" w:sz="0" w:space="0" w:color="auto"/>
                  </w:divBdr>
                </w:div>
                <w:div w:id="2039626098">
                  <w:blockQuote w:val="1"/>
                  <w:marLeft w:val="0"/>
                  <w:marRight w:val="0"/>
                  <w:marTop w:val="0"/>
                  <w:marBottom w:val="120"/>
                  <w:divBdr>
                    <w:top w:val="none" w:sz="0" w:space="0" w:color="auto"/>
                    <w:left w:val="none" w:sz="0" w:space="0" w:color="auto"/>
                    <w:bottom w:val="none" w:sz="0" w:space="0" w:color="auto"/>
                    <w:right w:val="none" w:sz="0" w:space="0" w:color="auto"/>
                  </w:divBdr>
                </w:div>
                <w:div w:id="1607031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09381641">
      <w:bodyDiv w:val="1"/>
      <w:marLeft w:val="0"/>
      <w:marRight w:val="0"/>
      <w:marTop w:val="0"/>
      <w:marBottom w:val="0"/>
      <w:divBdr>
        <w:top w:val="none" w:sz="0" w:space="0" w:color="auto"/>
        <w:left w:val="none" w:sz="0" w:space="0" w:color="auto"/>
        <w:bottom w:val="none" w:sz="0" w:space="0" w:color="auto"/>
        <w:right w:val="none" w:sz="0" w:space="0" w:color="auto"/>
      </w:divBdr>
      <w:divsChild>
        <w:div w:id="1145968411">
          <w:marLeft w:val="0"/>
          <w:marRight w:val="0"/>
          <w:marTop w:val="0"/>
          <w:marBottom w:val="0"/>
          <w:divBdr>
            <w:top w:val="none" w:sz="0" w:space="0" w:color="auto"/>
            <w:left w:val="none" w:sz="0" w:space="0" w:color="auto"/>
            <w:bottom w:val="none" w:sz="0" w:space="0" w:color="auto"/>
            <w:right w:val="none" w:sz="0" w:space="0" w:color="auto"/>
          </w:divBdr>
        </w:div>
        <w:div w:id="1773822213">
          <w:marLeft w:val="0"/>
          <w:marRight w:val="0"/>
          <w:marTop w:val="0"/>
          <w:marBottom w:val="0"/>
          <w:divBdr>
            <w:top w:val="none" w:sz="0" w:space="0" w:color="auto"/>
            <w:left w:val="none" w:sz="0" w:space="0" w:color="auto"/>
            <w:bottom w:val="none" w:sz="0" w:space="0" w:color="auto"/>
            <w:right w:val="none" w:sz="0" w:space="0" w:color="auto"/>
          </w:divBdr>
        </w:div>
        <w:div w:id="1199318041">
          <w:marLeft w:val="0"/>
          <w:marRight w:val="0"/>
          <w:marTop w:val="0"/>
          <w:marBottom w:val="0"/>
          <w:divBdr>
            <w:top w:val="none" w:sz="0" w:space="0" w:color="auto"/>
            <w:left w:val="none" w:sz="0" w:space="0" w:color="auto"/>
            <w:bottom w:val="none" w:sz="0" w:space="0" w:color="auto"/>
            <w:right w:val="none" w:sz="0" w:space="0" w:color="auto"/>
          </w:divBdr>
          <w:divsChild>
            <w:div w:id="879587341">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1653176811">
      <w:bodyDiv w:val="1"/>
      <w:marLeft w:val="0"/>
      <w:marRight w:val="0"/>
      <w:marTop w:val="0"/>
      <w:marBottom w:val="0"/>
      <w:divBdr>
        <w:top w:val="none" w:sz="0" w:space="0" w:color="auto"/>
        <w:left w:val="none" w:sz="0" w:space="0" w:color="auto"/>
        <w:bottom w:val="none" w:sz="0" w:space="0" w:color="auto"/>
        <w:right w:val="none" w:sz="0" w:space="0" w:color="auto"/>
      </w:divBdr>
      <w:divsChild>
        <w:div w:id="1939823962">
          <w:marLeft w:val="0"/>
          <w:marRight w:val="0"/>
          <w:marTop w:val="0"/>
          <w:marBottom w:val="0"/>
          <w:divBdr>
            <w:top w:val="none" w:sz="0" w:space="0" w:color="auto"/>
            <w:left w:val="none" w:sz="0" w:space="0" w:color="auto"/>
            <w:bottom w:val="none" w:sz="0" w:space="0" w:color="auto"/>
            <w:right w:val="none" w:sz="0" w:space="0" w:color="auto"/>
          </w:divBdr>
          <w:divsChild>
            <w:div w:id="2052069320">
              <w:marLeft w:val="0"/>
              <w:marRight w:val="0"/>
              <w:marTop w:val="0"/>
              <w:marBottom w:val="0"/>
              <w:divBdr>
                <w:top w:val="none" w:sz="0" w:space="0" w:color="auto"/>
                <w:left w:val="none" w:sz="0" w:space="0" w:color="auto"/>
                <w:bottom w:val="none" w:sz="0" w:space="0" w:color="auto"/>
                <w:right w:val="none" w:sz="0" w:space="0" w:color="auto"/>
              </w:divBdr>
              <w:divsChild>
                <w:div w:id="1415937524">
                  <w:marLeft w:val="0"/>
                  <w:marRight w:val="0"/>
                  <w:marTop w:val="0"/>
                  <w:marBottom w:val="0"/>
                  <w:divBdr>
                    <w:top w:val="none" w:sz="0" w:space="0" w:color="auto"/>
                    <w:left w:val="none" w:sz="0" w:space="0" w:color="auto"/>
                    <w:bottom w:val="none" w:sz="0" w:space="0" w:color="auto"/>
                    <w:right w:val="none" w:sz="0" w:space="0" w:color="auto"/>
                  </w:divBdr>
                </w:div>
                <w:div w:id="4102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8656">
          <w:marLeft w:val="0"/>
          <w:marRight w:val="0"/>
          <w:marTop w:val="0"/>
          <w:marBottom w:val="0"/>
          <w:divBdr>
            <w:top w:val="none" w:sz="0" w:space="0" w:color="auto"/>
            <w:left w:val="none" w:sz="0" w:space="0" w:color="auto"/>
            <w:bottom w:val="none" w:sz="0" w:space="0" w:color="auto"/>
            <w:right w:val="none" w:sz="0" w:space="0" w:color="auto"/>
          </w:divBdr>
          <w:divsChild>
            <w:div w:id="939869847">
              <w:marLeft w:val="0"/>
              <w:marRight w:val="0"/>
              <w:marTop w:val="0"/>
              <w:marBottom w:val="0"/>
              <w:divBdr>
                <w:top w:val="none" w:sz="0" w:space="0" w:color="auto"/>
                <w:left w:val="none" w:sz="0" w:space="0" w:color="auto"/>
                <w:bottom w:val="none" w:sz="0" w:space="0" w:color="auto"/>
                <w:right w:val="none" w:sz="0" w:space="0" w:color="auto"/>
              </w:divBdr>
              <w:divsChild>
                <w:div w:id="1355502009">
                  <w:marLeft w:val="0"/>
                  <w:marRight w:val="0"/>
                  <w:marTop w:val="0"/>
                  <w:marBottom w:val="0"/>
                  <w:divBdr>
                    <w:top w:val="none" w:sz="0" w:space="0" w:color="auto"/>
                    <w:left w:val="none" w:sz="0" w:space="0" w:color="auto"/>
                    <w:bottom w:val="none" w:sz="0" w:space="0" w:color="auto"/>
                    <w:right w:val="none" w:sz="0" w:space="0" w:color="auto"/>
                  </w:divBdr>
                  <w:divsChild>
                    <w:div w:id="1826890737">
                      <w:marLeft w:val="0"/>
                      <w:marRight w:val="0"/>
                      <w:marTop w:val="0"/>
                      <w:marBottom w:val="0"/>
                      <w:divBdr>
                        <w:top w:val="none" w:sz="0" w:space="0" w:color="auto"/>
                        <w:left w:val="none" w:sz="0" w:space="0" w:color="auto"/>
                        <w:bottom w:val="none" w:sz="0" w:space="0" w:color="auto"/>
                        <w:right w:val="none" w:sz="0" w:space="0" w:color="auto"/>
                      </w:divBdr>
                      <w:divsChild>
                        <w:div w:id="1281300898">
                          <w:marLeft w:val="0"/>
                          <w:marRight w:val="0"/>
                          <w:marTop w:val="0"/>
                          <w:marBottom w:val="0"/>
                          <w:divBdr>
                            <w:top w:val="none" w:sz="0" w:space="0" w:color="auto"/>
                            <w:left w:val="none" w:sz="0" w:space="0" w:color="auto"/>
                            <w:bottom w:val="none" w:sz="0" w:space="0" w:color="auto"/>
                            <w:right w:val="none" w:sz="0" w:space="0" w:color="auto"/>
                          </w:divBdr>
                        </w:div>
                      </w:divsChild>
                    </w:div>
                    <w:div w:id="548493798">
                      <w:marLeft w:val="0"/>
                      <w:marRight w:val="0"/>
                      <w:marTop w:val="0"/>
                      <w:marBottom w:val="0"/>
                      <w:divBdr>
                        <w:top w:val="none" w:sz="0" w:space="0" w:color="auto"/>
                        <w:left w:val="none" w:sz="0" w:space="0" w:color="auto"/>
                        <w:bottom w:val="none" w:sz="0" w:space="0" w:color="auto"/>
                        <w:right w:val="none" w:sz="0" w:space="0" w:color="auto"/>
                      </w:divBdr>
                      <w:divsChild>
                        <w:div w:id="1719163948">
                          <w:marLeft w:val="0"/>
                          <w:marRight w:val="0"/>
                          <w:marTop w:val="0"/>
                          <w:marBottom w:val="0"/>
                          <w:divBdr>
                            <w:top w:val="none" w:sz="0" w:space="0" w:color="auto"/>
                            <w:left w:val="none" w:sz="0" w:space="0" w:color="auto"/>
                            <w:bottom w:val="none" w:sz="0" w:space="0" w:color="auto"/>
                            <w:right w:val="none" w:sz="0" w:space="0" w:color="auto"/>
                          </w:divBdr>
                        </w:div>
                      </w:divsChild>
                    </w:div>
                    <w:div w:id="1707873085">
                      <w:marLeft w:val="0"/>
                      <w:marRight w:val="0"/>
                      <w:marTop w:val="0"/>
                      <w:marBottom w:val="0"/>
                      <w:divBdr>
                        <w:top w:val="none" w:sz="0" w:space="0" w:color="auto"/>
                        <w:left w:val="none" w:sz="0" w:space="0" w:color="auto"/>
                        <w:bottom w:val="none" w:sz="0" w:space="0" w:color="auto"/>
                        <w:right w:val="none" w:sz="0" w:space="0" w:color="auto"/>
                      </w:divBdr>
                      <w:divsChild>
                        <w:div w:id="1697271466">
                          <w:marLeft w:val="0"/>
                          <w:marRight w:val="0"/>
                          <w:marTop w:val="0"/>
                          <w:marBottom w:val="0"/>
                          <w:divBdr>
                            <w:top w:val="none" w:sz="0" w:space="0" w:color="auto"/>
                            <w:left w:val="none" w:sz="0" w:space="0" w:color="auto"/>
                            <w:bottom w:val="none" w:sz="0" w:space="0" w:color="auto"/>
                            <w:right w:val="none" w:sz="0" w:space="0" w:color="auto"/>
                          </w:divBdr>
                        </w:div>
                      </w:divsChild>
                    </w:div>
                    <w:div w:id="548153919">
                      <w:marLeft w:val="0"/>
                      <w:marRight w:val="0"/>
                      <w:marTop w:val="0"/>
                      <w:marBottom w:val="0"/>
                      <w:divBdr>
                        <w:top w:val="none" w:sz="0" w:space="0" w:color="auto"/>
                        <w:left w:val="none" w:sz="0" w:space="0" w:color="auto"/>
                        <w:bottom w:val="none" w:sz="0" w:space="0" w:color="auto"/>
                        <w:right w:val="none" w:sz="0" w:space="0" w:color="auto"/>
                      </w:divBdr>
                      <w:divsChild>
                        <w:div w:id="13545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24995">
          <w:marLeft w:val="0"/>
          <w:marRight w:val="0"/>
          <w:marTop w:val="0"/>
          <w:marBottom w:val="0"/>
          <w:divBdr>
            <w:top w:val="none" w:sz="0" w:space="0" w:color="auto"/>
            <w:left w:val="none" w:sz="0" w:space="0" w:color="auto"/>
            <w:bottom w:val="none" w:sz="0" w:space="0" w:color="auto"/>
            <w:right w:val="none" w:sz="0" w:space="0" w:color="auto"/>
          </w:divBdr>
          <w:divsChild>
            <w:div w:id="896015289">
              <w:marLeft w:val="0"/>
              <w:marRight w:val="0"/>
              <w:marTop w:val="0"/>
              <w:marBottom w:val="0"/>
              <w:divBdr>
                <w:top w:val="none" w:sz="0" w:space="0" w:color="auto"/>
                <w:left w:val="none" w:sz="0" w:space="0" w:color="auto"/>
                <w:bottom w:val="none" w:sz="0" w:space="0" w:color="auto"/>
                <w:right w:val="none" w:sz="0" w:space="0" w:color="auto"/>
              </w:divBdr>
              <w:divsChild>
                <w:div w:id="614557832">
                  <w:marLeft w:val="0"/>
                  <w:marRight w:val="0"/>
                  <w:marTop w:val="0"/>
                  <w:marBottom w:val="0"/>
                  <w:divBdr>
                    <w:top w:val="none" w:sz="0" w:space="0" w:color="auto"/>
                    <w:left w:val="none" w:sz="0" w:space="0" w:color="auto"/>
                    <w:bottom w:val="none" w:sz="0" w:space="0" w:color="auto"/>
                    <w:right w:val="none" w:sz="0" w:space="0" w:color="auto"/>
                  </w:divBdr>
                  <w:divsChild>
                    <w:div w:id="1533227976">
                      <w:marLeft w:val="1169"/>
                      <w:marRight w:val="0"/>
                      <w:marTop w:val="0"/>
                      <w:marBottom w:val="0"/>
                      <w:divBdr>
                        <w:top w:val="none" w:sz="0" w:space="0" w:color="auto"/>
                        <w:left w:val="none" w:sz="0" w:space="0" w:color="auto"/>
                        <w:bottom w:val="none" w:sz="0" w:space="0" w:color="auto"/>
                        <w:right w:val="none" w:sz="0" w:space="0" w:color="auto"/>
                      </w:divBdr>
                    </w:div>
                  </w:divsChild>
                </w:div>
                <w:div w:id="1122961396">
                  <w:blockQuote w:val="1"/>
                  <w:marLeft w:val="720"/>
                  <w:marRight w:val="720"/>
                  <w:marTop w:val="100"/>
                  <w:marBottom w:val="100"/>
                  <w:divBdr>
                    <w:top w:val="none" w:sz="0" w:space="0" w:color="auto"/>
                    <w:left w:val="none" w:sz="0" w:space="0" w:color="auto"/>
                    <w:bottom w:val="none" w:sz="0" w:space="0" w:color="auto"/>
                    <w:right w:val="none" w:sz="0" w:space="0" w:color="auto"/>
                  </w:divBdr>
                </w:div>
                <w:div w:id="575092843">
                  <w:blockQuote w:val="1"/>
                  <w:marLeft w:val="720"/>
                  <w:marRight w:val="720"/>
                  <w:marTop w:val="100"/>
                  <w:marBottom w:val="100"/>
                  <w:divBdr>
                    <w:top w:val="none" w:sz="0" w:space="0" w:color="auto"/>
                    <w:left w:val="none" w:sz="0" w:space="0" w:color="auto"/>
                    <w:bottom w:val="none" w:sz="0" w:space="0" w:color="auto"/>
                    <w:right w:val="none" w:sz="0" w:space="0" w:color="auto"/>
                  </w:divBdr>
                </w:div>
                <w:div w:id="8847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801770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5348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189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77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794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67931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4400394">
      <w:bodyDiv w:val="1"/>
      <w:marLeft w:val="0"/>
      <w:marRight w:val="0"/>
      <w:marTop w:val="0"/>
      <w:marBottom w:val="0"/>
      <w:divBdr>
        <w:top w:val="none" w:sz="0" w:space="0" w:color="auto"/>
        <w:left w:val="none" w:sz="0" w:space="0" w:color="auto"/>
        <w:bottom w:val="none" w:sz="0" w:space="0" w:color="auto"/>
        <w:right w:val="none" w:sz="0" w:space="0" w:color="auto"/>
      </w:divBdr>
      <w:divsChild>
        <w:div w:id="524488471">
          <w:marLeft w:val="0"/>
          <w:marRight w:val="0"/>
          <w:marTop w:val="0"/>
          <w:marBottom w:val="0"/>
          <w:divBdr>
            <w:top w:val="none" w:sz="0" w:space="0" w:color="auto"/>
            <w:left w:val="none" w:sz="0" w:space="0" w:color="auto"/>
            <w:bottom w:val="none" w:sz="0" w:space="0" w:color="auto"/>
            <w:right w:val="none" w:sz="0" w:space="0" w:color="auto"/>
          </w:divBdr>
          <w:divsChild>
            <w:div w:id="1105199732">
              <w:marLeft w:val="0"/>
              <w:marRight w:val="0"/>
              <w:marTop w:val="0"/>
              <w:marBottom w:val="0"/>
              <w:divBdr>
                <w:top w:val="none" w:sz="0" w:space="0" w:color="auto"/>
                <w:left w:val="none" w:sz="0" w:space="0" w:color="auto"/>
                <w:bottom w:val="none" w:sz="0" w:space="0" w:color="auto"/>
                <w:right w:val="none" w:sz="0" w:space="0" w:color="auto"/>
              </w:divBdr>
              <w:divsChild>
                <w:div w:id="1527450362">
                  <w:marLeft w:val="0"/>
                  <w:marRight w:val="0"/>
                  <w:marTop w:val="0"/>
                  <w:marBottom w:val="0"/>
                  <w:divBdr>
                    <w:top w:val="none" w:sz="0" w:space="0" w:color="auto"/>
                    <w:left w:val="none" w:sz="0" w:space="0" w:color="auto"/>
                    <w:bottom w:val="none" w:sz="0" w:space="0" w:color="auto"/>
                    <w:right w:val="none" w:sz="0" w:space="0" w:color="auto"/>
                  </w:divBdr>
                </w:div>
                <w:div w:id="4807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1355">
          <w:marLeft w:val="0"/>
          <w:marRight w:val="0"/>
          <w:marTop w:val="0"/>
          <w:marBottom w:val="0"/>
          <w:divBdr>
            <w:top w:val="none" w:sz="0" w:space="0" w:color="auto"/>
            <w:left w:val="none" w:sz="0" w:space="0" w:color="auto"/>
            <w:bottom w:val="none" w:sz="0" w:space="0" w:color="auto"/>
            <w:right w:val="none" w:sz="0" w:space="0" w:color="auto"/>
          </w:divBdr>
          <w:divsChild>
            <w:div w:id="973870876">
              <w:marLeft w:val="0"/>
              <w:marRight w:val="0"/>
              <w:marTop w:val="0"/>
              <w:marBottom w:val="0"/>
              <w:divBdr>
                <w:top w:val="none" w:sz="0" w:space="0" w:color="auto"/>
                <w:left w:val="none" w:sz="0" w:space="0" w:color="auto"/>
                <w:bottom w:val="none" w:sz="0" w:space="0" w:color="auto"/>
                <w:right w:val="none" w:sz="0" w:space="0" w:color="auto"/>
              </w:divBdr>
              <w:divsChild>
                <w:div w:id="914242175">
                  <w:marLeft w:val="0"/>
                  <w:marRight w:val="0"/>
                  <w:marTop w:val="0"/>
                  <w:marBottom w:val="0"/>
                  <w:divBdr>
                    <w:top w:val="none" w:sz="0" w:space="0" w:color="auto"/>
                    <w:left w:val="none" w:sz="0" w:space="0" w:color="auto"/>
                    <w:bottom w:val="none" w:sz="0" w:space="0" w:color="auto"/>
                    <w:right w:val="none" w:sz="0" w:space="0" w:color="auto"/>
                  </w:divBdr>
                  <w:divsChild>
                    <w:div w:id="1707948382">
                      <w:marLeft w:val="0"/>
                      <w:marRight w:val="0"/>
                      <w:marTop w:val="0"/>
                      <w:marBottom w:val="0"/>
                      <w:divBdr>
                        <w:top w:val="none" w:sz="0" w:space="0" w:color="auto"/>
                        <w:left w:val="none" w:sz="0" w:space="0" w:color="auto"/>
                        <w:bottom w:val="none" w:sz="0" w:space="0" w:color="auto"/>
                        <w:right w:val="none" w:sz="0" w:space="0" w:color="auto"/>
                      </w:divBdr>
                      <w:divsChild>
                        <w:div w:id="1905023502">
                          <w:marLeft w:val="0"/>
                          <w:marRight w:val="0"/>
                          <w:marTop w:val="0"/>
                          <w:marBottom w:val="0"/>
                          <w:divBdr>
                            <w:top w:val="none" w:sz="0" w:space="0" w:color="auto"/>
                            <w:left w:val="none" w:sz="0" w:space="0" w:color="auto"/>
                            <w:bottom w:val="none" w:sz="0" w:space="0" w:color="auto"/>
                            <w:right w:val="none" w:sz="0" w:space="0" w:color="auto"/>
                          </w:divBdr>
                        </w:div>
                      </w:divsChild>
                    </w:div>
                    <w:div w:id="1574780561">
                      <w:marLeft w:val="0"/>
                      <w:marRight w:val="0"/>
                      <w:marTop w:val="0"/>
                      <w:marBottom w:val="0"/>
                      <w:divBdr>
                        <w:top w:val="none" w:sz="0" w:space="0" w:color="auto"/>
                        <w:left w:val="none" w:sz="0" w:space="0" w:color="auto"/>
                        <w:bottom w:val="none" w:sz="0" w:space="0" w:color="auto"/>
                        <w:right w:val="none" w:sz="0" w:space="0" w:color="auto"/>
                      </w:divBdr>
                      <w:divsChild>
                        <w:div w:id="149254248">
                          <w:marLeft w:val="0"/>
                          <w:marRight w:val="0"/>
                          <w:marTop w:val="0"/>
                          <w:marBottom w:val="0"/>
                          <w:divBdr>
                            <w:top w:val="none" w:sz="0" w:space="0" w:color="auto"/>
                            <w:left w:val="none" w:sz="0" w:space="0" w:color="auto"/>
                            <w:bottom w:val="none" w:sz="0" w:space="0" w:color="auto"/>
                            <w:right w:val="none" w:sz="0" w:space="0" w:color="auto"/>
                          </w:divBdr>
                        </w:div>
                      </w:divsChild>
                    </w:div>
                    <w:div w:id="1172140912">
                      <w:marLeft w:val="0"/>
                      <w:marRight w:val="0"/>
                      <w:marTop w:val="0"/>
                      <w:marBottom w:val="0"/>
                      <w:divBdr>
                        <w:top w:val="none" w:sz="0" w:space="0" w:color="auto"/>
                        <w:left w:val="none" w:sz="0" w:space="0" w:color="auto"/>
                        <w:bottom w:val="none" w:sz="0" w:space="0" w:color="auto"/>
                        <w:right w:val="none" w:sz="0" w:space="0" w:color="auto"/>
                      </w:divBdr>
                      <w:divsChild>
                        <w:div w:id="1239291484">
                          <w:marLeft w:val="0"/>
                          <w:marRight w:val="0"/>
                          <w:marTop w:val="0"/>
                          <w:marBottom w:val="0"/>
                          <w:divBdr>
                            <w:top w:val="none" w:sz="0" w:space="0" w:color="auto"/>
                            <w:left w:val="none" w:sz="0" w:space="0" w:color="auto"/>
                            <w:bottom w:val="none" w:sz="0" w:space="0" w:color="auto"/>
                            <w:right w:val="none" w:sz="0" w:space="0" w:color="auto"/>
                          </w:divBdr>
                        </w:div>
                      </w:divsChild>
                    </w:div>
                    <w:div w:id="1364551889">
                      <w:marLeft w:val="0"/>
                      <w:marRight w:val="0"/>
                      <w:marTop w:val="0"/>
                      <w:marBottom w:val="0"/>
                      <w:divBdr>
                        <w:top w:val="none" w:sz="0" w:space="0" w:color="auto"/>
                        <w:left w:val="none" w:sz="0" w:space="0" w:color="auto"/>
                        <w:bottom w:val="none" w:sz="0" w:space="0" w:color="auto"/>
                        <w:right w:val="none" w:sz="0" w:space="0" w:color="auto"/>
                      </w:divBdr>
                      <w:divsChild>
                        <w:div w:id="13732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576128">
          <w:marLeft w:val="0"/>
          <w:marRight w:val="0"/>
          <w:marTop w:val="0"/>
          <w:marBottom w:val="0"/>
          <w:divBdr>
            <w:top w:val="none" w:sz="0" w:space="0" w:color="auto"/>
            <w:left w:val="none" w:sz="0" w:space="0" w:color="auto"/>
            <w:bottom w:val="none" w:sz="0" w:space="0" w:color="auto"/>
            <w:right w:val="none" w:sz="0" w:space="0" w:color="auto"/>
          </w:divBdr>
          <w:divsChild>
            <w:div w:id="1848013887">
              <w:marLeft w:val="0"/>
              <w:marRight w:val="0"/>
              <w:marTop w:val="0"/>
              <w:marBottom w:val="0"/>
              <w:divBdr>
                <w:top w:val="none" w:sz="0" w:space="0" w:color="auto"/>
                <w:left w:val="none" w:sz="0" w:space="0" w:color="auto"/>
                <w:bottom w:val="none" w:sz="0" w:space="0" w:color="auto"/>
                <w:right w:val="none" w:sz="0" w:space="0" w:color="auto"/>
              </w:divBdr>
              <w:divsChild>
                <w:div w:id="782267023">
                  <w:marLeft w:val="0"/>
                  <w:marRight w:val="0"/>
                  <w:marTop w:val="0"/>
                  <w:marBottom w:val="0"/>
                  <w:divBdr>
                    <w:top w:val="none" w:sz="0" w:space="0" w:color="auto"/>
                    <w:left w:val="none" w:sz="0" w:space="0" w:color="auto"/>
                    <w:bottom w:val="none" w:sz="0" w:space="0" w:color="auto"/>
                    <w:right w:val="none" w:sz="0" w:space="0" w:color="auto"/>
                  </w:divBdr>
                  <w:divsChild>
                    <w:div w:id="761266220">
                      <w:marLeft w:val="1169"/>
                      <w:marRight w:val="0"/>
                      <w:marTop w:val="0"/>
                      <w:marBottom w:val="0"/>
                      <w:divBdr>
                        <w:top w:val="none" w:sz="0" w:space="0" w:color="auto"/>
                        <w:left w:val="none" w:sz="0" w:space="0" w:color="auto"/>
                        <w:bottom w:val="none" w:sz="0" w:space="0" w:color="auto"/>
                        <w:right w:val="none" w:sz="0" w:space="0" w:color="auto"/>
                      </w:divBdr>
                    </w:div>
                  </w:divsChild>
                </w:div>
                <w:div w:id="2003123034">
                  <w:blockQuote w:val="1"/>
                  <w:marLeft w:val="720"/>
                  <w:marRight w:val="720"/>
                  <w:marTop w:val="100"/>
                  <w:marBottom w:val="100"/>
                  <w:divBdr>
                    <w:top w:val="none" w:sz="0" w:space="0" w:color="auto"/>
                    <w:left w:val="none" w:sz="0" w:space="0" w:color="auto"/>
                    <w:bottom w:val="none" w:sz="0" w:space="0" w:color="auto"/>
                    <w:right w:val="none" w:sz="0" w:space="0" w:color="auto"/>
                  </w:divBdr>
                </w:div>
                <w:div w:id="271673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18643813">
      <w:bodyDiv w:val="1"/>
      <w:marLeft w:val="0"/>
      <w:marRight w:val="0"/>
      <w:marTop w:val="0"/>
      <w:marBottom w:val="0"/>
      <w:divBdr>
        <w:top w:val="none" w:sz="0" w:space="0" w:color="auto"/>
        <w:left w:val="none" w:sz="0" w:space="0" w:color="auto"/>
        <w:bottom w:val="none" w:sz="0" w:space="0" w:color="auto"/>
        <w:right w:val="none" w:sz="0" w:space="0" w:color="auto"/>
      </w:divBdr>
      <w:divsChild>
        <w:div w:id="1175221488">
          <w:marLeft w:val="0"/>
          <w:marRight w:val="0"/>
          <w:marTop w:val="0"/>
          <w:marBottom w:val="0"/>
          <w:divBdr>
            <w:top w:val="none" w:sz="0" w:space="0" w:color="auto"/>
            <w:left w:val="none" w:sz="0" w:space="0" w:color="auto"/>
            <w:bottom w:val="none" w:sz="0" w:space="0" w:color="auto"/>
            <w:right w:val="none" w:sz="0" w:space="0" w:color="auto"/>
          </w:divBdr>
          <w:divsChild>
            <w:div w:id="1149787671">
              <w:marLeft w:val="0"/>
              <w:marRight w:val="0"/>
              <w:marTop w:val="0"/>
              <w:marBottom w:val="0"/>
              <w:divBdr>
                <w:top w:val="none" w:sz="0" w:space="0" w:color="auto"/>
                <w:left w:val="none" w:sz="0" w:space="0" w:color="auto"/>
                <w:bottom w:val="none" w:sz="0" w:space="0" w:color="auto"/>
                <w:right w:val="none" w:sz="0" w:space="0" w:color="auto"/>
              </w:divBdr>
              <w:divsChild>
                <w:div w:id="657655834">
                  <w:marLeft w:val="0"/>
                  <w:marRight w:val="0"/>
                  <w:marTop w:val="0"/>
                  <w:marBottom w:val="0"/>
                  <w:divBdr>
                    <w:top w:val="none" w:sz="0" w:space="0" w:color="auto"/>
                    <w:left w:val="none" w:sz="0" w:space="0" w:color="auto"/>
                    <w:bottom w:val="none" w:sz="0" w:space="0" w:color="auto"/>
                    <w:right w:val="none" w:sz="0" w:space="0" w:color="auto"/>
                  </w:divBdr>
                </w:div>
                <w:div w:id="12505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5905">
          <w:marLeft w:val="0"/>
          <w:marRight w:val="0"/>
          <w:marTop w:val="0"/>
          <w:marBottom w:val="0"/>
          <w:divBdr>
            <w:top w:val="none" w:sz="0" w:space="0" w:color="auto"/>
            <w:left w:val="none" w:sz="0" w:space="0" w:color="auto"/>
            <w:bottom w:val="none" w:sz="0" w:space="0" w:color="auto"/>
            <w:right w:val="none" w:sz="0" w:space="0" w:color="auto"/>
          </w:divBdr>
          <w:divsChild>
            <w:div w:id="676545589">
              <w:marLeft w:val="0"/>
              <w:marRight w:val="0"/>
              <w:marTop w:val="0"/>
              <w:marBottom w:val="0"/>
              <w:divBdr>
                <w:top w:val="none" w:sz="0" w:space="0" w:color="auto"/>
                <w:left w:val="none" w:sz="0" w:space="0" w:color="auto"/>
                <w:bottom w:val="none" w:sz="0" w:space="0" w:color="auto"/>
                <w:right w:val="none" w:sz="0" w:space="0" w:color="auto"/>
              </w:divBdr>
              <w:divsChild>
                <w:div w:id="211694690">
                  <w:marLeft w:val="0"/>
                  <w:marRight w:val="0"/>
                  <w:marTop w:val="0"/>
                  <w:marBottom w:val="0"/>
                  <w:divBdr>
                    <w:top w:val="none" w:sz="0" w:space="0" w:color="auto"/>
                    <w:left w:val="none" w:sz="0" w:space="0" w:color="auto"/>
                    <w:bottom w:val="none" w:sz="0" w:space="0" w:color="auto"/>
                    <w:right w:val="none" w:sz="0" w:space="0" w:color="auto"/>
                  </w:divBdr>
                  <w:divsChild>
                    <w:div w:id="710765650">
                      <w:marLeft w:val="0"/>
                      <w:marRight w:val="0"/>
                      <w:marTop w:val="0"/>
                      <w:marBottom w:val="0"/>
                      <w:divBdr>
                        <w:top w:val="none" w:sz="0" w:space="0" w:color="auto"/>
                        <w:left w:val="none" w:sz="0" w:space="0" w:color="auto"/>
                        <w:bottom w:val="none" w:sz="0" w:space="0" w:color="auto"/>
                        <w:right w:val="none" w:sz="0" w:space="0" w:color="auto"/>
                      </w:divBdr>
                      <w:divsChild>
                        <w:div w:id="1480608040">
                          <w:marLeft w:val="0"/>
                          <w:marRight w:val="0"/>
                          <w:marTop w:val="0"/>
                          <w:marBottom w:val="0"/>
                          <w:divBdr>
                            <w:top w:val="none" w:sz="0" w:space="0" w:color="auto"/>
                            <w:left w:val="none" w:sz="0" w:space="0" w:color="auto"/>
                            <w:bottom w:val="none" w:sz="0" w:space="0" w:color="auto"/>
                            <w:right w:val="none" w:sz="0" w:space="0" w:color="auto"/>
                          </w:divBdr>
                        </w:div>
                      </w:divsChild>
                    </w:div>
                    <w:div w:id="77480485">
                      <w:marLeft w:val="0"/>
                      <w:marRight w:val="0"/>
                      <w:marTop w:val="0"/>
                      <w:marBottom w:val="0"/>
                      <w:divBdr>
                        <w:top w:val="none" w:sz="0" w:space="0" w:color="auto"/>
                        <w:left w:val="none" w:sz="0" w:space="0" w:color="auto"/>
                        <w:bottom w:val="none" w:sz="0" w:space="0" w:color="auto"/>
                        <w:right w:val="none" w:sz="0" w:space="0" w:color="auto"/>
                      </w:divBdr>
                      <w:divsChild>
                        <w:div w:id="126360081">
                          <w:marLeft w:val="0"/>
                          <w:marRight w:val="0"/>
                          <w:marTop w:val="0"/>
                          <w:marBottom w:val="0"/>
                          <w:divBdr>
                            <w:top w:val="none" w:sz="0" w:space="0" w:color="auto"/>
                            <w:left w:val="none" w:sz="0" w:space="0" w:color="auto"/>
                            <w:bottom w:val="none" w:sz="0" w:space="0" w:color="auto"/>
                            <w:right w:val="none" w:sz="0" w:space="0" w:color="auto"/>
                          </w:divBdr>
                        </w:div>
                      </w:divsChild>
                    </w:div>
                    <w:div w:id="2085225049">
                      <w:marLeft w:val="0"/>
                      <w:marRight w:val="0"/>
                      <w:marTop w:val="0"/>
                      <w:marBottom w:val="0"/>
                      <w:divBdr>
                        <w:top w:val="none" w:sz="0" w:space="0" w:color="auto"/>
                        <w:left w:val="none" w:sz="0" w:space="0" w:color="auto"/>
                        <w:bottom w:val="none" w:sz="0" w:space="0" w:color="auto"/>
                        <w:right w:val="none" w:sz="0" w:space="0" w:color="auto"/>
                      </w:divBdr>
                      <w:divsChild>
                        <w:div w:id="2767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071427">
          <w:marLeft w:val="0"/>
          <w:marRight w:val="0"/>
          <w:marTop w:val="0"/>
          <w:marBottom w:val="0"/>
          <w:divBdr>
            <w:top w:val="none" w:sz="0" w:space="0" w:color="auto"/>
            <w:left w:val="none" w:sz="0" w:space="0" w:color="auto"/>
            <w:bottom w:val="none" w:sz="0" w:space="0" w:color="auto"/>
            <w:right w:val="none" w:sz="0" w:space="0" w:color="auto"/>
          </w:divBdr>
          <w:divsChild>
            <w:div w:id="518158762">
              <w:marLeft w:val="0"/>
              <w:marRight w:val="0"/>
              <w:marTop w:val="0"/>
              <w:marBottom w:val="0"/>
              <w:divBdr>
                <w:top w:val="none" w:sz="0" w:space="0" w:color="auto"/>
                <w:left w:val="none" w:sz="0" w:space="0" w:color="auto"/>
                <w:bottom w:val="none" w:sz="0" w:space="0" w:color="auto"/>
                <w:right w:val="none" w:sz="0" w:space="0" w:color="auto"/>
              </w:divBdr>
              <w:divsChild>
                <w:div w:id="522282399">
                  <w:marLeft w:val="0"/>
                  <w:marRight w:val="0"/>
                  <w:marTop w:val="0"/>
                  <w:marBottom w:val="0"/>
                  <w:divBdr>
                    <w:top w:val="none" w:sz="0" w:space="0" w:color="auto"/>
                    <w:left w:val="none" w:sz="0" w:space="0" w:color="auto"/>
                    <w:bottom w:val="none" w:sz="0" w:space="0" w:color="auto"/>
                    <w:right w:val="none" w:sz="0" w:space="0" w:color="auto"/>
                  </w:divBdr>
                  <w:divsChild>
                    <w:div w:id="1092968255">
                      <w:marLeft w:val="1169"/>
                      <w:marRight w:val="0"/>
                      <w:marTop w:val="0"/>
                      <w:marBottom w:val="0"/>
                      <w:divBdr>
                        <w:top w:val="none" w:sz="0" w:space="0" w:color="auto"/>
                        <w:left w:val="none" w:sz="0" w:space="0" w:color="auto"/>
                        <w:bottom w:val="none" w:sz="0" w:space="0" w:color="auto"/>
                        <w:right w:val="none" w:sz="0" w:space="0" w:color="auto"/>
                      </w:divBdr>
                    </w:div>
                  </w:divsChild>
                </w:div>
                <w:div w:id="7855375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342035">
                  <w:blockQuote w:val="1"/>
                  <w:marLeft w:val="720"/>
                  <w:marRight w:val="720"/>
                  <w:marTop w:val="100"/>
                  <w:marBottom w:val="100"/>
                  <w:divBdr>
                    <w:top w:val="none" w:sz="0" w:space="0" w:color="auto"/>
                    <w:left w:val="none" w:sz="0" w:space="0" w:color="auto"/>
                    <w:bottom w:val="none" w:sz="0" w:space="0" w:color="auto"/>
                    <w:right w:val="none" w:sz="0" w:space="0" w:color="auto"/>
                  </w:divBdr>
                </w:div>
                <w:div w:id="39718918">
                  <w:blockQuote w:val="1"/>
                  <w:marLeft w:val="720"/>
                  <w:marRight w:val="720"/>
                  <w:marTop w:val="100"/>
                  <w:marBottom w:val="100"/>
                  <w:divBdr>
                    <w:top w:val="none" w:sz="0" w:space="0" w:color="auto"/>
                    <w:left w:val="none" w:sz="0" w:space="0" w:color="auto"/>
                    <w:bottom w:val="none" w:sz="0" w:space="0" w:color="auto"/>
                    <w:right w:val="none" w:sz="0" w:space="0" w:color="auto"/>
                  </w:divBdr>
                </w:div>
                <w:div w:id="935141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36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05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0933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198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64981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81272">
                  <w:blockQuote w:val="1"/>
                  <w:marLeft w:val="720"/>
                  <w:marRight w:val="720"/>
                  <w:marTop w:val="100"/>
                  <w:marBottom w:val="100"/>
                  <w:divBdr>
                    <w:top w:val="none" w:sz="0" w:space="0" w:color="auto"/>
                    <w:left w:val="none" w:sz="0" w:space="0" w:color="auto"/>
                    <w:bottom w:val="none" w:sz="0" w:space="0" w:color="auto"/>
                    <w:right w:val="none" w:sz="0" w:space="0" w:color="auto"/>
                  </w:divBdr>
                </w:div>
                <w:div w:id="999699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85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768368">
                  <w:blockQuote w:val="1"/>
                  <w:marLeft w:val="720"/>
                  <w:marRight w:val="720"/>
                  <w:marTop w:val="100"/>
                  <w:marBottom w:val="100"/>
                  <w:divBdr>
                    <w:top w:val="none" w:sz="0" w:space="0" w:color="auto"/>
                    <w:left w:val="none" w:sz="0" w:space="0" w:color="auto"/>
                    <w:bottom w:val="none" w:sz="0" w:space="0" w:color="auto"/>
                    <w:right w:val="none" w:sz="0" w:space="0" w:color="auto"/>
                  </w:divBdr>
                </w:div>
                <w:div w:id="2887531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810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908473">
                  <w:blockQuote w:val="1"/>
                  <w:marLeft w:val="720"/>
                  <w:marRight w:val="720"/>
                  <w:marTop w:val="100"/>
                  <w:marBottom w:val="100"/>
                  <w:divBdr>
                    <w:top w:val="none" w:sz="0" w:space="0" w:color="auto"/>
                    <w:left w:val="none" w:sz="0" w:space="0" w:color="auto"/>
                    <w:bottom w:val="none" w:sz="0" w:space="0" w:color="auto"/>
                    <w:right w:val="none" w:sz="0" w:space="0" w:color="auto"/>
                  </w:divBdr>
                </w:div>
                <w:div w:id="470710134">
                  <w:blockQuote w:val="1"/>
                  <w:marLeft w:val="720"/>
                  <w:marRight w:val="720"/>
                  <w:marTop w:val="100"/>
                  <w:marBottom w:val="100"/>
                  <w:divBdr>
                    <w:top w:val="none" w:sz="0" w:space="0" w:color="auto"/>
                    <w:left w:val="none" w:sz="0" w:space="0" w:color="auto"/>
                    <w:bottom w:val="none" w:sz="0" w:space="0" w:color="auto"/>
                    <w:right w:val="none" w:sz="0" w:space="0" w:color="auto"/>
                  </w:divBdr>
                </w:div>
                <w:div w:id="53631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citations/?q=579%20N.E.2d%2011" TargetMode="External"/><Relationship Id="rId18" Type="http://schemas.openxmlformats.org/officeDocument/2006/relationships/hyperlink" Target="https://cite.case.law/ill-app-3d/281/832/" TargetMode="External"/><Relationship Id="rId26" Type="http://schemas.openxmlformats.org/officeDocument/2006/relationships/hyperlink" Target="https://cite.case.law/citations/?q=621%20N.E.2d%20940" TargetMode="External"/><Relationship Id="rId39" Type="http://schemas.openxmlformats.org/officeDocument/2006/relationships/hyperlink" Target="https://cite.case.law/ill-app-3d/283/421/" TargetMode="External"/><Relationship Id="rId21" Type="http://schemas.openxmlformats.org/officeDocument/2006/relationships/hyperlink" Target="https://cite.case.law/citations/?q=371%20N.E.2d%201114" TargetMode="External"/><Relationship Id="rId34" Type="http://schemas.openxmlformats.org/officeDocument/2006/relationships/hyperlink" Target="https://cite.case.law/citations/?q=658%20N.E.2d%20450" TargetMode="External"/><Relationship Id="rId7" Type="http://schemas.openxmlformats.org/officeDocument/2006/relationships/hyperlink" Target="https://cite.case.law/ill-app-3d/283/421/" TargetMode="External"/><Relationship Id="rId2" Type="http://schemas.openxmlformats.org/officeDocument/2006/relationships/styles" Target="styles.xml"/><Relationship Id="rId16" Type="http://schemas.openxmlformats.org/officeDocument/2006/relationships/hyperlink" Target="https://cite.case.law/ill-app-3d/255/1/" TargetMode="External"/><Relationship Id="rId20" Type="http://schemas.openxmlformats.org/officeDocument/2006/relationships/hyperlink" Target="https://cite.case.law/citations/?q=53%20N.E.2d%20862" TargetMode="External"/><Relationship Id="rId29" Type="http://schemas.openxmlformats.org/officeDocument/2006/relationships/hyperlink" Target="https://cite.case.law/ill-app-3d/27/103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te.case.law/ill-app-3d/27/1031/" TargetMode="External"/><Relationship Id="rId11" Type="http://schemas.openxmlformats.org/officeDocument/2006/relationships/hyperlink" Target="https://cite.case.law/ill-app-3d/283/421/" TargetMode="External"/><Relationship Id="rId24" Type="http://schemas.openxmlformats.org/officeDocument/2006/relationships/hyperlink" Target="https://cite.case.law/ill-app-3d/27/1031/" TargetMode="External"/><Relationship Id="rId32" Type="http://schemas.openxmlformats.org/officeDocument/2006/relationships/hyperlink" Target="https://cite.case.law/ill-app-3d/255/916/" TargetMode="External"/><Relationship Id="rId37" Type="http://schemas.openxmlformats.org/officeDocument/2006/relationships/hyperlink" Target="https://cite.case.law/citations/?q=607%20N.E.2d%20253" TargetMode="External"/><Relationship Id="rId40" Type="http://schemas.openxmlformats.org/officeDocument/2006/relationships/fontTable" Target="fontTable.xml"/><Relationship Id="rId5" Type="http://schemas.openxmlformats.org/officeDocument/2006/relationships/hyperlink" Target="https://cite.case.law/ill-app-3d/283/421/" TargetMode="External"/><Relationship Id="rId15" Type="http://schemas.openxmlformats.org/officeDocument/2006/relationships/hyperlink" Target="https://cite.case.law/citations/?q=466%20N.E.2d%201342" TargetMode="External"/><Relationship Id="rId23" Type="http://schemas.openxmlformats.org/officeDocument/2006/relationships/hyperlink" Target="https://cite.case.law/ill-app-3d/27/1031/" TargetMode="External"/><Relationship Id="rId28" Type="http://schemas.openxmlformats.org/officeDocument/2006/relationships/hyperlink" Target="https://cite.case.law/citations/?q=476%20N.E.2d%201378" TargetMode="External"/><Relationship Id="rId36" Type="http://schemas.openxmlformats.org/officeDocument/2006/relationships/hyperlink" Target="https://cite.case.law/citations/?q=574%20N.E.2d%20863" TargetMode="External"/><Relationship Id="rId10" Type="http://schemas.openxmlformats.org/officeDocument/2006/relationships/hyperlink" Target="https://cite.case.law/ill-app-3d/27/1031/" TargetMode="External"/><Relationship Id="rId19" Type="http://schemas.openxmlformats.org/officeDocument/2006/relationships/hyperlink" Target="https://cite.case.law/ill-app-3d/283/421/" TargetMode="External"/><Relationship Id="rId31" Type="http://schemas.openxmlformats.org/officeDocument/2006/relationships/hyperlink" Target="https://cite.case.law/citations/?q=295%20N.E.2d%2041" TargetMode="External"/><Relationship Id="rId4" Type="http://schemas.openxmlformats.org/officeDocument/2006/relationships/webSettings" Target="webSettings.xml"/><Relationship Id="rId9" Type="http://schemas.openxmlformats.org/officeDocument/2006/relationships/hyperlink" Target="https://cite.case.law/ill-app-3d/283/421/" TargetMode="External"/><Relationship Id="rId14" Type="http://schemas.openxmlformats.org/officeDocument/2006/relationships/hyperlink" Target="https://cite.case.law/citations/?q=147%20N.E.2d%20341" TargetMode="External"/><Relationship Id="rId22" Type="http://schemas.openxmlformats.org/officeDocument/2006/relationships/hyperlink" Target="https://cite.case.law/citations/?q=421%20N.E.2d%20886" TargetMode="External"/><Relationship Id="rId27" Type="http://schemas.openxmlformats.org/officeDocument/2006/relationships/hyperlink" Target="https://cite.case.law/citations/?q=520%20N.E.2d%201085" TargetMode="External"/><Relationship Id="rId30" Type="http://schemas.openxmlformats.org/officeDocument/2006/relationships/hyperlink" Target="https://cite.case.law/citations/?q=627%20N.E.2d%201265" TargetMode="External"/><Relationship Id="rId35" Type="http://schemas.openxmlformats.org/officeDocument/2006/relationships/hyperlink" Target="https://cite.case.law/ill-app-3d/27/1031/" TargetMode="External"/><Relationship Id="rId8" Type="http://schemas.openxmlformats.org/officeDocument/2006/relationships/hyperlink" Target="https://cite.case.law/ill-app-3d/27/1031/" TargetMode="External"/><Relationship Id="rId3" Type="http://schemas.openxmlformats.org/officeDocument/2006/relationships/settings" Target="settings.xml"/><Relationship Id="rId12" Type="http://schemas.openxmlformats.org/officeDocument/2006/relationships/hyperlink" Target="https://cite.case.law/citations/?q=652%20N.E.2d%201108" TargetMode="External"/><Relationship Id="rId17" Type="http://schemas.openxmlformats.org/officeDocument/2006/relationships/hyperlink" Target="https://cite.case.law/ill-app-3d/283/421/" TargetMode="External"/><Relationship Id="rId25" Type="http://schemas.openxmlformats.org/officeDocument/2006/relationships/hyperlink" Target="https://cite.case.law/citations/?q=229%20N.E.2d%20777" TargetMode="External"/><Relationship Id="rId33" Type="http://schemas.openxmlformats.org/officeDocument/2006/relationships/hyperlink" Target="https://cite.case.law/citations/?q=560%20N.E.2d%20324" TargetMode="External"/><Relationship Id="rId38" Type="http://schemas.openxmlformats.org/officeDocument/2006/relationships/hyperlink" Target="https://cite.case.law/ill-app-3d/240/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5720</Words>
  <Characters>32609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2024-09-17T13:48:00Z</dcterms:created>
  <dcterms:modified xsi:type="dcterms:W3CDTF">2024-09-17T13:48:00Z</dcterms:modified>
</cp:coreProperties>
</file>