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48615" w14:textId="77777777" w:rsidR="00F2163A" w:rsidRDefault="00F2163A" w:rsidP="00F2163A">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Mostafa v. City of Hickory Hills, 287 Ill. App. 3d 160 (1997)</w:t>
      </w:r>
    </w:p>
    <w:p w14:paraId="03048616" w14:textId="77777777" w:rsidR="00F2163A" w:rsidRDefault="00F2163A" w:rsidP="00F2163A">
      <w:pPr>
        <w:shd w:val="clear" w:color="auto" w:fill="FFFFFF"/>
        <w:jc w:val="center"/>
        <w:rPr>
          <w:color w:val="2F2F2F"/>
          <w:spacing w:val="3"/>
          <w:sz w:val="24"/>
          <w:szCs w:val="24"/>
        </w:rPr>
      </w:pPr>
      <w:r>
        <w:rPr>
          <w:rStyle w:val="decision-date"/>
          <w:color w:val="2F2F2F"/>
          <w:spacing w:val="3"/>
        </w:rPr>
        <w:t>Feb. 28, 1997</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Nos. 1—95—3738, 1—95—3787 cons.</w:t>
      </w:r>
    </w:p>
    <w:p w14:paraId="03048617" w14:textId="77777777" w:rsidR="00F2163A" w:rsidRDefault="00F2163A" w:rsidP="00F2163A">
      <w:pPr>
        <w:shd w:val="clear" w:color="auto" w:fill="FFFFFF"/>
        <w:spacing w:line="480" w:lineRule="atLeast"/>
        <w:jc w:val="center"/>
        <w:rPr>
          <w:color w:val="2F2F2F"/>
          <w:spacing w:val="3"/>
        </w:rPr>
      </w:pPr>
      <w:r>
        <w:rPr>
          <w:color w:val="2F2F2F"/>
          <w:spacing w:val="3"/>
        </w:rPr>
        <w:t>287 Ill. App. 3d 160</w:t>
      </w:r>
    </w:p>
    <w:p w14:paraId="03048618" w14:textId="77777777" w:rsidR="00F2163A" w:rsidRDefault="006D72FE" w:rsidP="00F2163A">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3048668">
          <v:rect id="_x0000_i1025" style="width:243.05pt;height:0" o:hrpct="0" o:hralign="center" o:hrstd="t" o:hr="t" fillcolor="#a0a0a0" stroked="f"/>
        </w:pict>
      </w:r>
    </w:p>
    <w:p w14:paraId="03048619" w14:textId="77777777" w:rsidR="00F2163A" w:rsidRDefault="00F2163A" w:rsidP="00F2163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304861A" w14:textId="48C337EF" w:rsidR="00F2163A" w:rsidRDefault="00F2163A" w:rsidP="00F2163A">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6D72FE">
        <w:rPr>
          <w:rFonts w:ascii="Arial" w:hAnsi="Arial" w:cs="Arial"/>
          <w:spacing w:val="3"/>
          <w:sz w:val="27"/>
          <w:szCs w:val="27"/>
        </w:rPr>
        <w:t>Majority</w:t>
      </w:r>
      <w:r>
        <w:rPr>
          <w:rFonts w:ascii="Arial" w:hAnsi="Arial" w:cs="Arial"/>
          <w:color w:val="2F2F2F"/>
          <w:spacing w:val="3"/>
          <w:sz w:val="27"/>
          <w:szCs w:val="27"/>
        </w:rPr>
        <w:t> — Presiding Justice Hartman</w:t>
      </w:r>
    </w:p>
    <w:p w14:paraId="0304861B" w14:textId="77777777" w:rsidR="00F2163A" w:rsidRDefault="00F2163A" w:rsidP="00F2163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304861C" w14:textId="77777777" w:rsidR="00F2163A" w:rsidRDefault="006D72FE" w:rsidP="00F2163A">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F2163A">
          <w:rPr>
            <w:rStyle w:val="Hyperlink"/>
            <w:rFonts w:ascii="Arial" w:hAnsi="Arial" w:cs="Arial"/>
            <w:caps/>
            <w:color w:val="0075FF"/>
            <w:spacing w:val="3"/>
            <w:bdr w:val="none" w:sz="0" w:space="0" w:color="auto" w:frame="1"/>
          </w:rPr>
          <w:t>PDF</w:t>
        </w:r>
      </w:hyperlink>
    </w:p>
    <w:p w14:paraId="0304861D" w14:textId="7EDA3D76" w:rsidR="00F2163A" w:rsidRDefault="00F2163A" w:rsidP="00F2163A">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r w:rsidRPr="006D72FE">
        <w:rPr>
          <w:rFonts w:ascii="Arial" w:hAnsi="Arial" w:cs="Arial"/>
          <w:caps/>
          <w:spacing w:val="3"/>
          <w:bdr w:val="none" w:sz="0" w:space="0" w:color="auto" w:frame="1"/>
        </w:rPr>
        <w:t>API</w:t>
      </w:r>
    </w:p>
    <w:p w14:paraId="0304861E" w14:textId="77777777" w:rsidR="00F2163A" w:rsidRDefault="00F2163A" w:rsidP="00F2163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304861F" w14:textId="77777777" w:rsidR="00F2163A" w:rsidRDefault="006D72FE" w:rsidP="00F2163A">
      <w:pPr>
        <w:shd w:val="clear" w:color="auto" w:fill="FFFFFF"/>
        <w:rPr>
          <w:rFonts w:ascii="Arial" w:hAnsi="Arial" w:cs="Arial"/>
          <w:color w:val="2F2F2F"/>
          <w:spacing w:val="3"/>
          <w:sz w:val="27"/>
          <w:szCs w:val="27"/>
        </w:rPr>
      </w:pPr>
      <w:hyperlink r:id="rId6" w:history="1">
        <w:r w:rsidR="00F2163A">
          <w:rPr>
            <w:rStyle w:val="Hyperlink"/>
            <w:rFonts w:ascii="Arial" w:hAnsi="Arial" w:cs="Arial"/>
            <w:color w:val="007BFF"/>
            <w:spacing w:val="3"/>
            <w:sz w:val="27"/>
            <w:szCs w:val="27"/>
          </w:rPr>
          <w:t>12 cases cite to this case</w:t>
        </w:r>
      </w:hyperlink>
    </w:p>
    <w:p w14:paraId="03048620" w14:textId="77777777" w:rsidR="00F2163A" w:rsidRDefault="00F2163A" w:rsidP="00F2163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3048621" w14:textId="3DB1C660" w:rsidR="00F2163A" w:rsidRDefault="00F2163A" w:rsidP="00F2163A">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6D72FE">
        <w:rPr>
          <w:rFonts w:ascii="Arial" w:hAnsi="Arial" w:cs="Arial"/>
          <w:b/>
          <w:bCs/>
          <w:caps/>
          <w:spacing w:val="3"/>
          <w:bdr w:val="none" w:sz="0" w:space="0" w:color="auto" w:frame="1"/>
        </w:rPr>
        <w:t>COURTLISTENER</w:t>
      </w:r>
    </w:p>
    <w:p w14:paraId="03048622" w14:textId="77777777" w:rsidR="00F2163A" w:rsidRDefault="006D72FE" w:rsidP="00F2163A">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3048669">
          <v:rect id="_x0000_i1026" style="width:243.05pt;height:0" o:hrpct="0" o:hralign="center" o:hrstd="t" o:hr="t" fillcolor="#a0a0a0" stroked="f"/>
        </w:pict>
      </w:r>
    </w:p>
    <w:p w14:paraId="03048623" w14:textId="77777777" w:rsidR="00F2163A" w:rsidRDefault="00F2163A" w:rsidP="00F2163A">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MAHMOUD MOSTAFA, as Special Adm'r of the Estate of Adel Mostafa, Deceased,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CITY OF HICKORY HILLS et al., Defendants-Appellees;-NAIMAH SALAMAH, as Special Adm'r of the Estate of Amgad Salamah,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CITY OF HICKORY HILLS et al., Defendants-Appellees</w:t>
      </w:r>
    </w:p>
    <w:p w14:paraId="03048624" w14:textId="77777777" w:rsidR="00F2163A" w:rsidRDefault="00F2163A" w:rsidP="00F2163A">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03048625" w14:textId="77777777" w:rsidR="00F2163A" w:rsidRDefault="006D72FE" w:rsidP="00F2163A">
      <w:pPr>
        <w:pStyle w:val="attorneys"/>
        <w:shd w:val="clear" w:color="auto" w:fill="F7F7F9"/>
        <w:spacing w:after="0" w:afterAutospacing="0"/>
        <w:rPr>
          <w:rFonts w:ascii="Georgia" w:hAnsi="Georgia" w:cs="Arial"/>
          <w:color w:val="2F2F2F"/>
          <w:spacing w:val="3"/>
          <w:sz w:val="27"/>
          <w:szCs w:val="27"/>
        </w:rPr>
      </w:pPr>
      <w:hyperlink r:id="rId7" w:anchor="p162" w:history="1">
        <w:r w:rsidR="00F2163A">
          <w:rPr>
            <w:rStyle w:val="Hyperlink"/>
            <w:rFonts w:ascii="Georgia" w:hAnsi="Georgia" w:cs="Arial"/>
            <w:i/>
            <w:iCs/>
            <w:color w:val="979797"/>
            <w:spacing w:val="3"/>
            <w:sz w:val="22"/>
            <w:szCs w:val="22"/>
          </w:rPr>
          <w:t>*162</w:t>
        </w:r>
      </w:hyperlink>
      <w:r w:rsidR="00F2163A">
        <w:rPr>
          <w:rFonts w:ascii="Georgia" w:hAnsi="Georgia" w:cs="Arial"/>
          <w:color w:val="2F2F2F"/>
          <w:spacing w:val="3"/>
          <w:sz w:val="27"/>
          <w:szCs w:val="27"/>
        </w:rPr>
        <w:t>Law Offices of Gary S. Tucker and Kane, Obbish, Propes &amp; Garippo, both of Chicago (Steven Yarosh, of counsel), for appellants.</w:t>
      </w:r>
    </w:p>
    <w:p w14:paraId="03048626" w14:textId="77777777" w:rsidR="00F2163A" w:rsidRDefault="00F2163A" w:rsidP="00F2163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Friedman &amp; Holtz, P.C., of Chicago (James D. Wascher, of counsel), for appellees.</w:t>
      </w:r>
    </w:p>
    <w:p w14:paraId="03048627" w14:textId="77777777" w:rsidR="00F2163A" w:rsidRDefault="00F2163A" w:rsidP="00F2163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HARTMAN</w:t>
      </w:r>
    </w:p>
    <w:p w14:paraId="03048628"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3048629" w14:textId="661F7E06"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yellow"/>
        </w:rPr>
        <w:t>Plaintiffs’ decedents, Adel Mostafa, age two, and Amgad Salamah, age three, fell into a man-made lagoon in a public park near a playground and drowned.</w:t>
      </w:r>
      <w:r>
        <w:rPr>
          <w:rFonts w:ascii="Georgia" w:hAnsi="Georgia" w:cs="Arial"/>
          <w:color w:val="2F2F2F"/>
          <w:spacing w:val="3"/>
          <w:sz w:val="27"/>
          <w:szCs w:val="27"/>
        </w:rPr>
        <w:t xml:space="preserve"> </w:t>
      </w:r>
      <w:r w:rsidRPr="00BA0213">
        <w:rPr>
          <w:rFonts w:ascii="Georgia" w:hAnsi="Georgia" w:cs="Arial"/>
          <w:color w:val="2F2F2F"/>
          <w:spacing w:val="3"/>
          <w:sz w:val="27"/>
          <w:szCs w:val="27"/>
          <w:highlight w:val="magenta"/>
        </w:rPr>
        <w:t xml:space="preserve">Plaintiffs filed suit against the City of Hickory Hills (City), the Hickory Hills Park District (Park District), American National Bank and </w:t>
      </w:r>
      <w:r w:rsidRPr="00BA0213">
        <w:rPr>
          <w:rFonts w:ascii="Georgia" w:hAnsi="Georgia" w:cs="Arial"/>
          <w:color w:val="2F2F2F"/>
          <w:spacing w:val="3"/>
          <w:sz w:val="27"/>
          <w:szCs w:val="27"/>
          <w:highlight w:val="magenta"/>
        </w:rPr>
        <w:lastRenderedPageBreak/>
        <w:t>Trust Company (American National Bank), which held title to their apartment building in trust, and Asghar Mohsin, the beneficiary of that trust. The circuit court granted defendants’ section 2—619(a)(9) (735 ILCS 5/2— 619(a)(9) (West 1994)) (section 2—619(a)(9)) motions to dismiss.</w:t>
      </w:r>
      <w:r>
        <w:rPr>
          <w:rFonts w:ascii="Georgia" w:hAnsi="Georgia" w:cs="Arial"/>
          <w:color w:val="2F2F2F"/>
          <w:spacing w:val="3"/>
          <w:sz w:val="27"/>
          <w:szCs w:val="27"/>
        </w:rPr>
        <w:t xml:space="preserve"> On appeal, plaintiffs argue that the City and the Park District each owed a duty under both the common law and the Local Governmental and Governmental Employees Tort Immunity Act (Tort Immunity Act) (745 ILCS 10/3—101.1 </w:t>
      </w:r>
      <w:r>
        <w:rPr>
          <w:rStyle w:val="Emphasis"/>
          <w:rFonts w:ascii="Georgia" w:hAnsi="Georgia" w:cs="Arial"/>
          <w:color w:val="2F2F2F"/>
          <w:spacing w:val="3"/>
          <w:sz w:val="27"/>
          <w:szCs w:val="27"/>
        </w:rPr>
        <w:t>et seq. </w:t>
      </w:r>
      <w:r>
        <w:rPr>
          <w:rFonts w:ascii="Georgia" w:hAnsi="Georgia" w:cs="Arial"/>
          <w:color w:val="2F2F2F"/>
          <w:spacing w:val="3"/>
          <w:sz w:val="27"/>
          <w:szCs w:val="27"/>
        </w:rPr>
        <w:t>(West 1992)) to prevent or warn against the risk of young </w:t>
      </w:r>
      <w:r w:rsidRPr="006D72FE">
        <w:rPr>
          <w:rFonts w:ascii="Georgia" w:hAnsi="Georgia" w:cs="Arial"/>
          <w:i/>
          <w:iCs/>
          <w:spacing w:val="3"/>
          <w:sz w:val="22"/>
          <w:szCs w:val="22"/>
        </w:rPr>
        <w:t>*163</w:t>
      </w:r>
      <w:r>
        <w:rPr>
          <w:rFonts w:ascii="Georgia" w:hAnsi="Georgia" w:cs="Arial"/>
          <w:color w:val="2F2F2F"/>
          <w:spacing w:val="3"/>
          <w:sz w:val="27"/>
          <w:szCs w:val="27"/>
        </w:rPr>
        <w:t>children falling into the lagoon, and their failure to do so was negligent as well as willful and wanton. Plaintiff Mahmoud Mostafa further argues that American National Bank and Mohsin owed a duty to install locks to prevent children from leaving the apartment building, and to protect children from the risk of danger posed by the lagoon in the neighboring park.</w:t>
      </w:r>
    </w:p>
    <w:p w14:paraId="0304862A"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magenta"/>
        </w:rPr>
        <w:t>The two causes of action in this consolidated case arise from the same incident.</w:t>
      </w:r>
      <w:r>
        <w:rPr>
          <w:rFonts w:ascii="Georgia" w:hAnsi="Georgia" w:cs="Arial"/>
          <w:color w:val="2F2F2F"/>
          <w:spacing w:val="3"/>
          <w:sz w:val="27"/>
          <w:szCs w:val="27"/>
        </w:rPr>
        <w:t xml:space="preserve"> </w:t>
      </w:r>
      <w:r w:rsidRPr="00BA0213">
        <w:rPr>
          <w:rFonts w:ascii="Georgia" w:hAnsi="Georgia" w:cs="Arial"/>
          <w:color w:val="2F2F2F"/>
          <w:spacing w:val="3"/>
          <w:sz w:val="27"/>
          <w:szCs w:val="27"/>
          <w:highlight w:val="yellow"/>
        </w:rPr>
        <w:t>Plaintiffs’ decedents lived with their families in the same apartment building in a complex located in Hickory Hills. Situated directly across the street from that apartment complex was publicly accessible Martin Park, which contained a small playground. A sign in the playground stated "PLAYGROUND NOT SUPER-. VISED RECOMMENDED AGES 5-12.” The man-made lagoon</w:t>
      </w:r>
      <w:r>
        <w:rPr>
          <w:rFonts w:ascii="Georgia" w:hAnsi="Georgia" w:cs="Arial"/>
          <w:color w:val="2F2F2F"/>
          <w:spacing w:val="3"/>
          <w:sz w:val="27"/>
          <w:szCs w:val="27"/>
        </w:rPr>
        <w:t xml:space="preserve">, assertedly </w:t>
      </w:r>
      <w:r w:rsidRPr="00BA0213">
        <w:rPr>
          <w:rFonts w:ascii="Georgia" w:hAnsi="Georgia" w:cs="Arial"/>
          <w:color w:val="2F2F2F"/>
          <w:spacing w:val="3"/>
          <w:sz w:val="27"/>
          <w:szCs w:val="27"/>
          <w:highlight w:val="yellow"/>
        </w:rPr>
        <w:t>filled with murky water, was located 45 feet away from the playground.</w:t>
      </w:r>
    </w:p>
    <w:p w14:paraId="0304862B"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yellow"/>
        </w:rPr>
        <w:t>On November 9, 1993, the two boys left their apartments</w:t>
      </w:r>
      <w:r>
        <w:rPr>
          <w:rFonts w:ascii="Georgia" w:hAnsi="Georgia" w:cs="Arial"/>
          <w:color w:val="2F2F2F"/>
          <w:spacing w:val="3"/>
          <w:sz w:val="27"/>
          <w:szCs w:val="27"/>
        </w:rPr>
        <w:t xml:space="preserve">, allegedly </w:t>
      </w:r>
      <w:r w:rsidRPr="00BA0213">
        <w:rPr>
          <w:rFonts w:ascii="Georgia" w:hAnsi="Georgia" w:cs="Arial"/>
          <w:color w:val="2F2F2F"/>
          <w:spacing w:val="3"/>
          <w:sz w:val="27"/>
          <w:szCs w:val="27"/>
          <w:highlight w:val="yellow"/>
        </w:rPr>
        <w:t>without the knowledge of their families, crossed the street, entered Martin Park, played in the playground until they allegedly spotted a flock of wild geese drinking water at the edge of the lagoon, ran toward the geese, began to chase them, and slipped into the lagoon and drowned.</w:t>
      </w:r>
    </w:p>
    <w:p w14:paraId="0304862C"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magenta"/>
        </w:rPr>
        <w:t>The families of Amgad and Adel filed separate complaints</w:t>
      </w:r>
      <w:r>
        <w:rPr>
          <w:rFonts w:ascii="Georgia" w:hAnsi="Georgia" w:cs="Arial"/>
          <w:color w:val="2F2F2F"/>
          <w:spacing w:val="3"/>
          <w:sz w:val="27"/>
          <w:szCs w:val="27"/>
        </w:rPr>
        <w:t>. Adel’s father, Mahmoud Mostafa, filed a nine-count wrongful death action against the City, the Park District, the Harris Trust &amp; Savings Bank (Harris Bank), which then held title to the apartment complex in trust, and Asghar Mohsin, the beneficiary of that trust. The first three counts stated claims against the City and the Park District, alleging both common law negligence and a violation of section 3 — 102(a) of the Tort Immunity Act (745 ILCS 10/3—102(a) (West 1994) (section 3—102(a))). Mostafa alleged that defendants breached their duty to prevent children from drowning in the lagoon. Counts IV, V and VI stated a claim against Harris Bank for failing to repair a lock in plaintiff’s apartment building, which would have prevented the boys from exiting the building. Counts VII, VIII and IX alleged that the City and the Park District acted willfully and wantonly in constructing a lagoon so close to a children’s playground.</w:t>
      </w:r>
    </w:p>
    <w:p w14:paraId="0304862D"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Amgad’s mother, Naimah Salamah, also filed a three-count wrongful death complaint against the City and the Park District, alleging both negligent and willful and wanton conduct. Salamah amended her complaint to include allegations against Harris Bank and Mohsin that were identical to allegations in Mostafa’s complaint, but she later voluntarily dismissed the two parties.</w:t>
      </w:r>
    </w:p>
    <w:p w14:paraId="0304862E"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magenta"/>
        </w:rPr>
        <w:t>The two claims were consolidated.</w:t>
      </w:r>
      <w:r>
        <w:rPr>
          <w:rFonts w:ascii="Georgia" w:hAnsi="Georgia" w:cs="Arial"/>
          <w:color w:val="2F2F2F"/>
          <w:spacing w:val="3"/>
          <w:sz w:val="27"/>
          <w:szCs w:val="27"/>
        </w:rPr>
        <w:t xml:space="preserve"> After the property apparently </w:t>
      </w:r>
      <w:hyperlink r:id="rId8" w:anchor="p164" w:history="1">
        <w:r>
          <w:rPr>
            <w:rStyle w:val="Hyperlink"/>
            <w:rFonts w:ascii="Georgia" w:hAnsi="Georgia" w:cs="Arial"/>
            <w:i/>
            <w:iCs/>
            <w:color w:val="979797"/>
            <w:spacing w:val="3"/>
            <w:sz w:val="22"/>
            <w:szCs w:val="22"/>
          </w:rPr>
          <w:t>*164</w:t>
        </w:r>
      </w:hyperlink>
      <w:r>
        <w:rPr>
          <w:rFonts w:ascii="Georgia" w:hAnsi="Georgia" w:cs="Arial"/>
          <w:color w:val="2F2F2F"/>
          <w:spacing w:val="3"/>
          <w:sz w:val="27"/>
          <w:szCs w:val="27"/>
        </w:rPr>
        <w:t>was transferred to a new trust and trustee, Mostafa amended his complaint to state a claim against American National Bank instead of Harris Bank.</w:t>
      </w:r>
    </w:p>
    <w:p w14:paraId="0304862F"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magenta"/>
        </w:rPr>
        <w:t>In February 1995, the Park District moved under section 2—619 to dismiss both complaints</w:t>
      </w:r>
      <w:r>
        <w:rPr>
          <w:rFonts w:ascii="Georgia" w:hAnsi="Georgia" w:cs="Arial"/>
          <w:color w:val="2F2F2F"/>
          <w:spacing w:val="3"/>
          <w:sz w:val="27"/>
          <w:szCs w:val="27"/>
        </w:rPr>
        <w:t>, asserting that it owed no duty to protect the young boys from the apparent danger of the lagoon, erect a fence around the lagoon, or erect a sign stating the depth of the water. In addition, the Park District raised as defenses sections 2—109, 2—201, 3—103, and 3—108(a) of the Tort Immunity Act, arguing that these provisions immunized it from being held liable even if the court found it owed a duty. 745 ILCS 10/2—109, 2—201, 3—103, 3—108(a) (West 1994).</w:t>
      </w:r>
    </w:p>
    <w:p w14:paraId="03048630"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Park District submitted the affidavit of its executive director, Cynthia Neal, in support of the motion, who swore that the </w:t>
      </w:r>
      <w:r w:rsidRPr="00BA0213">
        <w:rPr>
          <w:rFonts w:ascii="Georgia" w:hAnsi="Georgia" w:cs="Arial"/>
          <w:color w:val="2F2F2F"/>
          <w:spacing w:val="3"/>
          <w:sz w:val="27"/>
          <w:szCs w:val="27"/>
          <w:highlight w:val="yellow"/>
        </w:rPr>
        <w:t>Park District owned and controlled Martin Park, no one before had drowned in the lagoon since it was built in 1979-80, and signs on the property warned against allowing children to play unsupervised.</w:t>
      </w:r>
      <w:r>
        <w:rPr>
          <w:rFonts w:ascii="Georgia" w:hAnsi="Georgia" w:cs="Arial"/>
          <w:color w:val="2F2F2F"/>
          <w:spacing w:val="3"/>
          <w:sz w:val="27"/>
          <w:szCs w:val="27"/>
        </w:rPr>
        <w:t xml:space="preserve"> An exhibit attached to the affidavit included a drawing of </w:t>
      </w:r>
      <w:r w:rsidRPr="00BA0213">
        <w:rPr>
          <w:rFonts w:ascii="Georgia" w:hAnsi="Georgia" w:cs="Arial"/>
          <w:color w:val="2F2F2F"/>
          <w:spacing w:val="3"/>
          <w:sz w:val="27"/>
          <w:szCs w:val="27"/>
          <w:highlight w:val="yellow"/>
        </w:rPr>
        <w:t>Martin Park</w:t>
      </w:r>
      <w:r>
        <w:rPr>
          <w:rFonts w:ascii="Georgia" w:hAnsi="Georgia" w:cs="Arial"/>
          <w:color w:val="2F2F2F"/>
          <w:spacing w:val="3"/>
          <w:sz w:val="27"/>
          <w:szCs w:val="27"/>
        </w:rPr>
        <w:t xml:space="preserve">, which </w:t>
      </w:r>
      <w:r w:rsidRPr="00BA0213">
        <w:rPr>
          <w:rFonts w:ascii="Georgia" w:hAnsi="Georgia" w:cs="Arial"/>
          <w:color w:val="2F2F2F"/>
          <w:spacing w:val="3"/>
          <w:sz w:val="27"/>
          <w:szCs w:val="27"/>
          <w:highlight w:val="yellow"/>
        </w:rPr>
        <w:t>contained a football field, two softball fields, a playground, and the lagoon.</w:t>
      </w:r>
    </w:p>
    <w:p w14:paraId="03048631"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Salamah countered that the Park District had a common law duty to remedy the unreasonably dangerous condition it created when it built the lagoon and disputed the assertion that section 3—103(a) of the Tort Immunity Act immunized defendant from liability. She contended that the statute imposed liability on the Park District for creating a dangerous condition.</w:t>
      </w:r>
    </w:p>
    <w:p w14:paraId="03048632"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Mostafa’s response raised identical arguments relating to the Park District’s duty to repair the dangerous condition. In addition, Mostafa emphasized the young age of decedents and their inability to appreciate the dangerous nature of the lagoon. Mostafa claimed the conduct was willful and wanton and that, because the Park District failed to allege it had no liability insurance, it could not seek immunity based on its lack of insurance.</w:t>
      </w:r>
    </w:p>
    <w:p w14:paraId="03048633"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Mohsin also moved to dismiss Mostafa’s claim against him, arguing that he had no duty to protect plaintiffs’ decedents from dangers existing on neighboring property or to protect a child from the obvious dangers of water. He further claimed he had no duty to install locks that would prevent people from leaving apartment buildings.</w:t>
      </w:r>
    </w:p>
    <w:p w14:paraId="03048634" w14:textId="6EE9AA55"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magenta"/>
        </w:rPr>
        <w:t>The circuit court granted the Park District’s motion to dismiss, finding that Illinois law did not impose a duty on the Park District because the dangerous nature of the lagoon was open and obvious to the children. The court granted plaintiffs leave to file amended </w:t>
      </w:r>
      <w:r w:rsidRPr="006D72FE">
        <w:rPr>
          <w:rFonts w:ascii="Georgia" w:hAnsi="Georgia" w:cs="Arial"/>
          <w:i/>
          <w:iCs/>
          <w:spacing w:val="3"/>
          <w:sz w:val="22"/>
          <w:szCs w:val="22"/>
          <w:highlight w:val="magenta"/>
        </w:rPr>
        <w:t>*165</w:t>
      </w:r>
      <w:r w:rsidRPr="00BA0213">
        <w:rPr>
          <w:rFonts w:ascii="Georgia" w:hAnsi="Georgia" w:cs="Arial"/>
          <w:color w:val="2F2F2F"/>
          <w:spacing w:val="3"/>
          <w:sz w:val="27"/>
          <w:szCs w:val="27"/>
          <w:highlight w:val="magenta"/>
        </w:rPr>
        <w:t>complaints, which they did.</w:t>
      </w:r>
      <w:r>
        <w:rPr>
          <w:rFonts w:ascii="Georgia" w:hAnsi="Georgia" w:cs="Arial"/>
          <w:color w:val="2F2F2F"/>
          <w:spacing w:val="3"/>
          <w:sz w:val="27"/>
          <w:szCs w:val="27"/>
        </w:rPr>
        <w:t xml:space="preserve"> Plaintiffs’ separate second amended complaints contained substantially similar allegations. </w:t>
      </w:r>
      <w:r w:rsidRPr="00BA0213">
        <w:rPr>
          <w:rFonts w:ascii="Georgia" w:hAnsi="Georgia" w:cs="Arial"/>
          <w:color w:val="2F2F2F"/>
          <w:spacing w:val="3"/>
          <w:sz w:val="27"/>
          <w:szCs w:val="27"/>
          <w:highlight w:val="magenta"/>
        </w:rPr>
        <w:t>The Park District and Mohsin again successfully moved to dismiss the two complaints. The City also successfully moved to dismiss both complaints on the basis that it did not own, possess, maintain, or control Martin Park.</w:t>
      </w:r>
    </w:p>
    <w:p w14:paraId="03048635" w14:textId="3C1B5636"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rPr>
        <w:t>A section 2—619 motion to dismiss admits all well-pleaded facts in a complaint but does not admit conclusions of law or conclusions of fact unsupported by specific allegations. The motion should be granted if, construing all documents submitted in support of the motion in the light most favorable to the nonmoving party, there exist no disputed issues of fact.</w:t>
      </w:r>
      <w:r>
        <w:rPr>
          <w:rFonts w:ascii="Georgia" w:hAnsi="Georgia" w:cs="Arial"/>
          <w:color w:val="2F2F2F"/>
          <w:spacing w:val="3"/>
          <w:sz w:val="27"/>
          <w:szCs w:val="27"/>
        </w:rPr>
        <w:t xml:space="preserve"> 735 ILCS 5/2—619 (West 1994); </w:t>
      </w:r>
      <w:r>
        <w:rPr>
          <w:rStyle w:val="Emphasis"/>
          <w:rFonts w:ascii="Georgia" w:hAnsi="Georgia" w:cs="Arial"/>
          <w:color w:val="2F2F2F"/>
          <w:spacing w:val="3"/>
          <w:sz w:val="27"/>
          <w:szCs w:val="27"/>
        </w:rPr>
        <w:t>Jackson v. Moreno, </w:t>
      </w:r>
      <w:hyperlink r:id="rId9" w:history="1">
        <w:r>
          <w:rPr>
            <w:rStyle w:val="Hyperlink"/>
            <w:rFonts w:ascii="Georgia" w:hAnsi="Georgia" w:cs="Arial"/>
            <w:color w:val="007BFF"/>
            <w:spacing w:val="3"/>
            <w:sz w:val="27"/>
            <w:szCs w:val="27"/>
          </w:rPr>
          <w:t>278 Ill. App. 3d 503</w:t>
        </w:r>
      </w:hyperlink>
      <w:r>
        <w:rPr>
          <w:rFonts w:ascii="Georgia" w:hAnsi="Georgia" w:cs="Arial"/>
          <w:color w:val="2F2F2F"/>
          <w:spacing w:val="3"/>
          <w:sz w:val="27"/>
          <w:szCs w:val="27"/>
        </w:rPr>
        <w:t>, </w:t>
      </w:r>
      <w:r w:rsidRPr="006D72FE">
        <w:rPr>
          <w:rFonts w:ascii="Georgia" w:hAnsi="Georgia" w:cs="Arial"/>
          <w:spacing w:val="3"/>
          <w:sz w:val="27"/>
          <w:szCs w:val="27"/>
        </w:rPr>
        <w:t>663 N.E.2d 27</w:t>
      </w:r>
      <w:r>
        <w:rPr>
          <w:rFonts w:ascii="Georgia" w:hAnsi="Georgia" w:cs="Arial"/>
          <w:color w:val="2F2F2F"/>
          <w:spacing w:val="3"/>
          <w:sz w:val="27"/>
          <w:szCs w:val="27"/>
        </w:rPr>
        <w:t> (1996). Appellate review of a dismissal pursuant to section 2—619 is </w:t>
      </w:r>
      <w:r>
        <w:rPr>
          <w:rStyle w:val="Emphasis"/>
          <w:rFonts w:ascii="Georgia" w:hAnsi="Georgia" w:cs="Arial"/>
          <w:color w:val="2F2F2F"/>
          <w:spacing w:val="3"/>
          <w:sz w:val="27"/>
          <w:szCs w:val="27"/>
        </w:rPr>
        <w:t>de nova. Lawson v. City of Chicago, </w:t>
      </w:r>
      <w:hyperlink r:id="rId10" w:anchor="p634" w:history="1">
        <w:r>
          <w:rPr>
            <w:rStyle w:val="Hyperlink"/>
            <w:rFonts w:ascii="Georgia" w:hAnsi="Georgia" w:cs="Arial"/>
            <w:color w:val="007BFF"/>
            <w:spacing w:val="3"/>
            <w:sz w:val="27"/>
            <w:szCs w:val="27"/>
          </w:rPr>
          <w:t>278 Ill. App. 3d 628</w:t>
        </w:r>
      </w:hyperlink>
      <w:r>
        <w:rPr>
          <w:rFonts w:ascii="Georgia" w:hAnsi="Georgia" w:cs="Arial"/>
          <w:color w:val="2F2F2F"/>
          <w:spacing w:val="3"/>
          <w:sz w:val="27"/>
          <w:szCs w:val="27"/>
        </w:rPr>
        <w:t>, 634, </w:t>
      </w:r>
      <w:r w:rsidRPr="006D72FE">
        <w:rPr>
          <w:rFonts w:ascii="Georgia" w:hAnsi="Georgia" w:cs="Arial"/>
          <w:spacing w:val="3"/>
          <w:sz w:val="27"/>
          <w:szCs w:val="27"/>
        </w:rPr>
        <w:t>662 N.E.2d 1377</w:t>
      </w:r>
      <w:r>
        <w:rPr>
          <w:rFonts w:ascii="Georgia" w:hAnsi="Georgia" w:cs="Arial"/>
          <w:color w:val="2F2F2F"/>
          <w:spacing w:val="3"/>
          <w:sz w:val="27"/>
          <w:szCs w:val="27"/>
        </w:rPr>
        <w:t> (1996); </w:t>
      </w:r>
      <w:r>
        <w:rPr>
          <w:rStyle w:val="Emphasis"/>
          <w:rFonts w:ascii="Georgia" w:hAnsi="Georgia" w:cs="Arial"/>
          <w:color w:val="2F2F2F"/>
          <w:spacing w:val="3"/>
          <w:sz w:val="27"/>
          <w:szCs w:val="27"/>
        </w:rPr>
        <w:t>Jackson, </w:t>
      </w:r>
      <w:hyperlink r:id="rId11" w:history="1">
        <w:r>
          <w:rPr>
            <w:rStyle w:val="Hyperlink"/>
            <w:rFonts w:ascii="Georgia" w:hAnsi="Georgia" w:cs="Arial"/>
            <w:i/>
            <w:iCs/>
            <w:color w:val="007BFF"/>
            <w:spacing w:val="3"/>
            <w:sz w:val="27"/>
            <w:szCs w:val="27"/>
          </w:rPr>
          <w:t>278 </w:t>
        </w:r>
      </w:hyperlink>
      <w:r w:rsidRPr="006D72FE">
        <w:rPr>
          <w:rFonts w:ascii="Georgia" w:hAnsi="Georgia" w:cs="Arial"/>
          <w:spacing w:val="3"/>
          <w:sz w:val="27"/>
          <w:szCs w:val="27"/>
        </w:rPr>
        <w:t>Ill. App. 3d at 506</w:t>
      </w:r>
      <w:r>
        <w:rPr>
          <w:rFonts w:ascii="Georgia" w:hAnsi="Georgia" w:cs="Arial"/>
          <w:color w:val="2F2F2F"/>
          <w:spacing w:val="3"/>
          <w:sz w:val="27"/>
          <w:szCs w:val="27"/>
        </w:rPr>
        <w:t>.</w:t>
      </w:r>
    </w:p>
    <w:p w14:paraId="03048636"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03048637" w14:textId="33A90B7B"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parties first dispute whether plaintiffs stated a cause of action for negligence against the Park District. A negligence claim must consist of facts demonstrating that defendant owed plaintiff a duty, which defendant breached, and plaintiff suffered injuries or damages proximately caused by the breach. </w:t>
      </w:r>
      <w:r w:rsidRPr="00BA0213">
        <w:rPr>
          <w:rStyle w:val="Emphasis"/>
          <w:rFonts w:ascii="Georgia" w:hAnsi="Georgia" w:cs="Arial"/>
          <w:color w:val="2F2F2F"/>
          <w:spacing w:val="3"/>
          <w:sz w:val="27"/>
          <w:szCs w:val="27"/>
          <w:highlight w:val="cyan"/>
        </w:rPr>
        <w:t>Rowe v. State Bank, </w:t>
      </w:r>
      <w:hyperlink r:id="rId12" w:anchor="p215" w:history="1">
        <w:r w:rsidRPr="00BA0213">
          <w:rPr>
            <w:rStyle w:val="Hyperlink"/>
            <w:rFonts w:ascii="Georgia" w:hAnsi="Georgia" w:cs="Arial"/>
            <w:color w:val="007BFF"/>
            <w:spacing w:val="3"/>
            <w:sz w:val="27"/>
            <w:szCs w:val="27"/>
            <w:highlight w:val="cyan"/>
          </w:rPr>
          <w:t>125 Ill. 2d 203</w:t>
        </w:r>
      </w:hyperlink>
      <w:r w:rsidRPr="00BA0213">
        <w:rPr>
          <w:rFonts w:ascii="Georgia" w:hAnsi="Georgia" w:cs="Arial"/>
          <w:color w:val="2F2F2F"/>
          <w:spacing w:val="3"/>
          <w:sz w:val="27"/>
          <w:szCs w:val="27"/>
          <w:highlight w:val="cyan"/>
        </w:rPr>
        <w:t>, 215, </w:t>
      </w:r>
      <w:r w:rsidRPr="006D72FE">
        <w:rPr>
          <w:rFonts w:ascii="Georgia" w:hAnsi="Georgia" w:cs="Arial"/>
          <w:spacing w:val="3"/>
          <w:sz w:val="27"/>
          <w:szCs w:val="27"/>
          <w:highlight w:val="cyan"/>
        </w:rPr>
        <w:t>531 N.E.2d 1358</w:t>
      </w:r>
      <w:r w:rsidRPr="00BA0213">
        <w:rPr>
          <w:rFonts w:ascii="Georgia" w:hAnsi="Georgia" w:cs="Arial"/>
          <w:color w:val="2F2F2F"/>
          <w:spacing w:val="3"/>
          <w:sz w:val="27"/>
          <w:szCs w:val="27"/>
          <w:highlight w:val="cyan"/>
        </w:rPr>
        <w:t> (1988); </w:t>
      </w:r>
      <w:r w:rsidRPr="00BA0213">
        <w:rPr>
          <w:rStyle w:val="Emphasis"/>
          <w:rFonts w:ascii="Georgia" w:hAnsi="Georgia" w:cs="Arial"/>
          <w:color w:val="2F2F2F"/>
          <w:spacing w:val="3"/>
          <w:sz w:val="27"/>
          <w:szCs w:val="27"/>
          <w:highlight w:val="cyan"/>
        </w:rPr>
        <w:t>Pelham v. Griesheimer, </w:t>
      </w:r>
      <w:hyperlink r:id="rId13" w:anchor="p18" w:history="1">
        <w:r w:rsidRPr="00BA0213">
          <w:rPr>
            <w:rStyle w:val="Hyperlink"/>
            <w:rFonts w:ascii="Georgia" w:hAnsi="Georgia" w:cs="Arial"/>
            <w:color w:val="007BFF"/>
            <w:spacing w:val="3"/>
            <w:sz w:val="27"/>
            <w:szCs w:val="27"/>
            <w:highlight w:val="cyan"/>
          </w:rPr>
          <w:t>92 Ill. 2d 13</w:t>
        </w:r>
      </w:hyperlink>
      <w:r w:rsidRPr="00BA0213">
        <w:rPr>
          <w:rFonts w:ascii="Georgia" w:hAnsi="Georgia" w:cs="Arial"/>
          <w:color w:val="2F2F2F"/>
          <w:spacing w:val="3"/>
          <w:sz w:val="27"/>
          <w:szCs w:val="27"/>
          <w:highlight w:val="cyan"/>
        </w:rPr>
        <w:t>, 18, </w:t>
      </w:r>
      <w:r w:rsidRPr="006D72FE">
        <w:rPr>
          <w:rFonts w:ascii="Georgia" w:hAnsi="Georgia" w:cs="Arial"/>
          <w:spacing w:val="3"/>
          <w:sz w:val="27"/>
          <w:szCs w:val="27"/>
          <w:highlight w:val="cyan"/>
        </w:rPr>
        <w:t>440 N.E.2d 96</w:t>
      </w:r>
      <w:r w:rsidRPr="00BA0213">
        <w:rPr>
          <w:rFonts w:ascii="Georgia" w:hAnsi="Georgia" w:cs="Arial"/>
          <w:color w:val="2F2F2F"/>
          <w:spacing w:val="3"/>
          <w:sz w:val="27"/>
          <w:szCs w:val="27"/>
          <w:highlight w:val="cyan"/>
        </w:rPr>
        <w:t> (1982).</w:t>
      </w:r>
      <w:r>
        <w:rPr>
          <w:rFonts w:ascii="Georgia" w:hAnsi="Georgia" w:cs="Arial"/>
          <w:color w:val="2F2F2F"/>
          <w:spacing w:val="3"/>
          <w:sz w:val="27"/>
          <w:szCs w:val="27"/>
        </w:rPr>
        <w:t xml:space="preserve"> The existence of duty is a question of law that must be decided by the court. </w:t>
      </w:r>
      <w:r w:rsidRPr="00BA0213">
        <w:rPr>
          <w:rStyle w:val="Emphasis"/>
          <w:rFonts w:ascii="Georgia" w:hAnsi="Georgia" w:cs="Arial"/>
          <w:color w:val="2F2F2F"/>
          <w:spacing w:val="3"/>
          <w:sz w:val="27"/>
          <w:szCs w:val="27"/>
          <w:highlight w:val="cyan"/>
        </w:rPr>
        <w:t>Sisk v. Williamson County, </w:t>
      </w:r>
      <w:hyperlink r:id="rId14" w:anchor="p346" w:history="1">
        <w:r w:rsidRPr="00BA0213">
          <w:rPr>
            <w:rStyle w:val="Hyperlink"/>
            <w:rFonts w:ascii="Georgia" w:hAnsi="Georgia" w:cs="Arial"/>
            <w:color w:val="007BFF"/>
            <w:spacing w:val="3"/>
            <w:sz w:val="27"/>
            <w:szCs w:val="27"/>
            <w:highlight w:val="cyan"/>
          </w:rPr>
          <w:t>167 Ill. 2d 343</w:t>
        </w:r>
      </w:hyperlink>
      <w:r w:rsidRPr="00BA0213">
        <w:rPr>
          <w:rFonts w:ascii="Georgia" w:hAnsi="Georgia" w:cs="Arial"/>
          <w:color w:val="2F2F2F"/>
          <w:spacing w:val="3"/>
          <w:sz w:val="27"/>
          <w:szCs w:val="27"/>
          <w:highlight w:val="cyan"/>
        </w:rPr>
        <w:t>, 346, </w:t>
      </w:r>
      <w:r w:rsidRPr="006D72FE">
        <w:rPr>
          <w:rFonts w:ascii="Georgia" w:hAnsi="Georgia" w:cs="Arial"/>
          <w:spacing w:val="3"/>
          <w:sz w:val="27"/>
          <w:szCs w:val="27"/>
          <w:highlight w:val="cyan"/>
        </w:rPr>
        <w:t>657 N.E.2d 903</w:t>
      </w:r>
      <w:r w:rsidRPr="00BA0213">
        <w:rPr>
          <w:rFonts w:ascii="Georgia" w:hAnsi="Georgia" w:cs="Arial"/>
          <w:color w:val="2F2F2F"/>
          <w:spacing w:val="3"/>
          <w:sz w:val="27"/>
          <w:szCs w:val="27"/>
          <w:highlight w:val="cyan"/>
        </w:rPr>
        <w:t> (1995); </w:t>
      </w:r>
      <w:r w:rsidRPr="00BA0213">
        <w:rPr>
          <w:rStyle w:val="Emphasis"/>
          <w:rFonts w:ascii="Georgia" w:hAnsi="Georgia" w:cs="Arial"/>
          <w:color w:val="2F2F2F"/>
          <w:spacing w:val="3"/>
          <w:sz w:val="27"/>
          <w:szCs w:val="27"/>
          <w:highlight w:val="cyan"/>
        </w:rPr>
        <w:t>Ward v. Kmart Corp., </w:t>
      </w:r>
      <w:hyperlink r:id="rId15" w:anchor="p140" w:history="1">
        <w:r w:rsidRPr="00BA0213">
          <w:rPr>
            <w:rStyle w:val="Hyperlink"/>
            <w:rFonts w:ascii="Georgia" w:hAnsi="Georgia" w:cs="Arial"/>
            <w:color w:val="007BFF"/>
            <w:spacing w:val="3"/>
            <w:sz w:val="27"/>
            <w:szCs w:val="27"/>
            <w:highlight w:val="cyan"/>
          </w:rPr>
          <w:t>136 Ill. 2d 132</w:t>
        </w:r>
      </w:hyperlink>
      <w:r w:rsidRPr="00BA0213">
        <w:rPr>
          <w:rFonts w:ascii="Georgia" w:hAnsi="Georgia" w:cs="Arial"/>
          <w:color w:val="2F2F2F"/>
          <w:spacing w:val="3"/>
          <w:sz w:val="27"/>
          <w:szCs w:val="27"/>
          <w:highlight w:val="cyan"/>
        </w:rPr>
        <w:t>, 140, </w:t>
      </w:r>
      <w:r w:rsidRPr="006D72FE">
        <w:rPr>
          <w:rFonts w:ascii="Georgia" w:hAnsi="Georgia" w:cs="Arial"/>
          <w:spacing w:val="3"/>
          <w:sz w:val="27"/>
          <w:szCs w:val="27"/>
          <w:highlight w:val="cyan"/>
        </w:rPr>
        <w:t>554 N.E.2d 223</w:t>
      </w:r>
      <w:r w:rsidRPr="00BA0213">
        <w:rPr>
          <w:rFonts w:ascii="Georgia" w:hAnsi="Georgia" w:cs="Arial"/>
          <w:color w:val="2F2F2F"/>
          <w:spacing w:val="3"/>
          <w:sz w:val="27"/>
          <w:szCs w:val="27"/>
          <w:highlight w:val="cyan"/>
        </w:rPr>
        <w:t> (1990).</w:t>
      </w:r>
    </w:p>
    <w:p w14:paraId="03048638"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w:t>
      </w:r>
    </w:p>
    <w:p w14:paraId="03048639" w14:textId="69604B52"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green"/>
        </w:rPr>
        <w:t>Customary rules of ordinary negligence govern the liability of owners and occupiers of land upon which a child is injured.</w:t>
      </w:r>
      <w:r>
        <w:rPr>
          <w:rFonts w:ascii="Georgia" w:hAnsi="Georgia" w:cs="Arial"/>
          <w:color w:val="2F2F2F"/>
          <w:spacing w:val="3"/>
          <w:sz w:val="27"/>
          <w:szCs w:val="27"/>
        </w:rPr>
        <w:t> </w:t>
      </w:r>
      <w:r w:rsidRPr="00BA0213">
        <w:rPr>
          <w:rStyle w:val="Emphasis"/>
          <w:rFonts w:ascii="Georgia" w:hAnsi="Georgia" w:cs="Arial"/>
          <w:color w:val="2F2F2F"/>
          <w:spacing w:val="3"/>
          <w:sz w:val="27"/>
          <w:szCs w:val="27"/>
          <w:highlight w:val="cyan"/>
        </w:rPr>
        <w:t>Mt. Zion State Bank &amp; Trust v. Consolidated Communications, Inc., </w:t>
      </w:r>
      <w:hyperlink r:id="rId16" w:anchor="p116" w:history="1">
        <w:r w:rsidRPr="00BA0213">
          <w:rPr>
            <w:rStyle w:val="Hyperlink"/>
            <w:rFonts w:ascii="Georgia" w:hAnsi="Georgia" w:cs="Arial"/>
            <w:color w:val="007BFF"/>
            <w:spacing w:val="3"/>
            <w:sz w:val="27"/>
            <w:szCs w:val="27"/>
            <w:highlight w:val="cyan"/>
          </w:rPr>
          <w:t>169 Ill. 2d 110</w:t>
        </w:r>
      </w:hyperlink>
      <w:r w:rsidRPr="00BA0213">
        <w:rPr>
          <w:rFonts w:ascii="Georgia" w:hAnsi="Georgia" w:cs="Arial"/>
          <w:color w:val="2F2F2F"/>
          <w:spacing w:val="3"/>
          <w:sz w:val="27"/>
          <w:szCs w:val="27"/>
          <w:highlight w:val="cyan"/>
        </w:rPr>
        <w:t>, 116, </w:t>
      </w:r>
      <w:r w:rsidRPr="006D72FE">
        <w:rPr>
          <w:rFonts w:ascii="Georgia" w:hAnsi="Georgia" w:cs="Arial"/>
          <w:spacing w:val="3"/>
          <w:sz w:val="27"/>
          <w:szCs w:val="27"/>
          <w:highlight w:val="cyan"/>
        </w:rPr>
        <w:t>660 N.E.2d 863</w:t>
      </w:r>
      <w:r w:rsidRPr="00BA0213">
        <w:rPr>
          <w:rFonts w:ascii="Georgia" w:hAnsi="Georgia" w:cs="Arial"/>
          <w:color w:val="2F2F2F"/>
          <w:spacing w:val="3"/>
          <w:sz w:val="27"/>
          <w:szCs w:val="27"/>
          <w:highlight w:val="cyan"/>
        </w:rPr>
        <w:t> (1995) </w:t>
      </w:r>
      <w:r w:rsidRPr="00BA0213">
        <w:rPr>
          <w:rStyle w:val="Emphasis"/>
          <w:rFonts w:ascii="Georgia" w:hAnsi="Georgia" w:cs="Arial"/>
          <w:color w:val="2F2F2F"/>
          <w:spacing w:val="3"/>
          <w:sz w:val="27"/>
          <w:szCs w:val="27"/>
          <w:highlight w:val="cyan"/>
        </w:rPr>
        <w:t>(Mt. Zion); Corcoran v. Village of Libertyville, </w:t>
      </w:r>
      <w:hyperlink r:id="rId17" w:anchor="p325" w:history="1">
        <w:r w:rsidRPr="00BA0213">
          <w:rPr>
            <w:rStyle w:val="Hyperlink"/>
            <w:rFonts w:ascii="Georgia" w:hAnsi="Georgia" w:cs="Arial"/>
            <w:color w:val="007BFF"/>
            <w:spacing w:val="3"/>
            <w:sz w:val="27"/>
            <w:szCs w:val="27"/>
            <w:highlight w:val="cyan"/>
          </w:rPr>
          <w:t>73 Ill. 2d 316</w:t>
        </w:r>
      </w:hyperlink>
      <w:r w:rsidRPr="00BA0213">
        <w:rPr>
          <w:rFonts w:ascii="Georgia" w:hAnsi="Georgia" w:cs="Arial"/>
          <w:color w:val="2F2F2F"/>
          <w:spacing w:val="3"/>
          <w:sz w:val="27"/>
          <w:szCs w:val="27"/>
          <w:highlight w:val="cyan"/>
        </w:rPr>
        <w:t>, 325, </w:t>
      </w:r>
      <w:r w:rsidRPr="006D72FE">
        <w:rPr>
          <w:rFonts w:ascii="Georgia" w:hAnsi="Georgia" w:cs="Arial"/>
          <w:spacing w:val="3"/>
          <w:sz w:val="27"/>
          <w:szCs w:val="27"/>
          <w:highlight w:val="cyan"/>
        </w:rPr>
        <w:t>383 N.E.2d 177</w:t>
      </w:r>
      <w:r w:rsidRPr="00BA0213">
        <w:rPr>
          <w:rFonts w:ascii="Georgia" w:hAnsi="Georgia" w:cs="Arial"/>
          <w:color w:val="2F2F2F"/>
          <w:spacing w:val="3"/>
          <w:sz w:val="27"/>
          <w:szCs w:val="27"/>
          <w:highlight w:val="cyan"/>
        </w:rPr>
        <w:t> (1978); </w:t>
      </w:r>
      <w:r w:rsidRPr="00BA0213">
        <w:rPr>
          <w:rStyle w:val="Emphasis"/>
          <w:rFonts w:ascii="Georgia" w:hAnsi="Georgia" w:cs="Arial"/>
          <w:color w:val="2F2F2F"/>
          <w:spacing w:val="3"/>
          <w:sz w:val="27"/>
          <w:szCs w:val="27"/>
          <w:highlight w:val="cyan"/>
        </w:rPr>
        <w:t>Kahn v. James Burton Co., </w:t>
      </w:r>
      <w:hyperlink r:id="rId18" w:anchor="p624" w:history="1">
        <w:r w:rsidRPr="00BA0213">
          <w:rPr>
            <w:rStyle w:val="Hyperlink"/>
            <w:rFonts w:ascii="Georgia" w:hAnsi="Georgia" w:cs="Arial"/>
            <w:color w:val="007BFF"/>
            <w:spacing w:val="3"/>
            <w:sz w:val="27"/>
            <w:szCs w:val="27"/>
            <w:highlight w:val="cyan"/>
          </w:rPr>
          <w:t>5 Ill. 2d 614</w:t>
        </w:r>
      </w:hyperlink>
      <w:r w:rsidRPr="00BA0213">
        <w:rPr>
          <w:rFonts w:ascii="Georgia" w:hAnsi="Georgia" w:cs="Arial"/>
          <w:color w:val="2F2F2F"/>
          <w:spacing w:val="3"/>
          <w:sz w:val="27"/>
          <w:szCs w:val="27"/>
          <w:highlight w:val="cyan"/>
        </w:rPr>
        <w:t>, 624, </w:t>
      </w:r>
      <w:r w:rsidRPr="006D72FE">
        <w:rPr>
          <w:rFonts w:ascii="Georgia" w:hAnsi="Georgia" w:cs="Arial"/>
          <w:spacing w:val="3"/>
          <w:sz w:val="27"/>
          <w:szCs w:val="27"/>
          <w:highlight w:val="cyan"/>
        </w:rPr>
        <w:t>126 N.E.2d 836</w:t>
      </w:r>
      <w:r w:rsidRPr="00BA0213">
        <w:rPr>
          <w:rFonts w:ascii="Georgia" w:hAnsi="Georgia" w:cs="Arial"/>
          <w:color w:val="2F2F2F"/>
          <w:spacing w:val="3"/>
          <w:sz w:val="27"/>
          <w:szCs w:val="27"/>
          <w:highlight w:val="cyan"/>
        </w:rPr>
        <w:t> (1955).</w:t>
      </w:r>
      <w:r>
        <w:rPr>
          <w:rFonts w:ascii="Georgia" w:hAnsi="Georgia" w:cs="Arial"/>
          <w:color w:val="2F2F2F"/>
          <w:spacing w:val="3"/>
          <w:sz w:val="27"/>
          <w:szCs w:val="27"/>
        </w:rPr>
        <w:t xml:space="preserve"> </w:t>
      </w:r>
      <w:r w:rsidRPr="00BA0213">
        <w:rPr>
          <w:rFonts w:ascii="Georgia" w:hAnsi="Georgia" w:cs="Arial"/>
          <w:color w:val="2F2F2F"/>
          <w:spacing w:val="3"/>
          <w:sz w:val="27"/>
          <w:szCs w:val="27"/>
          <w:highlight w:val="green"/>
        </w:rPr>
        <w:t>Owners and occupiers can be liable for injuries sustained by children on the land</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BA0213">
        <w:rPr>
          <w:rStyle w:val="Emphasis"/>
          <w:rFonts w:ascii="Georgia" w:hAnsi="Georgia" w:cs="Arial"/>
          <w:color w:val="2F2F2F"/>
          <w:spacing w:val="3"/>
          <w:sz w:val="27"/>
          <w:szCs w:val="27"/>
          <w:highlight w:val="cyan"/>
        </w:rPr>
        <w:t>Corcoran, </w:t>
      </w:r>
      <w:hyperlink r:id="rId19" w:anchor="p325" w:history="1">
        <w:r w:rsidRPr="00BA0213">
          <w:rPr>
            <w:rStyle w:val="Hyperlink"/>
            <w:rFonts w:ascii="Georgia" w:hAnsi="Georgia" w:cs="Arial"/>
            <w:color w:val="007BFF"/>
            <w:spacing w:val="3"/>
            <w:sz w:val="27"/>
            <w:szCs w:val="27"/>
            <w:highlight w:val="cyan"/>
          </w:rPr>
          <w:t>73 Ill. 2d at 325</w:t>
        </w:r>
      </w:hyperlink>
      <w:r w:rsidRPr="00BA0213">
        <w:rPr>
          <w:rFonts w:ascii="Georgia" w:hAnsi="Georgia" w:cs="Arial"/>
          <w:color w:val="2F2F2F"/>
          <w:spacing w:val="3"/>
          <w:sz w:val="27"/>
          <w:szCs w:val="27"/>
          <w:highlight w:val="cyan"/>
        </w:rPr>
        <w:t>; </w:t>
      </w:r>
      <w:r w:rsidRPr="00BA0213">
        <w:rPr>
          <w:rStyle w:val="Emphasis"/>
          <w:rFonts w:ascii="Georgia" w:hAnsi="Georgia" w:cs="Arial"/>
          <w:color w:val="2F2F2F"/>
          <w:spacing w:val="3"/>
          <w:sz w:val="27"/>
          <w:szCs w:val="27"/>
          <w:highlight w:val="cyan"/>
        </w:rPr>
        <w:t>Kahn, </w:t>
      </w:r>
      <w:r w:rsidRPr="006D72FE">
        <w:rPr>
          <w:rFonts w:ascii="Georgia" w:hAnsi="Georgia" w:cs="Arial"/>
          <w:spacing w:val="3"/>
          <w:sz w:val="27"/>
          <w:szCs w:val="27"/>
          <w:highlight w:val="cyan"/>
        </w:rPr>
        <w:t>5 Ill. 2d at 625</w:t>
      </w:r>
      <w:r w:rsidRPr="00BA0213">
        <w:rPr>
          <w:rFonts w:ascii="Georgia" w:hAnsi="Georgia" w:cs="Arial"/>
          <w:color w:val="2F2F2F"/>
          <w:spacing w:val="3"/>
          <w:sz w:val="27"/>
          <w:szCs w:val="27"/>
          <w:highlight w:val="cyan"/>
        </w:rPr>
        <w:t>)</w:t>
      </w:r>
      <w:r w:rsidRPr="00BA0213">
        <w:rPr>
          <w:rFonts w:ascii="Georgia" w:hAnsi="Georgia" w:cs="Arial"/>
          <w:color w:val="2F2F2F"/>
          <w:spacing w:val="3"/>
          <w:sz w:val="27"/>
          <w:szCs w:val="27"/>
        </w:rPr>
        <w:t xml:space="preserve">; </w:t>
      </w:r>
      <w:r w:rsidRPr="00BA0213">
        <w:rPr>
          <w:rFonts w:ascii="Georgia" w:hAnsi="Georgia" w:cs="Arial"/>
          <w:color w:val="2F2F2F"/>
          <w:spacing w:val="3"/>
          <w:sz w:val="27"/>
          <w:szCs w:val="27"/>
          <w:highlight w:val="green"/>
        </w:rPr>
        <w:t>however, if the dangerous condition on the land poses an obvious risk of danger that children would be expected to appreciate and avoid, the owner is under no duty to remedy the condition.</w:t>
      </w:r>
      <w:r>
        <w:rPr>
          <w:rFonts w:ascii="Georgia" w:hAnsi="Georgia" w:cs="Arial"/>
          <w:color w:val="2F2F2F"/>
          <w:spacing w:val="3"/>
          <w:sz w:val="27"/>
          <w:szCs w:val="27"/>
        </w:rPr>
        <w:t> </w:t>
      </w:r>
      <w:r w:rsidRPr="00BA0213">
        <w:rPr>
          <w:rStyle w:val="Emphasis"/>
          <w:rFonts w:ascii="Georgia" w:hAnsi="Georgia" w:cs="Arial"/>
          <w:color w:val="2F2F2F"/>
          <w:spacing w:val="3"/>
          <w:sz w:val="27"/>
          <w:szCs w:val="27"/>
          <w:highlight w:val="cyan"/>
        </w:rPr>
        <w:t>Cope v. Doe, </w:t>
      </w:r>
      <w:hyperlink r:id="rId20" w:anchor="p286" w:history="1">
        <w:r w:rsidRPr="00BA0213">
          <w:rPr>
            <w:rStyle w:val="Hyperlink"/>
            <w:rFonts w:ascii="Georgia" w:hAnsi="Georgia" w:cs="Arial"/>
            <w:color w:val="007BFF"/>
            <w:spacing w:val="3"/>
            <w:sz w:val="27"/>
            <w:szCs w:val="27"/>
            <w:highlight w:val="cyan"/>
          </w:rPr>
          <w:t>102 Ill. 2d 278</w:t>
        </w:r>
      </w:hyperlink>
      <w:r w:rsidRPr="00BA0213">
        <w:rPr>
          <w:rFonts w:ascii="Georgia" w:hAnsi="Georgia" w:cs="Arial"/>
          <w:color w:val="2F2F2F"/>
          <w:spacing w:val="3"/>
          <w:sz w:val="27"/>
          <w:szCs w:val="27"/>
          <w:highlight w:val="cyan"/>
        </w:rPr>
        <w:t>, 286, </w:t>
      </w:r>
      <w:r w:rsidRPr="006D72FE">
        <w:rPr>
          <w:rFonts w:ascii="Georgia" w:hAnsi="Georgia" w:cs="Arial"/>
          <w:spacing w:val="3"/>
          <w:sz w:val="27"/>
          <w:szCs w:val="27"/>
          <w:highlight w:val="cyan"/>
        </w:rPr>
        <w:t>464 N.E.2d 1023</w:t>
      </w:r>
      <w:r w:rsidRPr="00BA0213">
        <w:rPr>
          <w:rFonts w:ascii="Georgia" w:hAnsi="Georgia" w:cs="Arial"/>
          <w:color w:val="2F2F2F"/>
          <w:spacing w:val="3"/>
          <w:sz w:val="27"/>
          <w:szCs w:val="27"/>
          <w:highlight w:val="cyan"/>
        </w:rPr>
        <w:t> (1984) </w:t>
      </w:r>
      <w:r w:rsidRPr="00BA0213">
        <w:rPr>
          <w:rStyle w:val="Emphasis"/>
          <w:rFonts w:ascii="Georgia" w:hAnsi="Georgia" w:cs="Arial"/>
          <w:color w:val="2F2F2F"/>
          <w:spacing w:val="3"/>
          <w:sz w:val="27"/>
          <w:szCs w:val="27"/>
          <w:highlight w:val="cyan"/>
        </w:rPr>
        <w:t>(Cope),</w:t>
      </w:r>
    </w:p>
    <w:p w14:paraId="0304863A" w14:textId="1504A30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green"/>
        </w:rPr>
        <w:t>Specifically, owners or occupiers of land generally do not owe a duty to protect children from falling into bodies of water and drown</w:t>
      </w:r>
      <w:hyperlink r:id="rId21" w:anchor="p166" w:history="1">
        <w:r w:rsidRPr="00BA0213">
          <w:rPr>
            <w:rStyle w:val="Hyperlink"/>
            <w:rFonts w:ascii="Georgia" w:hAnsi="Georgia" w:cs="Arial"/>
            <w:i/>
            <w:iCs/>
            <w:color w:val="979797"/>
            <w:spacing w:val="3"/>
            <w:sz w:val="22"/>
            <w:szCs w:val="22"/>
            <w:highlight w:val="green"/>
          </w:rPr>
          <w:t>*166</w:t>
        </w:r>
      </w:hyperlink>
      <w:r w:rsidRPr="00BA0213">
        <w:rPr>
          <w:rFonts w:ascii="Georgia" w:hAnsi="Georgia" w:cs="Arial"/>
          <w:color w:val="2F2F2F"/>
          <w:spacing w:val="3"/>
          <w:sz w:val="27"/>
          <w:szCs w:val="27"/>
          <w:highlight w:val="green"/>
        </w:rPr>
        <w:t>ing or potentially drowning.</w:t>
      </w:r>
      <w:r>
        <w:rPr>
          <w:rFonts w:ascii="Georgia" w:hAnsi="Georgia" w:cs="Arial"/>
          <w:color w:val="2F2F2F"/>
          <w:spacing w:val="3"/>
          <w:sz w:val="27"/>
          <w:szCs w:val="27"/>
        </w:rPr>
        <w:t> </w:t>
      </w:r>
      <w:r w:rsidRPr="00BA0213">
        <w:rPr>
          <w:rStyle w:val="Emphasis"/>
          <w:rFonts w:ascii="Georgia" w:hAnsi="Georgia" w:cs="Arial"/>
          <w:color w:val="2F2F2F"/>
          <w:spacing w:val="3"/>
          <w:sz w:val="27"/>
          <w:szCs w:val="27"/>
          <w:highlight w:val="cyan"/>
        </w:rPr>
        <w:t>Mt. Zion, </w:t>
      </w:r>
      <w:r w:rsidRPr="006D72FE">
        <w:rPr>
          <w:rFonts w:ascii="Georgia" w:hAnsi="Georgia" w:cs="Arial"/>
          <w:spacing w:val="3"/>
          <w:sz w:val="27"/>
          <w:szCs w:val="27"/>
          <w:highlight w:val="cyan"/>
        </w:rPr>
        <w:t>169 Ill. 2d at 121</w:t>
      </w:r>
      <w:r w:rsidRPr="00BA0213">
        <w:rPr>
          <w:rFonts w:ascii="Georgia" w:hAnsi="Georgia" w:cs="Arial"/>
          <w:color w:val="2F2F2F"/>
          <w:spacing w:val="3"/>
          <w:sz w:val="27"/>
          <w:szCs w:val="27"/>
          <w:highlight w:val="cyan"/>
        </w:rPr>
        <w:t>; </w:t>
      </w:r>
      <w:r w:rsidRPr="00BA0213">
        <w:rPr>
          <w:rStyle w:val="Emphasis"/>
          <w:rFonts w:ascii="Georgia" w:hAnsi="Georgia" w:cs="Arial"/>
          <w:color w:val="2F2F2F"/>
          <w:spacing w:val="3"/>
          <w:sz w:val="27"/>
          <w:szCs w:val="27"/>
          <w:highlight w:val="cyan"/>
        </w:rPr>
        <w:t>Cope, </w:t>
      </w:r>
      <w:hyperlink r:id="rId22" w:anchor="p286" w:history="1">
        <w:r w:rsidRPr="00BA0213">
          <w:rPr>
            <w:rStyle w:val="Hyperlink"/>
            <w:rFonts w:ascii="Georgia" w:hAnsi="Georgia" w:cs="Arial"/>
            <w:color w:val="007BFF"/>
            <w:spacing w:val="3"/>
            <w:sz w:val="27"/>
            <w:szCs w:val="27"/>
            <w:highlight w:val="cyan"/>
          </w:rPr>
          <w:t>102 Ill. 2d at 289</w:t>
        </w:r>
      </w:hyperlink>
      <w:r w:rsidRPr="00BA0213">
        <w:rPr>
          <w:rFonts w:ascii="Georgia" w:hAnsi="Georgia" w:cs="Arial"/>
          <w:color w:val="2F2F2F"/>
          <w:spacing w:val="3"/>
          <w:sz w:val="27"/>
          <w:szCs w:val="27"/>
          <w:highlight w:val="cyan"/>
        </w:rPr>
        <w:t>; </w:t>
      </w:r>
      <w:r w:rsidRPr="00BA0213">
        <w:rPr>
          <w:rStyle w:val="Emphasis"/>
          <w:rFonts w:ascii="Georgia" w:hAnsi="Georgia" w:cs="Arial"/>
          <w:color w:val="2F2F2F"/>
          <w:spacing w:val="3"/>
          <w:sz w:val="27"/>
          <w:szCs w:val="27"/>
          <w:highlight w:val="cyan"/>
        </w:rPr>
        <w:t>Stevens v. Riley, </w:t>
      </w:r>
      <w:r w:rsidRPr="006D72FE">
        <w:rPr>
          <w:rFonts w:ascii="Georgia" w:hAnsi="Georgia" w:cs="Arial"/>
          <w:spacing w:val="3"/>
          <w:sz w:val="27"/>
          <w:szCs w:val="27"/>
          <w:highlight w:val="cyan"/>
        </w:rPr>
        <w:t>219 Ill. App. 3d 823</w:t>
      </w:r>
      <w:r w:rsidRPr="00BA0213">
        <w:rPr>
          <w:rFonts w:ascii="Georgia" w:hAnsi="Georgia" w:cs="Arial"/>
          <w:color w:val="2F2F2F"/>
          <w:spacing w:val="3"/>
          <w:sz w:val="27"/>
          <w:szCs w:val="27"/>
          <w:highlight w:val="cyan"/>
        </w:rPr>
        <w:t>, 830, </w:t>
      </w:r>
      <w:hyperlink r:id="rId23" w:history="1">
        <w:r w:rsidRPr="00BA0213">
          <w:rPr>
            <w:rStyle w:val="Hyperlink"/>
            <w:rFonts w:ascii="Georgia" w:hAnsi="Georgia" w:cs="Arial"/>
            <w:color w:val="007BFF"/>
            <w:spacing w:val="3"/>
            <w:sz w:val="27"/>
            <w:szCs w:val="27"/>
            <w:highlight w:val="cyan"/>
          </w:rPr>
          <w:t>580 N.E.2d 160</w:t>
        </w:r>
      </w:hyperlink>
      <w:r w:rsidRPr="00BA0213">
        <w:rPr>
          <w:rFonts w:ascii="Georgia" w:hAnsi="Georgia" w:cs="Arial"/>
          <w:color w:val="2F2F2F"/>
          <w:spacing w:val="3"/>
          <w:sz w:val="27"/>
          <w:szCs w:val="27"/>
          <w:highlight w:val="cyan"/>
        </w:rPr>
        <w:t> (1991).</w:t>
      </w:r>
      <w:r>
        <w:rPr>
          <w:rFonts w:ascii="Georgia" w:hAnsi="Georgia" w:cs="Arial"/>
          <w:color w:val="2F2F2F"/>
          <w:spacing w:val="3"/>
          <w:sz w:val="27"/>
          <w:szCs w:val="27"/>
        </w:rPr>
        <w:t xml:space="preserve"> In </w:t>
      </w:r>
      <w:r w:rsidRPr="00BA0213">
        <w:rPr>
          <w:rStyle w:val="Emphasis"/>
          <w:rFonts w:ascii="Georgia" w:hAnsi="Georgia" w:cs="Arial"/>
          <w:color w:val="2F2F2F"/>
          <w:spacing w:val="3"/>
          <w:sz w:val="27"/>
          <w:szCs w:val="27"/>
          <w:highlight w:val="cyan"/>
        </w:rPr>
        <w:t>Mt. Zion</w:t>
      </w:r>
      <w:r>
        <w:rPr>
          <w:rStyle w:val="Emphasis"/>
          <w:rFonts w:ascii="Georgia" w:hAnsi="Georgia" w:cs="Arial"/>
          <w:color w:val="2F2F2F"/>
          <w:spacing w:val="3"/>
          <w:sz w:val="27"/>
          <w:szCs w:val="27"/>
        </w:rPr>
        <w:t>, </w:t>
      </w:r>
      <w:r>
        <w:rPr>
          <w:rFonts w:ascii="Georgia" w:hAnsi="Georgia" w:cs="Arial"/>
          <w:color w:val="2F2F2F"/>
          <w:spacing w:val="3"/>
          <w:sz w:val="27"/>
          <w:szCs w:val="27"/>
        </w:rPr>
        <w:t>where a six-year-old boy almost drowned after falling into a swimming pool, the court found the pool to be an obvious danger, which defendant could reasonably expect plaintiff to appreciate and avoid, and which defendant had no duty to protect against. </w:t>
      </w:r>
      <w:r w:rsidRPr="00BA0213">
        <w:rPr>
          <w:rStyle w:val="Emphasis"/>
          <w:rFonts w:ascii="Georgia" w:hAnsi="Georgia" w:cs="Arial"/>
          <w:color w:val="2F2F2F"/>
          <w:spacing w:val="3"/>
          <w:sz w:val="27"/>
          <w:szCs w:val="27"/>
          <w:highlight w:val="cyan"/>
        </w:rPr>
        <w:t>Mt. Zion, </w:t>
      </w:r>
      <w:r w:rsidRPr="006D72FE">
        <w:rPr>
          <w:rFonts w:ascii="Georgia" w:hAnsi="Georgia" w:cs="Arial"/>
          <w:spacing w:val="3"/>
          <w:sz w:val="27"/>
          <w:szCs w:val="27"/>
          <w:highlight w:val="cyan"/>
        </w:rPr>
        <w:t>169 Ill. 2d at 120-21</w:t>
      </w:r>
      <w:r w:rsidRPr="00BA0213">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supreme court summarized the issue as follows:</w:t>
      </w:r>
    </w:p>
    <w:p w14:paraId="0304863B" w14:textId="066FCAFF" w:rsidR="00F2163A" w:rsidRDefault="00F2163A" w:rsidP="00F2163A">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issue in cases involving obvious dangers, like fire, water or height, is not whether the child does in fact understand, but rather what the possessor may reasonably expect of him. (See W. Keeton, Prosser &amp; Keeton on Torts § 59, at 407 (5th ed. 1984); 2 M. Polelle &amp; B. Ottley, Illinois Tort Law § 16.11 (2d ed. 1994).) The test is an objective one, grounded partially in the notion that parents bear the primary responsibility for the safety of their children. Stated again, where a child is permitted to be at large, beyond the watchful eye of his parent, </w:t>
      </w:r>
      <w:r>
        <w:rPr>
          <w:rStyle w:val="Emphasis"/>
          <w:rFonts w:ascii="Georgia" w:hAnsi="Georgia" w:cs="Arial"/>
          <w:color w:val="004FB3"/>
          <w:spacing w:val="3"/>
          <w:sz w:val="27"/>
          <w:szCs w:val="27"/>
        </w:rPr>
        <w:t>it is reasonable to expect </w:t>
      </w:r>
      <w:r>
        <w:rPr>
          <w:rFonts w:ascii="Georgia" w:hAnsi="Georgia" w:cs="Arial"/>
          <w:color w:val="004FB3"/>
          <w:spacing w:val="3"/>
          <w:sz w:val="27"/>
          <w:szCs w:val="27"/>
        </w:rPr>
        <w:t>that that child can appreciate certain particular dangers. See </w:t>
      </w:r>
      <w:r w:rsidRPr="00BA0213">
        <w:rPr>
          <w:rStyle w:val="Emphasis"/>
          <w:rFonts w:ascii="Georgia" w:hAnsi="Georgia" w:cs="Arial"/>
          <w:color w:val="004FB3"/>
          <w:spacing w:val="3"/>
          <w:sz w:val="27"/>
          <w:szCs w:val="27"/>
        </w:rPr>
        <w:t>Booth v. Goodyear Tire &amp; Rubber Co. </w:t>
      </w:r>
      <w:r w:rsidRPr="00BA0213">
        <w:rPr>
          <w:rFonts w:ascii="Georgia" w:hAnsi="Georgia" w:cs="Arial"/>
          <w:color w:val="004FB3"/>
          <w:spacing w:val="3"/>
          <w:sz w:val="27"/>
          <w:szCs w:val="27"/>
        </w:rPr>
        <w:t>(1992), </w:t>
      </w:r>
      <w:hyperlink r:id="rId24" w:anchor="p725" w:history="1">
        <w:r w:rsidRPr="00BA0213">
          <w:rPr>
            <w:rStyle w:val="Hyperlink"/>
            <w:rFonts w:ascii="Georgia" w:hAnsi="Georgia" w:cs="Arial"/>
            <w:color w:val="007BFF"/>
            <w:spacing w:val="3"/>
            <w:sz w:val="27"/>
            <w:szCs w:val="27"/>
          </w:rPr>
          <w:t>224 Ill. App. 3d 720</w:t>
        </w:r>
      </w:hyperlink>
      <w:r w:rsidRPr="00BA0213">
        <w:rPr>
          <w:rFonts w:ascii="Georgia" w:hAnsi="Georgia" w:cs="Arial"/>
          <w:color w:val="004FB3"/>
          <w:spacing w:val="3"/>
          <w:sz w:val="27"/>
          <w:szCs w:val="27"/>
        </w:rPr>
        <w:t>, 725</w:t>
      </w:r>
      <w:r>
        <w:rPr>
          <w:rFonts w:ascii="Georgia" w:hAnsi="Georgia" w:cs="Arial"/>
          <w:color w:val="004FB3"/>
          <w:spacing w:val="3"/>
          <w:sz w:val="27"/>
          <w:szCs w:val="27"/>
        </w:rPr>
        <w:t xml:space="preserve"> (subjective understanding not considered when risk is obvious); see also </w:t>
      </w:r>
      <w:r>
        <w:rPr>
          <w:rStyle w:val="Emphasis"/>
          <w:rFonts w:ascii="Georgia" w:hAnsi="Georgia" w:cs="Arial"/>
          <w:color w:val="004FB3"/>
          <w:spacing w:val="3"/>
          <w:sz w:val="27"/>
          <w:szCs w:val="27"/>
        </w:rPr>
        <w:t>Salinas v. Chicago Park District </w:t>
      </w:r>
      <w:r>
        <w:rPr>
          <w:rFonts w:ascii="Georgia" w:hAnsi="Georgia" w:cs="Arial"/>
          <w:color w:val="004FB3"/>
          <w:spacing w:val="3"/>
          <w:sz w:val="27"/>
          <w:szCs w:val="27"/>
        </w:rPr>
        <w:t>(1989), </w:t>
      </w:r>
      <w:r w:rsidRPr="006D72FE">
        <w:rPr>
          <w:rFonts w:ascii="Georgia" w:hAnsi="Georgia" w:cs="Arial"/>
          <w:spacing w:val="3"/>
          <w:sz w:val="27"/>
          <w:szCs w:val="27"/>
        </w:rPr>
        <w:t>189 Ill. App. 3d 55</w:t>
      </w:r>
      <w:r>
        <w:rPr>
          <w:rFonts w:ascii="Georgia" w:hAnsi="Georgia" w:cs="Arial"/>
          <w:color w:val="004FB3"/>
          <w:spacing w:val="3"/>
          <w:sz w:val="27"/>
          <w:szCs w:val="27"/>
        </w:rPr>
        <w:t>.” (Emphasis in original.) </w:t>
      </w:r>
      <w:hyperlink r:id="rId25" w:anchor="p116" w:history="1">
        <w:r>
          <w:rPr>
            <w:rStyle w:val="Hyperlink"/>
            <w:rFonts w:ascii="Georgia" w:hAnsi="Georgia" w:cs="Arial"/>
            <w:color w:val="007BFF"/>
            <w:spacing w:val="3"/>
            <w:sz w:val="27"/>
            <w:szCs w:val="27"/>
          </w:rPr>
          <w:t>169 Ill. 2d at 126-27</w:t>
        </w:r>
      </w:hyperlink>
      <w:r>
        <w:rPr>
          <w:rFonts w:ascii="Georgia" w:hAnsi="Georgia" w:cs="Arial"/>
          <w:color w:val="004FB3"/>
          <w:spacing w:val="3"/>
          <w:sz w:val="27"/>
          <w:szCs w:val="27"/>
        </w:rPr>
        <w:t>.</w:t>
      </w:r>
    </w:p>
    <w:p w14:paraId="0304863C" w14:textId="582AFB15"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Similarly, in </w:t>
      </w:r>
      <w:r w:rsidRPr="00BA0213">
        <w:rPr>
          <w:rStyle w:val="Emphasis"/>
          <w:rFonts w:ascii="Georgia" w:hAnsi="Georgia" w:cs="Arial"/>
          <w:color w:val="2F2F2F"/>
          <w:spacing w:val="3"/>
          <w:sz w:val="27"/>
          <w:szCs w:val="27"/>
          <w:highlight w:val="cyan"/>
        </w:rPr>
        <w:t>Cope</w:t>
      </w:r>
      <w:r>
        <w:rPr>
          <w:rStyle w:val="Emphasis"/>
          <w:rFonts w:ascii="Georgia" w:hAnsi="Georgia" w:cs="Arial"/>
          <w:color w:val="2F2F2F"/>
          <w:spacing w:val="3"/>
          <w:sz w:val="27"/>
          <w:szCs w:val="27"/>
        </w:rPr>
        <w:t>, </w:t>
      </w:r>
      <w:r>
        <w:rPr>
          <w:rFonts w:ascii="Georgia" w:hAnsi="Georgia" w:cs="Arial"/>
          <w:color w:val="2F2F2F"/>
          <w:spacing w:val="3"/>
          <w:sz w:val="27"/>
          <w:szCs w:val="27"/>
        </w:rPr>
        <w:t>plaintiff’s decedent, a seven-year-old boy, fell through ice that had gathered on a retention pond, which was partially frozen. The court held that despite the presence of the ice, the pond was a regular body of water that posed an obvious risk of drowning. </w:t>
      </w:r>
      <w:r w:rsidRPr="00BA0213">
        <w:rPr>
          <w:rStyle w:val="Emphasis"/>
          <w:rFonts w:ascii="Georgia" w:hAnsi="Georgia" w:cs="Arial"/>
          <w:color w:val="2F2F2F"/>
          <w:spacing w:val="3"/>
          <w:sz w:val="27"/>
          <w:szCs w:val="27"/>
          <w:highlight w:val="cyan"/>
        </w:rPr>
        <w:t>Cope, </w:t>
      </w:r>
      <w:r w:rsidRPr="006D72FE">
        <w:rPr>
          <w:rFonts w:ascii="Georgia" w:hAnsi="Georgia" w:cs="Arial"/>
          <w:spacing w:val="3"/>
          <w:sz w:val="27"/>
          <w:szCs w:val="27"/>
          <w:highlight w:val="cyan"/>
        </w:rPr>
        <w:t>102 Ill. 2d at 289</w:t>
      </w:r>
      <w:r>
        <w:rPr>
          <w:rFonts w:ascii="Georgia" w:hAnsi="Georgia" w:cs="Arial"/>
          <w:color w:val="2F2F2F"/>
          <w:spacing w:val="3"/>
          <w:sz w:val="27"/>
          <w:szCs w:val="27"/>
        </w:rPr>
        <w:t>. Likewise, in </w:t>
      </w:r>
      <w:r w:rsidRPr="00BA0213">
        <w:rPr>
          <w:rStyle w:val="Emphasis"/>
          <w:rFonts w:ascii="Georgia" w:hAnsi="Georgia" w:cs="Arial"/>
          <w:color w:val="2F2F2F"/>
          <w:spacing w:val="3"/>
          <w:sz w:val="27"/>
          <w:szCs w:val="27"/>
          <w:highlight w:val="cyan"/>
        </w:rPr>
        <w:t>Stevens</w:t>
      </w:r>
      <w:r>
        <w:rPr>
          <w:rStyle w:val="Emphasis"/>
          <w:rFonts w:ascii="Georgia" w:hAnsi="Georgia" w:cs="Arial"/>
          <w:color w:val="2F2F2F"/>
          <w:spacing w:val="3"/>
          <w:sz w:val="27"/>
          <w:szCs w:val="27"/>
        </w:rPr>
        <w:t>, </w:t>
      </w:r>
      <w:r>
        <w:rPr>
          <w:rFonts w:ascii="Georgia" w:hAnsi="Georgia" w:cs="Arial"/>
          <w:color w:val="2F2F2F"/>
          <w:spacing w:val="3"/>
          <w:sz w:val="27"/>
          <w:szCs w:val="27"/>
        </w:rPr>
        <w:t>a 17-month-old child fell in a retention pond, which the court found to be an obvious risk, although prairie grass partially obscured it from view. The court acknowledged that a toddler might not be expected to avoid the danger of drowning, but explained that an unattended child old enough to be allowed outside by its parents could be expected by the landowner to appreciate and avoid the danger. </w:t>
      </w:r>
      <w:hyperlink r:id="rId26" w:anchor="p830" w:history="1">
        <w:r w:rsidRPr="00BA0213">
          <w:rPr>
            <w:rStyle w:val="Hyperlink"/>
            <w:rFonts w:ascii="Georgia" w:hAnsi="Georgia" w:cs="Arial"/>
            <w:color w:val="007BFF"/>
            <w:spacing w:val="3"/>
            <w:sz w:val="27"/>
            <w:szCs w:val="27"/>
            <w:highlight w:val="cyan"/>
          </w:rPr>
          <w:t>219 Ill. App. 3d at 831</w:t>
        </w:r>
      </w:hyperlink>
      <w:r w:rsidRPr="00BA0213">
        <w:rPr>
          <w:rFonts w:ascii="Georgia" w:hAnsi="Georgia" w:cs="Arial"/>
          <w:color w:val="2F2F2F"/>
          <w:spacing w:val="3"/>
          <w:sz w:val="27"/>
          <w:szCs w:val="27"/>
          <w:highlight w:val="cyan"/>
        </w:rPr>
        <w:t>.</w:t>
      </w:r>
    </w:p>
    <w:p w14:paraId="0304863D"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A0213">
        <w:rPr>
          <w:rFonts w:ascii="Georgia" w:hAnsi="Georgia" w:cs="Arial"/>
          <w:color w:val="2F2F2F"/>
          <w:spacing w:val="3"/>
          <w:sz w:val="27"/>
          <w:szCs w:val="27"/>
          <w:highlight w:val="green"/>
        </w:rPr>
        <w:t>Based on these decisions, in the present case the Park District owed no common law duty to protect decedents from the lagoon.</w:t>
      </w:r>
    </w:p>
    <w:p w14:paraId="0304863E" w14:textId="4EDE762C"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plaintiffs cite </w:t>
      </w:r>
      <w:r w:rsidRPr="00BA0213">
        <w:rPr>
          <w:rStyle w:val="Emphasis"/>
          <w:rFonts w:ascii="Georgia" w:hAnsi="Georgia" w:cs="Arial"/>
          <w:color w:val="2F2F2F"/>
          <w:spacing w:val="3"/>
          <w:sz w:val="27"/>
          <w:szCs w:val="27"/>
          <w:highlight w:val="cyan"/>
        </w:rPr>
        <w:t>Henson v. Ziegler, </w:t>
      </w:r>
      <w:r w:rsidRPr="006D72FE">
        <w:rPr>
          <w:rFonts w:ascii="Georgia" w:hAnsi="Georgia" w:cs="Arial"/>
          <w:spacing w:val="3"/>
          <w:sz w:val="27"/>
          <w:szCs w:val="27"/>
          <w:highlight w:val="cyan"/>
        </w:rPr>
        <w:t>269 Ill. App. 3d 439</w:t>
      </w:r>
      <w:r w:rsidRPr="00BA0213">
        <w:rPr>
          <w:rFonts w:ascii="Georgia" w:hAnsi="Georgia" w:cs="Arial"/>
          <w:color w:val="2F2F2F"/>
          <w:spacing w:val="3"/>
          <w:sz w:val="27"/>
          <w:szCs w:val="27"/>
          <w:highlight w:val="cyan"/>
        </w:rPr>
        <w:t>, </w:t>
      </w:r>
      <w:hyperlink r:id="rId27" w:history="1">
        <w:r w:rsidRPr="00BA0213">
          <w:rPr>
            <w:rStyle w:val="Hyperlink"/>
            <w:rFonts w:ascii="Georgia" w:hAnsi="Georgia" w:cs="Arial"/>
            <w:color w:val="007BFF"/>
            <w:spacing w:val="3"/>
            <w:sz w:val="27"/>
            <w:szCs w:val="27"/>
            <w:highlight w:val="cyan"/>
          </w:rPr>
          <w:t>646 N.E.2d 643</w:t>
        </w:r>
      </w:hyperlink>
      <w:r w:rsidRPr="00BA0213">
        <w:rPr>
          <w:rFonts w:ascii="Georgia" w:hAnsi="Georgia" w:cs="Arial"/>
          <w:color w:val="2F2F2F"/>
          <w:spacing w:val="3"/>
          <w:sz w:val="27"/>
          <w:szCs w:val="27"/>
          <w:highlight w:val="cyan"/>
        </w:rPr>
        <w:t> (1995)</w:t>
      </w:r>
      <w:r>
        <w:rPr>
          <w:rFonts w:ascii="Georgia" w:hAnsi="Georgia" w:cs="Arial"/>
          <w:color w:val="2F2F2F"/>
          <w:spacing w:val="3"/>
          <w:sz w:val="27"/>
          <w:szCs w:val="27"/>
        </w:rPr>
        <w:t>, to support their position that defendants owe a duty to prevent plaintiffs’ decedent from drowning, </w:t>
      </w:r>
      <w:r w:rsidRPr="00BA0213">
        <w:rPr>
          <w:rStyle w:val="Emphasis"/>
          <w:rFonts w:ascii="Georgia" w:hAnsi="Georgia" w:cs="Arial"/>
          <w:color w:val="2F2F2F"/>
          <w:spacing w:val="3"/>
          <w:sz w:val="27"/>
          <w:szCs w:val="27"/>
          <w:highlight w:val="cyan"/>
        </w:rPr>
        <w:t>Henson</w:t>
      </w:r>
      <w:r>
        <w:rPr>
          <w:rStyle w:val="Emphasis"/>
          <w:rFonts w:ascii="Georgia" w:hAnsi="Georgia" w:cs="Arial"/>
          <w:color w:val="2F2F2F"/>
          <w:spacing w:val="3"/>
          <w:sz w:val="27"/>
          <w:szCs w:val="27"/>
        </w:rPr>
        <w:t> </w:t>
      </w:r>
      <w:r>
        <w:rPr>
          <w:rFonts w:ascii="Georgia" w:hAnsi="Georgia" w:cs="Arial"/>
          <w:color w:val="2F2F2F"/>
          <w:spacing w:val="3"/>
          <w:sz w:val="27"/>
          <w:szCs w:val="27"/>
        </w:rPr>
        <w:t>actually supports the opposite view. The court initially held that a swimming pool did not present an obvious danger to a young child (</w:t>
      </w:r>
      <w:r w:rsidRPr="006D72FE">
        <w:rPr>
          <w:rFonts w:ascii="Georgia" w:hAnsi="Georgia" w:cs="Arial"/>
          <w:spacing w:val="3"/>
          <w:sz w:val="27"/>
          <w:szCs w:val="27"/>
          <w:highlight w:val="cyan"/>
        </w:rPr>
        <w:t>269 Ill. App. 3d at 442</w:t>
      </w:r>
      <w:r>
        <w:rPr>
          <w:rFonts w:ascii="Georgia" w:hAnsi="Georgia" w:cs="Arial"/>
          <w:color w:val="2F2F2F"/>
          <w:spacing w:val="3"/>
          <w:sz w:val="27"/>
          <w:szCs w:val="27"/>
        </w:rPr>
        <w:t>), but subsequently abandoned its previous holding in light of the </w:t>
      </w:r>
      <w:r w:rsidRPr="00BA0213">
        <w:rPr>
          <w:rStyle w:val="Emphasis"/>
          <w:rFonts w:ascii="Georgia" w:hAnsi="Georgia" w:cs="Arial"/>
          <w:color w:val="2F2F2F"/>
          <w:spacing w:val="3"/>
          <w:sz w:val="27"/>
          <w:szCs w:val="27"/>
          <w:highlight w:val="cyan"/>
        </w:rPr>
        <w:t>Mt. Zion</w:t>
      </w:r>
      <w:r>
        <w:rPr>
          <w:rStyle w:val="Emphasis"/>
          <w:rFonts w:ascii="Georgia" w:hAnsi="Georgia" w:cs="Arial"/>
          <w:color w:val="2F2F2F"/>
          <w:spacing w:val="3"/>
          <w:sz w:val="27"/>
          <w:szCs w:val="27"/>
        </w:rPr>
        <w:t> </w:t>
      </w:r>
      <w:r>
        <w:rPr>
          <w:rFonts w:ascii="Georgia" w:hAnsi="Georgia" w:cs="Arial"/>
          <w:color w:val="2F2F2F"/>
          <w:spacing w:val="3"/>
          <w:sz w:val="27"/>
          <w:szCs w:val="27"/>
        </w:rPr>
        <w:t>decision. </w:t>
      </w:r>
      <w:r w:rsidRPr="00BA0213">
        <w:rPr>
          <w:rStyle w:val="Emphasis"/>
          <w:rFonts w:ascii="Georgia" w:hAnsi="Georgia" w:cs="Arial"/>
          <w:color w:val="2F2F2F"/>
          <w:spacing w:val="3"/>
          <w:sz w:val="27"/>
          <w:szCs w:val="27"/>
          <w:highlight w:val="cyan"/>
        </w:rPr>
        <w:t>Henson v. Ziegler, </w:t>
      </w:r>
      <w:hyperlink r:id="rId28" w:anchor="p1026" w:history="1">
        <w:r w:rsidRPr="00BA0213">
          <w:rPr>
            <w:rStyle w:val="Hyperlink"/>
            <w:rFonts w:ascii="Georgia" w:hAnsi="Georgia" w:cs="Arial"/>
            <w:color w:val="007BFF"/>
            <w:spacing w:val="3"/>
            <w:sz w:val="27"/>
            <w:szCs w:val="27"/>
            <w:highlight w:val="cyan"/>
          </w:rPr>
          <w:t>279 Ill. App. 3d 1025</w:t>
        </w:r>
      </w:hyperlink>
      <w:r w:rsidRPr="00BA0213">
        <w:rPr>
          <w:rFonts w:ascii="Georgia" w:hAnsi="Georgia" w:cs="Arial"/>
          <w:color w:val="2F2F2F"/>
          <w:spacing w:val="3"/>
          <w:sz w:val="27"/>
          <w:szCs w:val="27"/>
          <w:highlight w:val="cyan"/>
        </w:rPr>
        <w:t>, 1026, </w:t>
      </w:r>
      <w:r w:rsidRPr="006D72FE">
        <w:rPr>
          <w:rFonts w:ascii="Georgia" w:hAnsi="Georgia" w:cs="Arial"/>
          <w:spacing w:val="3"/>
          <w:sz w:val="27"/>
          <w:szCs w:val="27"/>
          <w:highlight w:val="cyan"/>
        </w:rPr>
        <w:t>665 N.E.2d 877</w:t>
      </w:r>
      <w:r w:rsidRPr="00BA0213">
        <w:rPr>
          <w:rFonts w:ascii="Georgia" w:hAnsi="Georgia" w:cs="Arial"/>
          <w:color w:val="2F2F2F"/>
          <w:spacing w:val="3"/>
          <w:sz w:val="27"/>
          <w:szCs w:val="27"/>
          <w:highlight w:val="cyan"/>
        </w:rPr>
        <w:t> (1996).</w:t>
      </w:r>
    </w:p>
    <w:p w14:paraId="0304863F" w14:textId="076967BA" w:rsidR="00F2163A" w:rsidRDefault="006D72FE" w:rsidP="00F2163A">
      <w:pPr>
        <w:pStyle w:val="NormalWeb"/>
        <w:shd w:val="clear" w:color="auto" w:fill="FFFFFF"/>
        <w:spacing w:after="225" w:afterAutospacing="0"/>
        <w:rPr>
          <w:rFonts w:ascii="Georgia" w:hAnsi="Georgia" w:cs="Arial"/>
          <w:color w:val="2F2F2F"/>
          <w:spacing w:val="3"/>
          <w:sz w:val="27"/>
          <w:szCs w:val="27"/>
        </w:rPr>
      </w:pPr>
      <w:hyperlink r:id="rId29" w:anchor="p167" w:history="1">
        <w:r w:rsidR="00F2163A">
          <w:rPr>
            <w:rStyle w:val="Hyperlink"/>
            <w:rFonts w:ascii="Georgia" w:hAnsi="Georgia" w:cs="Arial"/>
            <w:i/>
            <w:iCs/>
            <w:color w:val="979797"/>
            <w:spacing w:val="3"/>
            <w:sz w:val="22"/>
            <w:szCs w:val="22"/>
          </w:rPr>
          <w:t>*167</w:t>
        </w:r>
      </w:hyperlink>
      <w:r w:rsidR="00F2163A">
        <w:rPr>
          <w:rFonts w:ascii="Georgia" w:hAnsi="Georgia" w:cs="Arial"/>
          <w:color w:val="2F2F2F"/>
          <w:spacing w:val="3"/>
          <w:sz w:val="27"/>
          <w:szCs w:val="27"/>
        </w:rPr>
        <w:t>Under some circumstances, owners and occupiers may have a duty to protect against open and obvious dangers if it is reasonably foreseeable that a party might become distracted and fail to appreciate the dangerous condition despite the exercise of reasonable care. </w:t>
      </w:r>
      <w:r w:rsidR="00F2163A" w:rsidRPr="00BA0213">
        <w:rPr>
          <w:rStyle w:val="Emphasis"/>
          <w:rFonts w:ascii="Georgia" w:hAnsi="Georgia" w:cs="Arial"/>
          <w:color w:val="2F2F2F"/>
          <w:spacing w:val="3"/>
          <w:sz w:val="27"/>
          <w:szCs w:val="27"/>
          <w:highlight w:val="cyan"/>
        </w:rPr>
        <w:t>Ward, </w:t>
      </w:r>
      <w:r w:rsidR="00F2163A" w:rsidRPr="006D72FE">
        <w:rPr>
          <w:rFonts w:ascii="Georgia" w:hAnsi="Georgia" w:cs="Arial"/>
          <w:spacing w:val="3"/>
          <w:sz w:val="27"/>
          <w:szCs w:val="27"/>
          <w:highlight w:val="cyan"/>
        </w:rPr>
        <w:t>136 Ill. 2d at 156-57</w:t>
      </w:r>
      <w:r w:rsidR="00F2163A" w:rsidRPr="00BA0213">
        <w:rPr>
          <w:rFonts w:ascii="Georgia" w:hAnsi="Georgia" w:cs="Arial"/>
          <w:color w:val="2F2F2F"/>
          <w:spacing w:val="3"/>
          <w:sz w:val="27"/>
          <w:szCs w:val="27"/>
          <w:highlight w:val="cyan"/>
        </w:rPr>
        <w:t>.</w:t>
      </w:r>
      <w:r w:rsidR="00F2163A">
        <w:rPr>
          <w:rFonts w:ascii="Georgia" w:hAnsi="Georgia" w:cs="Arial"/>
          <w:color w:val="2F2F2F"/>
          <w:spacing w:val="3"/>
          <w:sz w:val="27"/>
          <w:szCs w:val="27"/>
        </w:rPr>
        <w:t xml:space="preserve"> The </w:t>
      </w:r>
      <w:r w:rsidR="00F2163A" w:rsidRPr="00BA0213">
        <w:rPr>
          <w:rStyle w:val="Emphasis"/>
          <w:rFonts w:ascii="Georgia" w:hAnsi="Georgia" w:cs="Arial"/>
          <w:color w:val="2F2F2F"/>
          <w:spacing w:val="3"/>
          <w:sz w:val="27"/>
          <w:szCs w:val="27"/>
          <w:highlight w:val="cyan"/>
        </w:rPr>
        <w:t>Ward</w:t>
      </w:r>
      <w:r w:rsidR="00F2163A">
        <w:rPr>
          <w:rStyle w:val="Emphasis"/>
          <w:rFonts w:ascii="Georgia" w:hAnsi="Georgia" w:cs="Arial"/>
          <w:color w:val="2F2F2F"/>
          <w:spacing w:val="3"/>
          <w:sz w:val="27"/>
          <w:szCs w:val="27"/>
        </w:rPr>
        <w:t> </w:t>
      </w:r>
      <w:r w:rsidR="00F2163A">
        <w:rPr>
          <w:rFonts w:ascii="Georgia" w:hAnsi="Georgia" w:cs="Arial"/>
          <w:color w:val="2F2F2F"/>
          <w:spacing w:val="3"/>
          <w:sz w:val="27"/>
          <w:szCs w:val="27"/>
        </w:rPr>
        <w:t>court explained that if the risk of harm is reasonably foreseeable, despite the obvious potential for harm, owners and occupiers have a duty to prevent or warn against that risk. </w:t>
      </w:r>
      <w:hyperlink r:id="rId30" w:anchor="p140" w:history="1">
        <w:r w:rsidR="00F2163A" w:rsidRPr="00BA0213">
          <w:rPr>
            <w:rStyle w:val="Hyperlink"/>
            <w:rFonts w:ascii="Georgia" w:hAnsi="Georgia" w:cs="Arial"/>
            <w:color w:val="007BFF"/>
            <w:spacing w:val="3"/>
            <w:sz w:val="27"/>
            <w:szCs w:val="27"/>
            <w:highlight w:val="cyan"/>
          </w:rPr>
          <w:t>136 Ill. 2d at 151</w:t>
        </w:r>
      </w:hyperlink>
      <w:r w:rsidR="00F2163A" w:rsidRPr="00BA0213">
        <w:rPr>
          <w:rFonts w:ascii="Georgia" w:hAnsi="Georgia" w:cs="Arial"/>
          <w:color w:val="2F2F2F"/>
          <w:spacing w:val="3"/>
          <w:sz w:val="27"/>
          <w:szCs w:val="27"/>
          <w:highlight w:val="cyan"/>
        </w:rPr>
        <w:t>.</w:t>
      </w:r>
    </w:p>
    <w:p w14:paraId="03048640" w14:textId="176AE9A1"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326CBD">
        <w:rPr>
          <w:rFonts w:ascii="Georgia" w:hAnsi="Georgia" w:cs="Arial"/>
          <w:color w:val="2F2F2F"/>
          <w:spacing w:val="3"/>
          <w:sz w:val="27"/>
          <w:szCs w:val="27"/>
        </w:rPr>
        <w:t>Plaintiffs contend that just as bulky packages blocked plaintiff’s view in </w:t>
      </w:r>
      <w:r w:rsidRPr="00326CBD">
        <w:rPr>
          <w:rStyle w:val="Emphasis"/>
          <w:rFonts w:ascii="Georgia" w:hAnsi="Georgia" w:cs="Arial"/>
          <w:color w:val="2F2F2F"/>
          <w:spacing w:val="3"/>
          <w:sz w:val="27"/>
          <w:szCs w:val="27"/>
          <w:highlight w:val="cyan"/>
        </w:rPr>
        <w:t>Ward</w:t>
      </w:r>
      <w:r w:rsidRPr="00326CBD">
        <w:rPr>
          <w:rStyle w:val="Emphasis"/>
          <w:rFonts w:ascii="Georgia" w:hAnsi="Georgia" w:cs="Arial"/>
          <w:color w:val="2F2F2F"/>
          <w:spacing w:val="3"/>
          <w:sz w:val="27"/>
          <w:szCs w:val="27"/>
        </w:rPr>
        <w:t>, </w:t>
      </w:r>
      <w:r w:rsidRPr="00326CBD">
        <w:rPr>
          <w:rFonts w:ascii="Georgia" w:hAnsi="Georgia" w:cs="Arial"/>
          <w:color w:val="2F2F2F"/>
          <w:spacing w:val="3"/>
          <w:sz w:val="27"/>
          <w:szCs w:val="27"/>
        </w:rPr>
        <w:t>preventing him from seeing a large concrete post (</w:t>
      </w:r>
      <w:r w:rsidRPr="006D72FE">
        <w:rPr>
          <w:rFonts w:ascii="Georgia" w:hAnsi="Georgia" w:cs="Arial"/>
          <w:spacing w:val="3"/>
          <w:sz w:val="27"/>
          <w:szCs w:val="27"/>
          <w:highlight w:val="cyan"/>
        </w:rPr>
        <w:t>136 Ill. 2d at 154</w:t>
      </w:r>
      <w:r w:rsidRPr="00326CBD">
        <w:rPr>
          <w:rFonts w:ascii="Georgia" w:hAnsi="Georgia" w:cs="Arial"/>
          <w:color w:val="2F2F2F"/>
          <w:spacing w:val="3"/>
          <w:sz w:val="27"/>
          <w:szCs w:val="27"/>
        </w:rPr>
        <w:t>), in the present case the murky water in the lagoon prevented decedents from ascertaining the depth of the water. The </w:t>
      </w:r>
      <w:r w:rsidRPr="00326CBD">
        <w:rPr>
          <w:rStyle w:val="Emphasis"/>
          <w:rFonts w:ascii="Georgia" w:hAnsi="Georgia" w:cs="Arial"/>
          <w:color w:val="2F2F2F"/>
          <w:spacing w:val="3"/>
          <w:sz w:val="27"/>
          <w:szCs w:val="27"/>
          <w:highlight w:val="cyan"/>
        </w:rPr>
        <w:t>Ward</w:t>
      </w:r>
      <w:r w:rsidRPr="00326CBD">
        <w:rPr>
          <w:rStyle w:val="Emphasis"/>
          <w:rFonts w:ascii="Georgia" w:hAnsi="Georgia" w:cs="Arial"/>
          <w:color w:val="2F2F2F"/>
          <w:spacing w:val="3"/>
          <w:sz w:val="27"/>
          <w:szCs w:val="27"/>
        </w:rPr>
        <w:t> </w:t>
      </w:r>
      <w:r w:rsidRPr="00326CBD">
        <w:rPr>
          <w:rFonts w:ascii="Georgia" w:hAnsi="Georgia" w:cs="Arial"/>
          <w:color w:val="2F2F2F"/>
          <w:spacing w:val="3"/>
          <w:sz w:val="27"/>
          <w:szCs w:val="27"/>
        </w:rPr>
        <w:t>decision, however, did not state that all obvious risks are reasonably foreseeable.</w:t>
      </w:r>
      <w:r>
        <w:rPr>
          <w:rFonts w:ascii="Georgia" w:hAnsi="Georgia" w:cs="Arial"/>
          <w:color w:val="2F2F2F"/>
          <w:spacing w:val="3"/>
          <w:sz w:val="27"/>
          <w:szCs w:val="27"/>
        </w:rPr>
        <w:t xml:space="preserve"> See </w:t>
      </w:r>
      <w:r w:rsidRPr="00326CBD">
        <w:rPr>
          <w:rStyle w:val="Emphasis"/>
          <w:rFonts w:ascii="Georgia" w:hAnsi="Georgia" w:cs="Arial"/>
          <w:color w:val="2F2F2F"/>
          <w:spacing w:val="3"/>
          <w:sz w:val="27"/>
          <w:szCs w:val="27"/>
          <w:highlight w:val="cyan"/>
        </w:rPr>
        <w:t>Yacoub v. Chicago Park District, </w:t>
      </w:r>
      <w:hyperlink r:id="rId31" w:anchor="p962" w:history="1">
        <w:r w:rsidRPr="00326CBD">
          <w:rPr>
            <w:rStyle w:val="Hyperlink"/>
            <w:rFonts w:ascii="Georgia" w:hAnsi="Georgia" w:cs="Arial"/>
            <w:color w:val="007BFF"/>
            <w:spacing w:val="3"/>
            <w:sz w:val="27"/>
            <w:szCs w:val="27"/>
            <w:highlight w:val="cyan"/>
          </w:rPr>
          <w:t>248 Ill. App. 3d 958</w:t>
        </w:r>
      </w:hyperlink>
      <w:r w:rsidRPr="00326CBD">
        <w:rPr>
          <w:rFonts w:ascii="Georgia" w:hAnsi="Georgia" w:cs="Arial"/>
          <w:color w:val="2F2F2F"/>
          <w:spacing w:val="3"/>
          <w:sz w:val="27"/>
          <w:szCs w:val="27"/>
          <w:highlight w:val="cyan"/>
        </w:rPr>
        <w:t>, 962, </w:t>
      </w:r>
      <w:r w:rsidRPr="006D72FE">
        <w:rPr>
          <w:rFonts w:ascii="Georgia" w:hAnsi="Georgia" w:cs="Arial"/>
          <w:spacing w:val="3"/>
          <w:sz w:val="27"/>
          <w:szCs w:val="27"/>
          <w:highlight w:val="cyan"/>
        </w:rPr>
        <w:t>618 N.E.2d 685</w:t>
      </w:r>
      <w:r w:rsidRPr="00326CBD">
        <w:rPr>
          <w:rFonts w:ascii="Georgia" w:hAnsi="Georgia" w:cs="Arial"/>
          <w:color w:val="2F2F2F"/>
          <w:spacing w:val="3"/>
          <w:sz w:val="27"/>
          <w:szCs w:val="27"/>
          <w:highlight w:val="cyan"/>
        </w:rPr>
        <w:t> (1993)</w:t>
      </w:r>
      <w:r>
        <w:rPr>
          <w:rFonts w:ascii="Georgia" w:hAnsi="Georgia" w:cs="Arial"/>
          <w:color w:val="2F2F2F"/>
          <w:spacing w:val="3"/>
          <w:sz w:val="27"/>
          <w:szCs w:val="27"/>
        </w:rPr>
        <w:t xml:space="preserve"> (noting that the </w:t>
      </w:r>
      <w:r w:rsidRPr="00326CBD">
        <w:rPr>
          <w:rStyle w:val="Emphasis"/>
          <w:rFonts w:ascii="Georgia" w:hAnsi="Georgia" w:cs="Arial"/>
          <w:color w:val="2F2F2F"/>
          <w:spacing w:val="3"/>
          <w:sz w:val="27"/>
          <w:szCs w:val="27"/>
          <w:highlight w:val="cyan"/>
        </w:rPr>
        <w:t>Ward</w:t>
      </w:r>
      <w:r>
        <w:rPr>
          <w:rStyle w:val="Emphasis"/>
          <w:rFonts w:ascii="Georgia" w:hAnsi="Georgia" w:cs="Arial"/>
          <w:color w:val="2F2F2F"/>
          <w:spacing w:val="3"/>
          <w:sz w:val="27"/>
          <w:szCs w:val="27"/>
        </w:rPr>
        <w:t> </w:t>
      </w:r>
      <w:r>
        <w:rPr>
          <w:rFonts w:ascii="Georgia" w:hAnsi="Georgia" w:cs="Arial"/>
          <w:color w:val="2F2F2F"/>
          <w:spacing w:val="3"/>
          <w:sz w:val="27"/>
          <w:szCs w:val="27"/>
        </w:rPr>
        <w:t>decision did not "sound a death knell for the open and obvious rule”). The </w:t>
      </w:r>
      <w:r w:rsidRPr="00326CBD">
        <w:rPr>
          <w:rStyle w:val="Emphasis"/>
          <w:rFonts w:ascii="Georgia" w:hAnsi="Georgia" w:cs="Arial"/>
          <w:color w:val="2F2F2F"/>
          <w:spacing w:val="3"/>
          <w:sz w:val="27"/>
          <w:szCs w:val="27"/>
          <w:highlight w:val="cyan"/>
        </w:rPr>
        <w:t>Ward</w:t>
      </w:r>
      <w:r>
        <w:rPr>
          <w:rStyle w:val="Emphasis"/>
          <w:rFonts w:ascii="Georgia" w:hAnsi="Georgia" w:cs="Arial"/>
          <w:color w:val="2F2F2F"/>
          <w:spacing w:val="3"/>
          <w:sz w:val="27"/>
          <w:szCs w:val="27"/>
        </w:rPr>
        <w:t> </w:t>
      </w:r>
      <w:r>
        <w:rPr>
          <w:rFonts w:ascii="Georgia" w:hAnsi="Georgia" w:cs="Arial"/>
          <w:color w:val="2F2F2F"/>
          <w:spacing w:val="3"/>
          <w:sz w:val="27"/>
          <w:szCs w:val="27"/>
        </w:rPr>
        <w:t>court acknowledged that, even when children are on the premises, an owner or occupier has no duty to protect against blatantly obvious dangers and cited </w:t>
      </w:r>
      <w:r w:rsidRPr="00326CBD">
        <w:rPr>
          <w:rStyle w:val="Emphasis"/>
          <w:rFonts w:ascii="Georgia" w:hAnsi="Georgia" w:cs="Arial"/>
          <w:color w:val="2F2F2F"/>
          <w:spacing w:val="3"/>
          <w:sz w:val="27"/>
          <w:szCs w:val="27"/>
          <w:highlight w:val="cyan"/>
        </w:rPr>
        <w:t>Cope</w:t>
      </w:r>
      <w:r>
        <w:rPr>
          <w:rStyle w:val="Emphasis"/>
          <w:rFonts w:ascii="Georgia" w:hAnsi="Georgia" w:cs="Arial"/>
          <w:color w:val="2F2F2F"/>
          <w:spacing w:val="3"/>
          <w:sz w:val="27"/>
          <w:szCs w:val="27"/>
        </w:rPr>
        <w:t>, </w:t>
      </w:r>
      <w:r>
        <w:rPr>
          <w:rFonts w:ascii="Georgia" w:hAnsi="Georgia" w:cs="Arial"/>
          <w:color w:val="2F2F2F"/>
          <w:spacing w:val="3"/>
          <w:sz w:val="27"/>
          <w:szCs w:val="27"/>
        </w:rPr>
        <w:t>where a child drowned in an ice-covered retention pond, as an example of a blatantly obvious danger. </w:t>
      </w:r>
      <w:r w:rsidRPr="00326CBD">
        <w:rPr>
          <w:rStyle w:val="Emphasis"/>
          <w:rFonts w:ascii="Georgia" w:hAnsi="Georgia" w:cs="Arial"/>
          <w:color w:val="2F2F2F"/>
          <w:spacing w:val="3"/>
          <w:sz w:val="27"/>
          <w:szCs w:val="27"/>
          <w:highlight w:val="cyan"/>
        </w:rPr>
        <w:t>Ward, </w:t>
      </w:r>
      <w:hyperlink r:id="rId32" w:anchor="p140" w:history="1">
        <w:r w:rsidRPr="00326CBD">
          <w:rPr>
            <w:rStyle w:val="Hyperlink"/>
            <w:rFonts w:ascii="Georgia" w:hAnsi="Georgia" w:cs="Arial"/>
            <w:color w:val="007BFF"/>
            <w:spacing w:val="3"/>
            <w:sz w:val="27"/>
            <w:szCs w:val="27"/>
            <w:highlight w:val="cyan"/>
          </w:rPr>
          <w:t>136 Ill. 2d at 148</w:t>
        </w:r>
      </w:hyperlink>
      <w:r>
        <w:rPr>
          <w:rFonts w:ascii="Georgia" w:hAnsi="Georgia" w:cs="Arial"/>
          <w:color w:val="2F2F2F"/>
          <w:spacing w:val="3"/>
          <w:sz w:val="27"/>
          <w:szCs w:val="27"/>
        </w:rPr>
        <w:t>, citing </w:t>
      </w:r>
      <w:r w:rsidRPr="00326CBD">
        <w:rPr>
          <w:rStyle w:val="Emphasis"/>
          <w:rFonts w:ascii="Georgia" w:hAnsi="Georgia" w:cs="Arial"/>
          <w:color w:val="2F2F2F"/>
          <w:spacing w:val="3"/>
          <w:sz w:val="27"/>
          <w:szCs w:val="27"/>
          <w:highlight w:val="cyan"/>
        </w:rPr>
        <w:t>Cope, </w:t>
      </w:r>
      <w:r w:rsidRPr="006D72FE">
        <w:rPr>
          <w:rFonts w:ascii="Georgia" w:hAnsi="Georgia" w:cs="Arial"/>
          <w:spacing w:val="3"/>
          <w:sz w:val="27"/>
          <w:szCs w:val="27"/>
          <w:highlight w:val="cyan"/>
        </w:rPr>
        <w:t>102 Ill. 2d at 286</w:t>
      </w:r>
      <w:r w:rsidRPr="00326CBD">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326CBD">
        <w:rPr>
          <w:rFonts w:ascii="Georgia" w:hAnsi="Georgia" w:cs="Arial"/>
          <w:color w:val="2F2F2F"/>
          <w:spacing w:val="3"/>
          <w:sz w:val="27"/>
          <w:szCs w:val="27"/>
          <w:highlight w:val="green"/>
        </w:rPr>
        <w:t>The decedent in </w:t>
      </w:r>
      <w:r w:rsidRPr="00326CBD">
        <w:rPr>
          <w:rStyle w:val="Emphasis"/>
          <w:rFonts w:ascii="Georgia" w:hAnsi="Georgia" w:cs="Arial"/>
          <w:color w:val="2F2F2F"/>
          <w:spacing w:val="3"/>
          <w:sz w:val="27"/>
          <w:szCs w:val="27"/>
          <w:highlight w:val="cyan"/>
        </w:rPr>
        <w:t>Cope </w:t>
      </w:r>
      <w:r w:rsidRPr="00326CBD">
        <w:rPr>
          <w:rFonts w:ascii="Georgia" w:hAnsi="Georgia" w:cs="Arial"/>
          <w:color w:val="2F2F2F"/>
          <w:spacing w:val="3"/>
          <w:sz w:val="27"/>
          <w:szCs w:val="27"/>
          <w:highlight w:val="green"/>
        </w:rPr>
        <w:t>was expected to appreciate the danger of the pond despite the fact that he could not determine the thickness of the ice or the depth of the water under the ice. Likewise, defendants in the present case could have regarded the nature of the lagoon as an open and obvious danger despite the fact that decedents might not have been able to see through the water.</w:t>
      </w:r>
      <w:r>
        <w:rPr>
          <w:rFonts w:ascii="Georgia" w:hAnsi="Georgia" w:cs="Arial"/>
          <w:color w:val="2F2F2F"/>
          <w:spacing w:val="3"/>
          <w:sz w:val="27"/>
          <w:szCs w:val="27"/>
        </w:rPr>
        <w:t> </w:t>
      </w:r>
      <w:r w:rsidRPr="00326CBD">
        <w:rPr>
          <w:rStyle w:val="Emphasis"/>
          <w:rFonts w:ascii="Georgia" w:hAnsi="Georgia" w:cs="Arial"/>
          <w:color w:val="2F2F2F"/>
          <w:spacing w:val="3"/>
          <w:sz w:val="27"/>
          <w:szCs w:val="27"/>
          <w:highlight w:val="cyan"/>
        </w:rPr>
        <w:t>Yacoub, </w:t>
      </w:r>
      <w:hyperlink r:id="rId33" w:anchor="p962" w:history="1">
        <w:r w:rsidRPr="00326CBD">
          <w:rPr>
            <w:rStyle w:val="Hyperlink"/>
            <w:rFonts w:ascii="Georgia" w:hAnsi="Georgia" w:cs="Arial"/>
            <w:color w:val="007BFF"/>
            <w:spacing w:val="3"/>
            <w:sz w:val="27"/>
            <w:szCs w:val="27"/>
            <w:highlight w:val="cyan"/>
          </w:rPr>
          <w:t>248 Ill. App. 3d at 963</w:t>
        </w:r>
      </w:hyperlink>
      <w:r w:rsidRPr="00326CBD">
        <w:rPr>
          <w:rFonts w:ascii="Georgia" w:hAnsi="Georgia" w:cs="Arial"/>
          <w:color w:val="2F2F2F"/>
          <w:spacing w:val="3"/>
          <w:sz w:val="27"/>
          <w:szCs w:val="27"/>
          <w:highlight w:val="cyan"/>
        </w:rPr>
        <w:t>.</w:t>
      </w:r>
    </w:p>
    <w:p w14:paraId="03048641" w14:textId="58FD82EE"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326CBD">
        <w:rPr>
          <w:rStyle w:val="Emphasis"/>
          <w:rFonts w:ascii="Georgia" w:hAnsi="Georgia" w:cs="Arial"/>
          <w:color w:val="2F2F2F"/>
          <w:spacing w:val="3"/>
          <w:sz w:val="27"/>
          <w:szCs w:val="27"/>
          <w:highlight w:val="cyan"/>
        </w:rPr>
        <w:t>Bucheleres v. Chicago Park District, </w:t>
      </w:r>
      <w:r w:rsidRPr="006D72FE">
        <w:rPr>
          <w:rFonts w:ascii="Georgia" w:hAnsi="Georgia" w:cs="Arial"/>
          <w:spacing w:val="3"/>
          <w:sz w:val="27"/>
          <w:szCs w:val="27"/>
          <w:highlight w:val="cyan"/>
        </w:rPr>
        <w:t>171 Ill. 2d 435</w:t>
      </w:r>
      <w:r w:rsidRPr="00326CBD">
        <w:rPr>
          <w:rFonts w:ascii="Georgia" w:hAnsi="Georgia" w:cs="Arial"/>
          <w:color w:val="2F2F2F"/>
          <w:spacing w:val="3"/>
          <w:sz w:val="27"/>
          <w:szCs w:val="27"/>
          <w:highlight w:val="cyan"/>
        </w:rPr>
        <w:t>, 452, </w:t>
      </w:r>
      <w:hyperlink r:id="rId34" w:history="1">
        <w:r w:rsidRPr="00326CBD">
          <w:rPr>
            <w:rStyle w:val="Hyperlink"/>
            <w:rFonts w:ascii="Georgia" w:hAnsi="Georgia" w:cs="Arial"/>
            <w:color w:val="007BFF"/>
            <w:spacing w:val="3"/>
            <w:sz w:val="27"/>
            <w:szCs w:val="27"/>
            <w:highlight w:val="cyan"/>
          </w:rPr>
          <w:t>665 N.E.2d 826</w:t>
        </w:r>
      </w:hyperlink>
      <w:r w:rsidRPr="00326CBD">
        <w:rPr>
          <w:rFonts w:ascii="Georgia" w:hAnsi="Georgia" w:cs="Arial"/>
          <w:color w:val="2F2F2F"/>
          <w:spacing w:val="3"/>
          <w:sz w:val="27"/>
          <w:szCs w:val="27"/>
          <w:highlight w:val="cyan"/>
        </w:rPr>
        <w:t>, 834 (1996)</w:t>
      </w:r>
      <w:r>
        <w:rPr>
          <w:rFonts w:ascii="Georgia" w:hAnsi="Georgia" w:cs="Arial"/>
          <w:color w:val="2F2F2F"/>
          <w:spacing w:val="3"/>
          <w:sz w:val="27"/>
          <w:szCs w:val="27"/>
        </w:rPr>
        <w:t>, the supreme court reexamined the </w:t>
      </w:r>
      <w:r w:rsidRPr="00326CBD">
        <w:rPr>
          <w:rStyle w:val="Emphasis"/>
          <w:rFonts w:ascii="Georgia" w:hAnsi="Georgia" w:cs="Arial"/>
          <w:color w:val="2F2F2F"/>
          <w:spacing w:val="3"/>
          <w:sz w:val="27"/>
          <w:szCs w:val="27"/>
          <w:highlight w:val="cyan"/>
        </w:rPr>
        <w:t>Ward</w:t>
      </w:r>
      <w:r>
        <w:rPr>
          <w:rStyle w:val="Emphasis"/>
          <w:rFonts w:ascii="Georgia" w:hAnsi="Georgia" w:cs="Arial"/>
          <w:color w:val="2F2F2F"/>
          <w:spacing w:val="3"/>
          <w:sz w:val="27"/>
          <w:szCs w:val="27"/>
        </w:rPr>
        <w:t> </w:t>
      </w:r>
      <w:r>
        <w:rPr>
          <w:rFonts w:ascii="Georgia" w:hAnsi="Georgia" w:cs="Arial"/>
          <w:color w:val="2F2F2F"/>
          <w:spacing w:val="3"/>
          <w:sz w:val="27"/>
          <w:szCs w:val="27"/>
        </w:rPr>
        <w:t>decision and explained that a duty arose only when a party foreseeably might become distracted or forgetful of the existence of the dangerous condition and when defendant easily could warn against the risk of harm created by the condition. The </w:t>
      </w:r>
      <w:r w:rsidRPr="00326CBD">
        <w:rPr>
          <w:rStyle w:val="Emphasis"/>
          <w:rFonts w:ascii="Georgia" w:hAnsi="Georgia" w:cs="Arial"/>
          <w:color w:val="2F2F2F"/>
          <w:spacing w:val="3"/>
          <w:sz w:val="27"/>
          <w:szCs w:val="27"/>
          <w:highlight w:val="cyan"/>
        </w:rPr>
        <w:t>Bucheleres</w:t>
      </w:r>
      <w:r>
        <w:rPr>
          <w:rStyle w:val="Emphasis"/>
          <w:rFonts w:ascii="Georgia" w:hAnsi="Georgia" w:cs="Arial"/>
          <w:color w:val="2F2F2F"/>
          <w:spacing w:val="3"/>
          <w:sz w:val="27"/>
          <w:szCs w:val="27"/>
        </w:rPr>
        <w:t> </w:t>
      </w:r>
      <w:r>
        <w:rPr>
          <w:rFonts w:ascii="Georgia" w:hAnsi="Georgia" w:cs="Arial"/>
          <w:color w:val="2F2F2F"/>
          <w:spacing w:val="3"/>
          <w:sz w:val="27"/>
          <w:szCs w:val="27"/>
        </w:rPr>
        <w:t>court found that plaintiffs, who were injured after diving into a lake, offered no evidence that they were distracted or forgetful of the lake’s existence. In fact, "[n]othing concealed or obscured the existence of the lake.” </w:t>
      </w:r>
      <w:r w:rsidRPr="006D72FE">
        <w:rPr>
          <w:rFonts w:ascii="Georgia" w:hAnsi="Georgia" w:cs="Arial"/>
          <w:spacing w:val="3"/>
          <w:sz w:val="27"/>
          <w:szCs w:val="27"/>
          <w:highlight w:val="cyan"/>
        </w:rPr>
        <w:t>171 Ill. 2d at 453</w:t>
      </w:r>
      <w:r>
        <w:rPr>
          <w:rFonts w:ascii="Georgia" w:hAnsi="Georgia" w:cs="Arial"/>
          <w:color w:val="2F2F2F"/>
          <w:spacing w:val="3"/>
          <w:sz w:val="27"/>
          <w:szCs w:val="27"/>
        </w:rPr>
        <w:t>.</w:t>
      </w:r>
    </w:p>
    <w:p w14:paraId="03048642"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Analogously, </w:t>
      </w:r>
      <w:r w:rsidRPr="00326CBD">
        <w:rPr>
          <w:rFonts w:ascii="Georgia" w:hAnsi="Georgia" w:cs="Arial"/>
          <w:color w:val="2F2F2F"/>
          <w:spacing w:val="3"/>
          <w:sz w:val="27"/>
          <w:szCs w:val="27"/>
          <w:highlight w:val="green"/>
        </w:rPr>
        <w:t>in the present case, no object or condition concealed the presence of the lagoon. The Park District therefore owed no common law duty to protect decedents from any dangers associated with the lagoon, as a matter of law.</w:t>
      </w:r>
    </w:p>
    <w:p w14:paraId="03048643"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326CBD">
        <w:rPr>
          <w:rFonts w:ascii="Georgia" w:hAnsi="Georgia" w:cs="Arial"/>
          <w:color w:val="2F2F2F"/>
          <w:spacing w:val="3"/>
          <w:sz w:val="27"/>
          <w:szCs w:val="27"/>
          <w:highlight w:val="green"/>
        </w:rPr>
        <w:t>The circuit court did not err in dismissing the portions of plaintiffs’ complaints alleging common law negligence against the Park District.</w:t>
      </w:r>
    </w:p>
    <w:p w14:paraId="03048644" w14:textId="77777777" w:rsidR="00F2163A" w:rsidRDefault="006D72FE" w:rsidP="00F2163A">
      <w:pPr>
        <w:pStyle w:val="NormalWeb"/>
        <w:shd w:val="clear" w:color="auto" w:fill="FFFFFF"/>
        <w:spacing w:after="225" w:afterAutospacing="0"/>
        <w:rPr>
          <w:rFonts w:ascii="Georgia" w:hAnsi="Georgia" w:cs="Arial"/>
          <w:color w:val="2F2F2F"/>
          <w:spacing w:val="3"/>
          <w:sz w:val="27"/>
          <w:szCs w:val="27"/>
        </w:rPr>
      </w:pPr>
      <w:hyperlink r:id="rId35" w:anchor="p168" w:history="1">
        <w:r w:rsidR="00F2163A">
          <w:rPr>
            <w:rStyle w:val="Hyperlink"/>
            <w:rFonts w:ascii="Georgia" w:hAnsi="Georgia" w:cs="Arial"/>
            <w:i/>
            <w:iCs/>
            <w:color w:val="979797"/>
            <w:spacing w:val="3"/>
            <w:sz w:val="22"/>
            <w:szCs w:val="22"/>
          </w:rPr>
          <w:t>*168</w:t>
        </w:r>
      </w:hyperlink>
      <w:r w:rsidR="00F2163A">
        <w:rPr>
          <w:rFonts w:ascii="Georgia" w:hAnsi="Georgia" w:cs="Arial"/>
          <w:color w:val="2F2F2F"/>
          <w:spacing w:val="3"/>
          <w:sz w:val="27"/>
          <w:szCs w:val="27"/>
        </w:rPr>
        <w:t>B</w:t>
      </w:r>
    </w:p>
    <w:p w14:paraId="03048645" w14:textId="3743CB6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allege that the City also breached a duty by failing to alleviate the dangerous nature of the lagoon. The City did not file an appellee’s brief; nonetheless, this court elects to decide the merits of plaintiffs’ claim against it. </w:t>
      </w:r>
      <w:r>
        <w:rPr>
          <w:rStyle w:val="Emphasis"/>
          <w:rFonts w:ascii="Georgia" w:hAnsi="Georgia" w:cs="Arial"/>
          <w:color w:val="2F2F2F"/>
          <w:spacing w:val="3"/>
          <w:sz w:val="27"/>
          <w:szCs w:val="27"/>
        </w:rPr>
        <w:t>First Capitol Mortgage Corp. v. Talandis Construction Corp., </w:t>
      </w:r>
      <w:r w:rsidRPr="006D72FE">
        <w:rPr>
          <w:rFonts w:ascii="Georgia" w:hAnsi="Georgia" w:cs="Arial"/>
          <w:spacing w:val="3"/>
          <w:sz w:val="27"/>
          <w:szCs w:val="27"/>
        </w:rPr>
        <w:t>63 Ill. 2d 128</w:t>
      </w:r>
      <w:r>
        <w:rPr>
          <w:rFonts w:ascii="Georgia" w:hAnsi="Georgia" w:cs="Arial"/>
          <w:color w:val="2F2F2F"/>
          <w:spacing w:val="3"/>
          <w:sz w:val="27"/>
          <w:szCs w:val="27"/>
        </w:rPr>
        <w:t>, 133, </w:t>
      </w:r>
      <w:hyperlink r:id="rId36" w:history="1">
        <w:r>
          <w:rPr>
            <w:rStyle w:val="Hyperlink"/>
            <w:rFonts w:ascii="Georgia" w:hAnsi="Georgia" w:cs="Arial"/>
            <w:color w:val="007BFF"/>
            <w:spacing w:val="3"/>
            <w:sz w:val="27"/>
            <w:szCs w:val="27"/>
          </w:rPr>
          <w:t>345 N.E.2d 493</w:t>
        </w:r>
      </w:hyperlink>
      <w:r>
        <w:rPr>
          <w:rFonts w:ascii="Georgia" w:hAnsi="Georgia" w:cs="Arial"/>
          <w:color w:val="2F2F2F"/>
          <w:spacing w:val="3"/>
          <w:sz w:val="27"/>
          <w:szCs w:val="27"/>
        </w:rPr>
        <w:t> (1976).</w:t>
      </w:r>
    </w:p>
    <w:p w14:paraId="03048646" w14:textId="0A7DFDFC"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Both the City and the Park District attached affidavits to their motions to dismiss, signed by administrators who swore that the </w:t>
      </w:r>
      <w:r w:rsidRPr="00326CBD">
        <w:rPr>
          <w:rFonts w:ascii="Georgia" w:hAnsi="Georgia" w:cs="Arial"/>
          <w:color w:val="2F2F2F"/>
          <w:spacing w:val="3"/>
          <w:sz w:val="27"/>
          <w:szCs w:val="27"/>
          <w:highlight w:val="yellow"/>
        </w:rPr>
        <w:t>Park District solely owned, controlled, operated and maintained Martin Park.</w:t>
      </w:r>
      <w:r>
        <w:rPr>
          <w:rFonts w:ascii="Georgia" w:hAnsi="Georgia" w:cs="Arial"/>
          <w:color w:val="2F2F2F"/>
          <w:spacing w:val="3"/>
          <w:sz w:val="27"/>
          <w:szCs w:val="27"/>
        </w:rPr>
        <w:t xml:space="preserve"> Plaintiffs never submitted countervailing counteraffidavits or other documents. We must accept defendants’ affidavits as true. </w:t>
      </w:r>
      <w:r>
        <w:rPr>
          <w:rStyle w:val="Emphasis"/>
          <w:rFonts w:ascii="Georgia" w:hAnsi="Georgia" w:cs="Arial"/>
          <w:color w:val="2F2F2F"/>
          <w:spacing w:val="3"/>
          <w:sz w:val="27"/>
          <w:szCs w:val="27"/>
        </w:rPr>
        <w:t>Beattie v. Lindelof, </w:t>
      </w:r>
      <w:r w:rsidRPr="006D72FE">
        <w:rPr>
          <w:rFonts w:ascii="Georgia" w:hAnsi="Georgia" w:cs="Arial"/>
          <w:spacing w:val="3"/>
          <w:sz w:val="27"/>
          <w:szCs w:val="27"/>
        </w:rPr>
        <w:t>262 Ill. App. 3d 372</w:t>
      </w:r>
      <w:r>
        <w:rPr>
          <w:rFonts w:ascii="Georgia" w:hAnsi="Georgia" w:cs="Arial"/>
          <w:color w:val="2F2F2F"/>
          <w:spacing w:val="3"/>
          <w:sz w:val="27"/>
          <w:szCs w:val="27"/>
        </w:rPr>
        <w:t>, 382, </w:t>
      </w:r>
      <w:hyperlink r:id="rId37" w:history="1">
        <w:r>
          <w:rPr>
            <w:rStyle w:val="Hyperlink"/>
            <w:rFonts w:ascii="Georgia" w:hAnsi="Georgia" w:cs="Arial"/>
            <w:color w:val="007BFF"/>
            <w:spacing w:val="3"/>
            <w:sz w:val="27"/>
            <w:szCs w:val="27"/>
          </w:rPr>
          <w:t>633 N.E.2d 1227</w:t>
        </w:r>
      </w:hyperlink>
      <w:r>
        <w:rPr>
          <w:rFonts w:ascii="Georgia" w:hAnsi="Georgia" w:cs="Arial"/>
          <w:color w:val="2F2F2F"/>
          <w:spacing w:val="3"/>
          <w:sz w:val="27"/>
          <w:szCs w:val="27"/>
        </w:rPr>
        <w:t> (1994).</w:t>
      </w:r>
    </w:p>
    <w:p w14:paraId="03048647"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326CBD">
        <w:rPr>
          <w:rFonts w:ascii="Georgia" w:hAnsi="Georgia" w:cs="Arial"/>
          <w:color w:val="2F2F2F"/>
          <w:spacing w:val="3"/>
          <w:sz w:val="27"/>
          <w:szCs w:val="27"/>
          <w:highlight w:val="green"/>
        </w:rPr>
        <w:t>The City is not an owner or occupier of Martin Park and therefore owed no duty to plaintiffs in that capacity. Plaintiffs do not raise an alternative theory under which the City might owe a duty, and therefore it cannot be liable to plaintiffs. The circuit court correctly dismissed plaintiffs’ allegations of negligence against the City.</w:t>
      </w:r>
    </w:p>
    <w:p w14:paraId="03048648"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03048649" w14:textId="06E5BB93"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assert that even if the common law does not impose a duty on the Park District, </w:t>
      </w:r>
      <w:r w:rsidRPr="00326CBD">
        <w:rPr>
          <w:rFonts w:ascii="Georgia" w:hAnsi="Georgia" w:cs="Arial"/>
          <w:color w:val="2F2F2F"/>
          <w:spacing w:val="3"/>
          <w:sz w:val="27"/>
          <w:szCs w:val="27"/>
          <w:highlight w:val="cyan"/>
        </w:rPr>
        <w:t>section 3—102(a) of the Tort Immunity Act</w:t>
      </w:r>
      <w:r w:rsidRPr="00326CBD">
        <w:rPr>
          <w:rFonts w:ascii="Georgia" w:hAnsi="Georgia" w:cs="Arial"/>
          <w:color w:val="2F2F2F"/>
          <w:spacing w:val="3"/>
          <w:sz w:val="27"/>
          <w:szCs w:val="27"/>
        </w:rPr>
        <w:t xml:space="preserve"> does. Under </w:t>
      </w:r>
      <w:r w:rsidRPr="00326CBD">
        <w:rPr>
          <w:rFonts w:ascii="Georgia" w:hAnsi="Georgia" w:cs="Arial"/>
          <w:color w:val="2F2F2F"/>
          <w:spacing w:val="3"/>
          <w:sz w:val="27"/>
          <w:szCs w:val="27"/>
          <w:highlight w:val="cyan"/>
        </w:rPr>
        <w:t>section 3—102(a)</w:t>
      </w:r>
      <w:r>
        <w:rPr>
          <w:rFonts w:ascii="Georgia" w:hAnsi="Georgia" w:cs="Arial"/>
          <w:color w:val="2F2F2F"/>
          <w:spacing w:val="3"/>
          <w:sz w:val="27"/>
          <w:szCs w:val="27"/>
        </w:rPr>
        <w:t xml:space="preserve">, "a local public entity has the duty to exercise ordinary care to maintain its property in a reasonably safe condition for *** people whom the entity intended and permitted to use the property in a manner in which and at such times as it was reasonably foreseeable that it would be used.” </w:t>
      </w:r>
      <w:r w:rsidRPr="00326CBD">
        <w:rPr>
          <w:rFonts w:ascii="Georgia" w:hAnsi="Georgia" w:cs="Arial"/>
          <w:color w:val="2F2F2F"/>
          <w:spacing w:val="3"/>
          <w:sz w:val="27"/>
          <w:szCs w:val="27"/>
          <w:highlight w:val="cyan"/>
        </w:rPr>
        <w:t>745 ILCS 10/3—102(a) (West 1992).</w:t>
      </w:r>
      <w:r>
        <w:rPr>
          <w:rFonts w:ascii="Georgia" w:hAnsi="Georgia" w:cs="Arial"/>
          <w:color w:val="2F2F2F"/>
          <w:spacing w:val="3"/>
          <w:sz w:val="27"/>
          <w:szCs w:val="27"/>
        </w:rPr>
        <w:t xml:space="preserve"> The Act does not impose any new duties on municipalities, but simply restates and codifies common law principles. </w:t>
      </w:r>
      <w:r w:rsidRPr="00326CBD">
        <w:rPr>
          <w:rStyle w:val="Emphasis"/>
          <w:rFonts w:ascii="Georgia" w:hAnsi="Georgia" w:cs="Arial"/>
          <w:color w:val="2F2F2F"/>
          <w:spacing w:val="3"/>
          <w:sz w:val="27"/>
          <w:szCs w:val="27"/>
          <w:highlight w:val="cyan"/>
        </w:rPr>
        <w:t>Wagner v. City of Chicago, </w:t>
      </w:r>
      <w:r w:rsidRPr="006D72FE">
        <w:rPr>
          <w:rFonts w:ascii="Georgia" w:hAnsi="Georgia" w:cs="Arial"/>
          <w:spacing w:val="3"/>
          <w:sz w:val="27"/>
          <w:szCs w:val="27"/>
          <w:highlight w:val="cyan"/>
        </w:rPr>
        <w:t>166 Ill. 2d 144</w:t>
      </w:r>
      <w:r w:rsidRPr="00326CBD">
        <w:rPr>
          <w:rFonts w:ascii="Georgia" w:hAnsi="Georgia" w:cs="Arial"/>
          <w:color w:val="2F2F2F"/>
          <w:spacing w:val="3"/>
          <w:sz w:val="27"/>
          <w:szCs w:val="27"/>
          <w:highlight w:val="cyan"/>
        </w:rPr>
        <w:t>, 150, </w:t>
      </w:r>
      <w:hyperlink r:id="rId38" w:history="1">
        <w:r w:rsidRPr="00326CBD">
          <w:rPr>
            <w:rStyle w:val="Hyperlink"/>
            <w:rFonts w:ascii="Georgia" w:hAnsi="Georgia" w:cs="Arial"/>
            <w:color w:val="007BFF"/>
            <w:spacing w:val="3"/>
            <w:sz w:val="27"/>
            <w:szCs w:val="27"/>
            <w:highlight w:val="cyan"/>
          </w:rPr>
          <w:t>651 N.E.2d 1120</w:t>
        </w:r>
      </w:hyperlink>
      <w:r w:rsidRPr="00326CBD">
        <w:rPr>
          <w:rFonts w:ascii="Georgia" w:hAnsi="Georgia" w:cs="Arial"/>
          <w:color w:val="2F2F2F"/>
          <w:spacing w:val="3"/>
          <w:sz w:val="27"/>
          <w:szCs w:val="27"/>
          <w:highlight w:val="cyan"/>
        </w:rPr>
        <w:t> (1995); </w:t>
      </w:r>
      <w:r w:rsidRPr="00326CBD">
        <w:rPr>
          <w:rStyle w:val="Emphasis"/>
          <w:rFonts w:ascii="Georgia" w:hAnsi="Georgia" w:cs="Arial"/>
          <w:color w:val="2F2F2F"/>
          <w:spacing w:val="3"/>
          <w:sz w:val="27"/>
          <w:szCs w:val="27"/>
          <w:highlight w:val="cyan"/>
        </w:rPr>
        <w:t>Santelli v. City of Chicago, </w:t>
      </w:r>
      <w:r w:rsidRPr="006D72FE">
        <w:rPr>
          <w:rFonts w:ascii="Georgia" w:hAnsi="Georgia" w:cs="Arial"/>
          <w:spacing w:val="3"/>
          <w:sz w:val="27"/>
          <w:szCs w:val="27"/>
          <w:highlight w:val="cyan"/>
        </w:rPr>
        <w:t>222 Ill. App. 3d 862</w:t>
      </w:r>
      <w:r w:rsidRPr="00326CBD">
        <w:rPr>
          <w:rFonts w:ascii="Georgia" w:hAnsi="Georgia" w:cs="Arial"/>
          <w:color w:val="2F2F2F"/>
          <w:spacing w:val="3"/>
          <w:sz w:val="27"/>
          <w:szCs w:val="27"/>
          <w:highlight w:val="cyan"/>
        </w:rPr>
        <w:t>, 867, </w:t>
      </w:r>
      <w:hyperlink r:id="rId39" w:history="1">
        <w:r w:rsidRPr="00326CBD">
          <w:rPr>
            <w:rStyle w:val="Hyperlink"/>
            <w:rFonts w:ascii="Georgia" w:hAnsi="Georgia" w:cs="Arial"/>
            <w:color w:val="007BFF"/>
            <w:spacing w:val="3"/>
            <w:sz w:val="27"/>
            <w:szCs w:val="27"/>
            <w:highlight w:val="cyan"/>
          </w:rPr>
          <w:t>584 N.E.2d 456</w:t>
        </w:r>
      </w:hyperlink>
      <w:r w:rsidRPr="00326CBD">
        <w:rPr>
          <w:rFonts w:ascii="Georgia" w:hAnsi="Georgia" w:cs="Arial"/>
          <w:color w:val="2F2F2F"/>
          <w:spacing w:val="3"/>
          <w:sz w:val="27"/>
          <w:szCs w:val="27"/>
          <w:highlight w:val="cyan"/>
        </w:rPr>
        <w:t> (1991).</w:t>
      </w:r>
    </w:p>
    <w:p w14:paraId="0304864A" w14:textId="0768A1BB"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for a public entity to owe a duty under section 3—102(a) to protect a party from unreasonably dangerous conditions existing on its property, that party must be both a permitted and intended user of the property. </w:t>
      </w:r>
      <w:r w:rsidRPr="00326CBD">
        <w:rPr>
          <w:rStyle w:val="Emphasis"/>
          <w:rFonts w:ascii="Georgia" w:hAnsi="Georgia" w:cs="Arial"/>
          <w:color w:val="2F2F2F"/>
          <w:spacing w:val="3"/>
          <w:sz w:val="27"/>
          <w:szCs w:val="27"/>
          <w:highlight w:val="cyan"/>
        </w:rPr>
        <w:t>Sisk v. Williamson County, </w:t>
      </w:r>
      <w:r w:rsidRPr="006D72FE">
        <w:rPr>
          <w:rFonts w:ascii="Georgia" w:hAnsi="Georgia" w:cs="Arial"/>
          <w:spacing w:val="3"/>
          <w:sz w:val="27"/>
          <w:szCs w:val="27"/>
          <w:highlight w:val="cyan"/>
        </w:rPr>
        <w:t>167 Ill. 2d 343</w:t>
      </w:r>
      <w:r w:rsidRPr="00326CBD">
        <w:rPr>
          <w:rFonts w:ascii="Georgia" w:hAnsi="Georgia" w:cs="Arial"/>
          <w:color w:val="2F2F2F"/>
          <w:spacing w:val="3"/>
          <w:sz w:val="27"/>
          <w:szCs w:val="27"/>
          <w:highlight w:val="cyan"/>
        </w:rPr>
        <w:t>, 347, </w:t>
      </w:r>
      <w:hyperlink r:id="rId40" w:history="1">
        <w:r w:rsidRPr="00326CBD">
          <w:rPr>
            <w:rStyle w:val="Hyperlink"/>
            <w:rFonts w:ascii="Georgia" w:hAnsi="Georgia" w:cs="Arial"/>
            <w:color w:val="007BFF"/>
            <w:spacing w:val="3"/>
            <w:sz w:val="27"/>
            <w:szCs w:val="27"/>
            <w:highlight w:val="cyan"/>
          </w:rPr>
          <w:t>657 N.E.2d 903</w:t>
        </w:r>
      </w:hyperlink>
      <w:r w:rsidRPr="00326CBD">
        <w:rPr>
          <w:rFonts w:ascii="Georgia" w:hAnsi="Georgia" w:cs="Arial"/>
          <w:color w:val="2F2F2F"/>
          <w:spacing w:val="3"/>
          <w:sz w:val="27"/>
          <w:szCs w:val="27"/>
          <w:highlight w:val="cyan"/>
        </w:rPr>
        <w:t> (1995); </w:t>
      </w:r>
      <w:r w:rsidRPr="00326CBD">
        <w:rPr>
          <w:rStyle w:val="Emphasis"/>
          <w:rFonts w:ascii="Georgia" w:hAnsi="Georgia" w:cs="Arial"/>
          <w:color w:val="2F2F2F"/>
          <w:spacing w:val="3"/>
          <w:sz w:val="27"/>
          <w:szCs w:val="27"/>
          <w:highlight w:val="cyan"/>
        </w:rPr>
        <w:t>Vaughn v. City of West Frankfort, </w:t>
      </w:r>
      <w:r w:rsidRPr="006D72FE">
        <w:rPr>
          <w:rFonts w:ascii="Georgia" w:hAnsi="Georgia" w:cs="Arial"/>
          <w:spacing w:val="3"/>
          <w:sz w:val="27"/>
          <w:szCs w:val="27"/>
          <w:highlight w:val="cyan"/>
        </w:rPr>
        <w:t>166 Ill. 2d 155</w:t>
      </w:r>
      <w:r w:rsidRPr="00326CBD">
        <w:rPr>
          <w:rFonts w:ascii="Georgia" w:hAnsi="Georgia" w:cs="Arial"/>
          <w:color w:val="2F2F2F"/>
          <w:spacing w:val="3"/>
          <w:sz w:val="27"/>
          <w:szCs w:val="27"/>
          <w:highlight w:val="cyan"/>
        </w:rPr>
        <w:t>, 160, </w:t>
      </w:r>
      <w:hyperlink r:id="rId41" w:history="1">
        <w:r w:rsidRPr="00326CBD">
          <w:rPr>
            <w:rStyle w:val="Hyperlink"/>
            <w:rFonts w:ascii="Georgia" w:hAnsi="Georgia" w:cs="Arial"/>
            <w:color w:val="007BFF"/>
            <w:spacing w:val="3"/>
            <w:sz w:val="27"/>
            <w:szCs w:val="27"/>
            <w:highlight w:val="cyan"/>
          </w:rPr>
          <w:t>651 N.E.2d 1115</w:t>
        </w:r>
      </w:hyperlink>
      <w:r w:rsidRPr="00326CBD">
        <w:rPr>
          <w:rFonts w:ascii="Georgia" w:hAnsi="Georgia" w:cs="Arial"/>
          <w:color w:val="2F2F2F"/>
          <w:spacing w:val="3"/>
          <w:sz w:val="27"/>
          <w:szCs w:val="27"/>
          <w:highlight w:val="cyan"/>
        </w:rPr>
        <w:t> (1995).</w:t>
      </w:r>
      <w:r>
        <w:rPr>
          <w:rFonts w:ascii="Georgia" w:hAnsi="Georgia" w:cs="Arial"/>
          <w:color w:val="2F2F2F"/>
          <w:spacing w:val="3"/>
          <w:sz w:val="27"/>
          <w:szCs w:val="27"/>
        </w:rPr>
        <w:t xml:space="preserve"> See also </w:t>
      </w:r>
      <w:r w:rsidRPr="00326CBD">
        <w:rPr>
          <w:rStyle w:val="Emphasis"/>
          <w:rFonts w:ascii="Georgia" w:hAnsi="Georgia" w:cs="Arial"/>
          <w:color w:val="2F2F2F"/>
          <w:spacing w:val="3"/>
          <w:sz w:val="27"/>
          <w:szCs w:val="27"/>
          <w:highlight w:val="cyan"/>
        </w:rPr>
        <w:t>Wagner v. City of Chicago, </w:t>
      </w:r>
      <w:r w:rsidRPr="006D72FE">
        <w:rPr>
          <w:rFonts w:ascii="Georgia" w:hAnsi="Georgia" w:cs="Arial"/>
          <w:spacing w:val="3"/>
          <w:sz w:val="27"/>
          <w:szCs w:val="27"/>
          <w:highlight w:val="cyan"/>
        </w:rPr>
        <w:t>166 Ill. 2d 144</w:t>
      </w:r>
      <w:r w:rsidRPr="00326CBD">
        <w:rPr>
          <w:rFonts w:ascii="Georgia" w:hAnsi="Georgia" w:cs="Arial"/>
          <w:color w:val="2F2F2F"/>
          <w:spacing w:val="3"/>
          <w:sz w:val="27"/>
          <w:szCs w:val="27"/>
          <w:highlight w:val="cyan"/>
        </w:rPr>
        <w:t>, 154-55, </w:t>
      </w:r>
      <w:hyperlink r:id="rId42" w:history="1">
        <w:r w:rsidRPr="00326CBD">
          <w:rPr>
            <w:rStyle w:val="Hyperlink"/>
            <w:rFonts w:ascii="Georgia" w:hAnsi="Georgia" w:cs="Arial"/>
            <w:color w:val="007BFF"/>
            <w:spacing w:val="3"/>
            <w:sz w:val="27"/>
            <w:szCs w:val="27"/>
            <w:highlight w:val="cyan"/>
          </w:rPr>
          <w:t>651 N.E.2d 1120</w:t>
        </w:r>
      </w:hyperlink>
      <w:r w:rsidRPr="00326CBD">
        <w:rPr>
          <w:rFonts w:ascii="Georgia" w:hAnsi="Georgia" w:cs="Arial"/>
          <w:color w:val="2F2F2F"/>
          <w:spacing w:val="3"/>
          <w:sz w:val="27"/>
          <w:szCs w:val="27"/>
          <w:highlight w:val="cyan"/>
        </w:rPr>
        <w:t> (1995).</w:t>
      </w:r>
    </w:p>
    <w:p w14:paraId="0304864B" w14:textId="56614179"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sidRPr="00326CBD">
        <w:rPr>
          <w:rStyle w:val="Emphasis"/>
          <w:rFonts w:ascii="Georgia" w:hAnsi="Georgia" w:cs="Arial"/>
          <w:color w:val="2F2F2F"/>
          <w:spacing w:val="3"/>
          <w:sz w:val="27"/>
          <w:szCs w:val="27"/>
          <w:highlight w:val="cyan"/>
        </w:rPr>
        <w:t>Vaughn</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326CBD">
        <w:rPr>
          <w:rStyle w:val="Emphasis"/>
          <w:rFonts w:ascii="Georgia" w:hAnsi="Georgia" w:cs="Arial"/>
          <w:color w:val="2F2F2F"/>
          <w:spacing w:val="3"/>
          <w:sz w:val="27"/>
          <w:szCs w:val="27"/>
          <w:highlight w:val="cyan"/>
        </w:rPr>
        <w:t>Sisk</w:t>
      </w:r>
      <w:r>
        <w:rPr>
          <w:rStyle w:val="Emphasis"/>
          <w:rFonts w:ascii="Georgia" w:hAnsi="Georgia" w:cs="Arial"/>
          <w:color w:val="2F2F2F"/>
          <w:spacing w:val="3"/>
          <w:sz w:val="27"/>
          <w:szCs w:val="27"/>
        </w:rPr>
        <w:t> </w:t>
      </w:r>
      <w:r>
        <w:rPr>
          <w:rFonts w:ascii="Georgia" w:hAnsi="Georgia" w:cs="Arial"/>
          <w:color w:val="2F2F2F"/>
          <w:spacing w:val="3"/>
          <w:sz w:val="27"/>
          <w:szCs w:val="27"/>
        </w:rPr>
        <w:t>decisions involved pedestrians injured by defects found in public streets. The </w:t>
      </w:r>
      <w:r w:rsidRPr="00326CBD">
        <w:rPr>
          <w:rStyle w:val="Emphasis"/>
          <w:rFonts w:ascii="Georgia" w:hAnsi="Georgia" w:cs="Arial"/>
          <w:color w:val="2F2F2F"/>
          <w:spacing w:val="3"/>
          <w:sz w:val="27"/>
          <w:szCs w:val="27"/>
          <w:highlight w:val="cyan"/>
        </w:rPr>
        <w:t>Vaughn</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court noted that although city ordinances might permit pedestrians to walk on the street, pedestrians are not intended users of city streets. Interpreting </w:t>
      </w:r>
      <w:r w:rsidRPr="00326CBD">
        <w:rPr>
          <w:rFonts w:ascii="Georgia" w:hAnsi="Georgia" w:cs="Arial"/>
          <w:color w:val="2F2F2F"/>
          <w:spacing w:val="3"/>
          <w:sz w:val="27"/>
          <w:szCs w:val="27"/>
          <w:highlight w:val="cyan"/>
        </w:rPr>
        <w:t>sec</w:t>
      </w:r>
      <w:r w:rsidRPr="006D72FE">
        <w:rPr>
          <w:rFonts w:ascii="Georgia" w:hAnsi="Georgia" w:cs="Arial"/>
          <w:i/>
          <w:iCs/>
          <w:spacing w:val="3"/>
          <w:sz w:val="22"/>
          <w:szCs w:val="22"/>
          <w:highlight w:val="cyan"/>
        </w:rPr>
        <w:t>*169</w:t>
      </w:r>
      <w:r w:rsidRPr="00326CBD">
        <w:rPr>
          <w:rFonts w:ascii="Georgia" w:hAnsi="Georgia" w:cs="Arial"/>
          <w:color w:val="2F2F2F"/>
          <w:spacing w:val="3"/>
          <w:sz w:val="27"/>
          <w:szCs w:val="27"/>
          <w:highlight w:val="cyan"/>
        </w:rPr>
        <w:t>tian 3—102(a)</w:t>
      </w:r>
      <w:r w:rsidRPr="00326CBD">
        <w:rPr>
          <w:rFonts w:ascii="Georgia" w:hAnsi="Georgia" w:cs="Arial"/>
          <w:color w:val="2F2F2F"/>
          <w:spacing w:val="3"/>
          <w:sz w:val="27"/>
          <w:szCs w:val="27"/>
        </w:rPr>
        <w:t>,</w:t>
      </w:r>
      <w:r>
        <w:rPr>
          <w:rFonts w:ascii="Georgia" w:hAnsi="Georgia" w:cs="Arial"/>
          <w:color w:val="2F2F2F"/>
          <w:spacing w:val="3"/>
          <w:sz w:val="27"/>
          <w:szCs w:val="27"/>
        </w:rPr>
        <w:t xml:space="preserve"> the court concluded that the statute imposed a duty only if parties were </w:t>
      </w:r>
      <w:r>
        <w:rPr>
          <w:rStyle w:val="Emphasis"/>
          <w:rFonts w:ascii="Georgia" w:hAnsi="Georgia" w:cs="Arial"/>
          <w:color w:val="2F2F2F"/>
          <w:spacing w:val="3"/>
          <w:sz w:val="27"/>
          <w:szCs w:val="27"/>
        </w:rPr>
        <w:t>"both </w:t>
      </w:r>
      <w:r>
        <w:rPr>
          <w:rFonts w:ascii="Georgia" w:hAnsi="Georgia" w:cs="Arial"/>
          <w:color w:val="2F2F2F"/>
          <w:spacing w:val="3"/>
          <w:sz w:val="27"/>
          <w:szCs w:val="27"/>
        </w:rPr>
        <w:t>permitted </w:t>
      </w:r>
      <w:r>
        <w:rPr>
          <w:rStyle w:val="Emphasis"/>
          <w:rFonts w:ascii="Georgia" w:hAnsi="Georgia" w:cs="Arial"/>
          <w:color w:val="2F2F2F"/>
          <w:spacing w:val="3"/>
          <w:sz w:val="27"/>
          <w:szCs w:val="27"/>
        </w:rPr>
        <w:t>and </w:t>
      </w:r>
      <w:r>
        <w:rPr>
          <w:rFonts w:ascii="Georgia" w:hAnsi="Georgia" w:cs="Arial"/>
          <w:color w:val="2F2F2F"/>
          <w:spacing w:val="3"/>
          <w:sz w:val="27"/>
          <w:szCs w:val="27"/>
        </w:rPr>
        <w:t>intended” users of the street. (Emphasis in original.) </w:t>
      </w:r>
      <w:r w:rsidRPr="00326CBD">
        <w:rPr>
          <w:rStyle w:val="Emphasis"/>
          <w:rFonts w:ascii="Georgia" w:hAnsi="Georgia" w:cs="Arial"/>
          <w:color w:val="2F2F2F"/>
          <w:spacing w:val="3"/>
          <w:sz w:val="27"/>
          <w:szCs w:val="27"/>
          <w:highlight w:val="cyan"/>
        </w:rPr>
        <w:t>Vaughn, </w:t>
      </w:r>
      <w:hyperlink r:id="rId43" w:anchor="p160" w:history="1">
        <w:r w:rsidRPr="00326CBD">
          <w:rPr>
            <w:rStyle w:val="Hyperlink"/>
            <w:rFonts w:ascii="Georgia" w:hAnsi="Georgia" w:cs="Arial"/>
            <w:color w:val="007BFF"/>
            <w:spacing w:val="3"/>
            <w:sz w:val="27"/>
            <w:szCs w:val="27"/>
            <w:highlight w:val="cyan"/>
          </w:rPr>
          <w:t>166 Ill. 2d at 160</w:t>
        </w:r>
      </w:hyperlink>
      <w:r>
        <w:rPr>
          <w:rFonts w:ascii="Georgia" w:hAnsi="Georgia" w:cs="Arial"/>
          <w:color w:val="2F2F2F"/>
          <w:spacing w:val="3"/>
          <w:sz w:val="27"/>
          <w:szCs w:val="27"/>
        </w:rPr>
        <w:t>. Defendants therefore did not owe plaintiffs a duty under the statute. </w:t>
      </w:r>
      <w:r w:rsidRPr="00326CBD">
        <w:rPr>
          <w:rStyle w:val="Emphasis"/>
          <w:rFonts w:ascii="Georgia" w:hAnsi="Georgia" w:cs="Arial"/>
          <w:color w:val="2F2F2F"/>
          <w:spacing w:val="3"/>
          <w:sz w:val="27"/>
          <w:szCs w:val="27"/>
          <w:highlight w:val="cyan"/>
        </w:rPr>
        <w:t>Vaughn, </w:t>
      </w:r>
      <w:r w:rsidRPr="006D72FE">
        <w:rPr>
          <w:rFonts w:ascii="Georgia" w:hAnsi="Georgia" w:cs="Arial"/>
          <w:spacing w:val="3"/>
          <w:sz w:val="27"/>
          <w:szCs w:val="27"/>
          <w:highlight w:val="cyan"/>
        </w:rPr>
        <w:t>166 Ill. 2d at 160</w:t>
      </w:r>
      <w:r w:rsidRPr="00326CBD">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w:t>
      </w:r>
      <w:r w:rsidRPr="00326CBD">
        <w:rPr>
          <w:rStyle w:val="Emphasis"/>
          <w:rFonts w:ascii="Georgia" w:hAnsi="Georgia" w:cs="Arial"/>
          <w:color w:val="2F2F2F"/>
          <w:spacing w:val="3"/>
          <w:sz w:val="27"/>
          <w:szCs w:val="27"/>
          <w:highlight w:val="cyan"/>
        </w:rPr>
        <w:t>Sisk</w:t>
      </w:r>
      <w:r>
        <w:rPr>
          <w:rStyle w:val="Emphasis"/>
          <w:rFonts w:ascii="Georgia" w:hAnsi="Georgia" w:cs="Arial"/>
          <w:color w:val="2F2F2F"/>
          <w:spacing w:val="3"/>
          <w:sz w:val="27"/>
          <w:szCs w:val="27"/>
        </w:rPr>
        <w:t> </w:t>
      </w:r>
      <w:r>
        <w:rPr>
          <w:rFonts w:ascii="Georgia" w:hAnsi="Georgia" w:cs="Arial"/>
          <w:color w:val="2F2F2F"/>
          <w:spacing w:val="3"/>
          <w:sz w:val="27"/>
          <w:szCs w:val="27"/>
        </w:rPr>
        <w:t>court applied the same rule of law, holding that defendant owed no duty to protect plaintiff from injuries he suffered on a public bridge because, as a pedestrian, plaintiff was not an intended user of the bridge. </w:t>
      </w:r>
      <w:r w:rsidRPr="00326CBD">
        <w:rPr>
          <w:rStyle w:val="Emphasis"/>
          <w:rFonts w:ascii="Georgia" w:hAnsi="Georgia" w:cs="Arial"/>
          <w:color w:val="2F2F2F"/>
          <w:spacing w:val="3"/>
          <w:sz w:val="27"/>
          <w:szCs w:val="27"/>
          <w:highlight w:val="cyan"/>
        </w:rPr>
        <w:t>Sisk, </w:t>
      </w:r>
      <w:hyperlink r:id="rId44" w:anchor="p346" w:history="1">
        <w:r w:rsidRPr="00326CBD">
          <w:rPr>
            <w:rStyle w:val="Hyperlink"/>
            <w:rFonts w:ascii="Georgia" w:hAnsi="Georgia" w:cs="Arial"/>
            <w:color w:val="007BFF"/>
            <w:spacing w:val="3"/>
            <w:sz w:val="27"/>
            <w:szCs w:val="27"/>
            <w:highlight w:val="cyan"/>
          </w:rPr>
          <w:t>167 Ill. 2d at 348-49</w:t>
        </w:r>
      </w:hyperlink>
      <w:r w:rsidRPr="00326CBD">
        <w:rPr>
          <w:rFonts w:ascii="Georgia" w:hAnsi="Georgia" w:cs="Arial"/>
          <w:color w:val="2F2F2F"/>
          <w:spacing w:val="3"/>
          <w:sz w:val="27"/>
          <w:szCs w:val="27"/>
          <w:highlight w:val="cyan"/>
        </w:rPr>
        <w:t>.</w:t>
      </w:r>
      <w:r>
        <w:rPr>
          <w:rFonts w:ascii="Georgia" w:hAnsi="Georgia" w:cs="Arial"/>
          <w:color w:val="2F2F2F"/>
          <w:spacing w:val="3"/>
          <w:sz w:val="27"/>
          <w:szCs w:val="27"/>
        </w:rPr>
        <w:t xml:space="preserve"> Accord </w:t>
      </w:r>
      <w:r w:rsidRPr="00326CBD">
        <w:rPr>
          <w:rStyle w:val="Emphasis"/>
          <w:rFonts w:ascii="Georgia" w:hAnsi="Georgia" w:cs="Arial"/>
          <w:color w:val="2F2F2F"/>
          <w:spacing w:val="3"/>
          <w:sz w:val="27"/>
          <w:szCs w:val="27"/>
          <w:highlight w:val="cyan"/>
        </w:rPr>
        <w:t>Khalil v. City of Chicago, </w:t>
      </w:r>
      <w:r w:rsidRPr="006D72FE">
        <w:rPr>
          <w:rFonts w:ascii="Georgia" w:hAnsi="Georgia" w:cs="Arial"/>
          <w:spacing w:val="3"/>
          <w:sz w:val="27"/>
          <w:szCs w:val="27"/>
          <w:highlight w:val="cyan"/>
        </w:rPr>
        <w:t>283 Ill. App. 3d 161</w:t>
      </w:r>
      <w:r w:rsidRPr="00326CBD">
        <w:rPr>
          <w:rFonts w:ascii="Georgia" w:hAnsi="Georgia" w:cs="Arial"/>
          <w:color w:val="2F2F2F"/>
          <w:spacing w:val="3"/>
          <w:sz w:val="27"/>
          <w:szCs w:val="27"/>
          <w:highlight w:val="cyan"/>
        </w:rPr>
        <w:t>, 164, </w:t>
      </w:r>
      <w:hyperlink r:id="rId45" w:history="1">
        <w:r w:rsidRPr="00326CBD">
          <w:rPr>
            <w:rStyle w:val="Hyperlink"/>
            <w:rFonts w:ascii="Georgia" w:hAnsi="Georgia" w:cs="Arial"/>
            <w:color w:val="007BFF"/>
            <w:spacing w:val="3"/>
            <w:sz w:val="27"/>
            <w:szCs w:val="27"/>
            <w:highlight w:val="cyan"/>
          </w:rPr>
          <w:t>669 N.E.2d 1189</w:t>
        </w:r>
      </w:hyperlink>
      <w:r w:rsidRPr="00326CBD">
        <w:rPr>
          <w:rFonts w:ascii="Georgia" w:hAnsi="Georgia" w:cs="Arial"/>
          <w:color w:val="2F2F2F"/>
          <w:spacing w:val="3"/>
          <w:sz w:val="27"/>
          <w:szCs w:val="27"/>
          <w:highlight w:val="cyan"/>
        </w:rPr>
        <w:t xml:space="preserve"> (1996) </w:t>
      </w:r>
      <w:r w:rsidRPr="00326CBD">
        <w:rPr>
          <w:rFonts w:ascii="Georgia" w:hAnsi="Georgia" w:cs="Arial"/>
          <w:color w:val="2F2F2F"/>
          <w:spacing w:val="3"/>
          <w:sz w:val="27"/>
          <w:szCs w:val="27"/>
        </w:rPr>
        <w:t>(</w:t>
      </w:r>
      <w:r>
        <w:rPr>
          <w:rFonts w:ascii="Georgia" w:hAnsi="Georgia" w:cs="Arial"/>
          <w:color w:val="2F2F2F"/>
          <w:spacing w:val="3"/>
          <w:sz w:val="27"/>
          <w:szCs w:val="27"/>
        </w:rPr>
        <w:t xml:space="preserve">holding that because pedestrians were not intended users of an alley, defendant owed pedestrians no duty to maintain the alley in a reasonably safe condition under </w:t>
      </w:r>
      <w:r w:rsidRPr="00326CBD">
        <w:rPr>
          <w:rFonts w:ascii="Georgia" w:hAnsi="Georgia" w:cs="Arial"/>
          <w:color w:val="2F2F2F"/>
          <w:spacing w:val="3"/>
          <w:sz w:val="27"/>
          <w:szCs w:val="27"/>
          <w:highlight w:val="cyan"/>
        </w:rPr>
        <w:t>section 3—102(a)</w:t>
      </w:r>
      <w:r>
        <w:rPr>
          <w:rFonts w:ascii="Georgia" w:hAnsi="Georgia" w:cs="Arial"/>
          <w:color w:val="2F2F2F"/>
          <w:spacing w:val="3"/>
          <w:sz w:val="27"/>
          <w:szCs w:val="27"/>
        </w:rPr>
        <w:t>).</w:t>
      </w:r>
    </w:p>
    <w:p w14:paraId="0304864C"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326CBD">
        <w:rPr>
          <w:rFonts w:ascii="Georgia" w:hAnsi="Georgia" w:cs="Arial"/>
          <w:color w:val="2F2F2F"/>
          <w:spacing w:val="3"/>
          <w:sz w:val="27"/>
          <w:szCs w:val="27"/>
          <w:highlight w:val="green"/>
        </w:rPr>
        <w:t xml:space="preserve">In this case, plaintiffs’ decedents, under no supervision, were permitted but not intended users of the property. Although the Park District constructed a public park that was open to all members of the public, a sign near the playground explicitly prescribed that children be at least five years old before using the playground and that all children be supervised. Plaintiffs’ decedents were much younger than the recommended age and entered the playground alone. Plaintiffs introduced no evidence to the contrary. The record indicates that the Park District did not intend for the lagoon to serve as a recreational body of water, such as a swimming pool or lake. The Park District owed no duty under </w:t>
      </w:r>
      <w:r w:rsidRPr="00326CBD">
        <w:rPr>
          <w:rFonts w:ascii="Georgia" w:hAnsi="Georgia" w:cs="Arial"/>
          <w:color w:val="2F2F2F"/>
          <w:spacing w:val="3"/>
          <w:sz w:val="27"/>
          <w:szCs w:val="27"/>
          <w:highlight w:val="cyan"/>
        </w:rPr>
        <w:t xml:space="preserve">section 3—102(a) </w:t>
      </w:r>
      <w:r w:rsidRPr="00326CBD">
        <w:rPr>
          <w:rFonts w:ascii="Georgia" w:hAnsi="Georgia" w:cs="Arial"/>
          <w:color w:val="2F2F2F"/>
          <w:spacing w:val="3"/>
          <w:sz w:val="27"/>
          <w:szCs w:val="27"/>
          <w:highlight w:val="green"/>
        </w:rPr>
        <w:t>to protect plaintiffs’ decedents from the lagoon.</w:t>
      </w:r>
    </w:p>
    <w:p w14:paraId="0304864D"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w:t>
      </w:r>
    </w:p>
    <w:p w14:paraId="0304864E"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w:t>
      </w:r>
      <w:r w:rsidRPr="00326CBD">
        <w:rPr>
          <w:rFonts w:ascii="Georgia" w:hAnsi="Georgia" w:cs="Arial"/>
          <w:color w:val="2F2F2F"/>
          <w:spacing w:val="3"/>
          <w:sz w:val="27"/>
          <w:szCs w:val="27"/>
        </w:rPr>
        <w:t>cite sections 3—103(a), 3—104, and 3—109(c)(1) of the Tort Immunity Act as imposing liability for the lagoon’s defective design and requiring the Park District to warn of a dangerous condition. 745 ILCS 10/3—103(a), 3—104, 3—109(c)(1) (West 1992).</w:t>
      </w:r>
    </w:p>
    <w:p w14:paraId="0304864F" w14:textId="22EDCA5F"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326CBD">
        <w:rPr>
          <w:rFonts w:ascii="Georgia" w:hAnsi="Georgia" w:cs="Arial"/>
          <w:color w:val="2F2F2F"/>
          <w:spacing w:val="3"/>
          <w:sz w:val="27"/>
          <w:szCs w:val="27"/>
          <w:highlight w:val="green"/>
        </w:rPr>
        <w:t xml:space="preserve">Defendants owe no duty under </w:t>
      </w:r>
      <w:r w:rsidRPr="00326CBD">
        <w:rPr>
          <w:rFonts w:ascii="Georgia" w:hAnsi="Georgia" w:cs="Arial"/>
          <w:color w:val="2F2F2F"/>
          <w:spacing w:val="3"/>
          <w:sz w:val="27"/>
          <w:szCs w:val="27"/>
          <w:highlight w:val="cyan"/>
        </w:rPr>
        <w:t>section 3—103 or 3—104 of the Tort Immunity Act</w:t>
      </w:r>
      <w:r w:rsidRPr="00326CBD">
        <w:rPr>
          <w:rFonts w:ascii="Georgia" w:hAnsi="Georgia" w:cs="Arial"/>
          <w:color w:val="2F2F2F"/>
          <w:spacing w:val="3"/>
          <w:sz w:val="27"/>
          <w:szCs w:val="27"/>
          <w:highlight w:val="green"/>
        </w:rPr>
        <w:t xml:space="preserve"> in the absence of a duty owed under </w:t>
      </w:r>
      <w:r w:rsidRPr="00326CBD">
        <w:rPr>
          <w:rFonts w:ascii="Georgia" w:hAnsi="Georgia" w:cs="Arial"/>
          <w:color w:val="2F2F2F"/>
          <w:spacing w:val="3"/>
          <w:sz w:val="27"/>
          <w:szCs w:val="27"/>
          <w:highlight w:val="cyan"/>
        </w:rPr>
        <w:t>section 3—102.</w:t>
      </w:r>
      <w:r>
        <w:rPr>
          <w:rFonts w:ascii="Georgia" w:hAnsi="Georgia" w:cs="Arial"/>
          <w:color w:val="2F2F2F"/>
          <w:spacing w:val="3"/>
          <w:sz w:val="27"/>
          <w:szCs w:val="27"/>
        </w:rPr>
        <w:t> </w:t>
      </w:r>
      <w:r w:rsidRPr="00326CBD">
        <w:rPr>
          <w:rStyle w:val="Emphasis"/>
          <w:rFonts w:ascii="Georgia" w:hAnsi="Georgia" w:cs="Arial"/>
          <w:color w:val="2F2F2F"/>
          <w:spacing w:val="3"/>
          <w:sz w:val="27"/>
          <w:szCs w:val="27"/>
          <w:highlight w:val="cyan"/>
        </w:rPr>
        <w:t>Curtis v. County of Cook, </w:t>
      </w:r>
      <w:r w:rsidRPr="006D72FE">
        <w:rPr>
          <w:rFonts w:ascii="Georgia" w:hAnsi="Georgia" w:cs="Arial"/>
          <w:spacing w:val="3"/>
          <w:sz w:val="27"/>
          <w:szCs w:val="27"/>
          <w:highlight w:val="cyan"/>
        </w:rPr>
        <w:t>98 Ill. 2d 158</w:t>
      </w:r>
      <w:r w:rsidRPr="00326CBD">
        <w:rPr>
          <w:rFonts w:ascii="Georgia" w:hAnsi="Georgia" w:cs="Arial"/>
          <w:color w:val="2F2F2F"/>
          <w:spacing w:val="3"/>
          <w:sz w:val="27"/>
          <w:szCs w:val="27"/>
          <w:highlight w:val="cyan"/>
        </w:rPr>
        <w:t>, 165, </w:t>
      </w:r>
      <w:hyperlink r:id="rId46" w:history="1">
        <w:r w:rsidRPr="00326CBD">
          <w:rPr>
            <w:rStyle w:val="Hyperlink"/>
            <w:rFonts w:ascii="Georgia" w:hAnsi="Georgia" w:cs="Arial"/>
            <w:color w:val="007BFF"/>
            <w:spacing w:val="3"/>
            <w:sz w:val="27"/>
            <w:szCs w:val="27"/>
            <w:highlight w:val="cyan"/>
          </w:rPr>
          <w:t>456 N.E.2d 116</w:t>
        </w:r>
      </w:hyperlink>
      <w:r w:rsidRPr="00326CBD">
        <w:rPr>
          <w:rFonts w:ascii="Georgia" w:hAnsi="Georgia" w:cs="Arial"/>
          <w:color w:val="2F2F2F"/>
          <w:spacing w:val="3"/>
          <w:sz w:val="27"/>
          <w:szCs w:val="27"/>
          <w:highlight w:val="cyan"/>
        </w:rPr>
        <w:t> (1983); </w:t>
      </w:r>
      <w:r w:rsidRPr="00326CBD">
        <w:rPr>
          <w:rStyle w:val="Emphasis"/>
          <w:rFonts w:ascii="Georgia" w:hAnsi="Georgia" w:cs="Arial"/>
          <w:color w:val="2F2F2F"/>
          <w:spacing w:val="3"/>
          <w:sz w:val="27"/>
          <w:szCs w:val="27"/>
          <w:highlight w:val="cyan"/>
        </w:rPr>
        <w:t>Thompson v. Cook County Forest Preserve District, </w:t>
      </w:r>
      <w:r w:rsidRPr="006D72FE">
        <w:rPr>
          <w:rFonts w:ascii="Georgia" w:hAnsi="Georgia" w:cs="Arial"/>
          <w:spacing w:val="3"/>
          <w:sz w:val="27"/>
          <w:szCs w:val="27"/>
          <w:highlight w:val="cyan"/>
        </w:rPr>
        <w:t>231 Ill. App. 3d 88</w:t>
      </w:r>
      <w:r w:rsidRPr="00326CBD">
        <w:rPr>
          <w:rFonts w:ascii="Georgia" w:hAnsi="Georgia" w:cs="Arial"/>
          <w:color w:val="2F2F2F"/>
          <w:spacing w:val="3"/>
          <w:sz w:val="27"/>
          <w:szCs w:val="27"/>
          <w:highlight w:val="cyan"/>
        </w:rPr>
        <w:t>, 93, </w:t>
      </w:r>
      <w:hyperlink r:id="rId47" w:history="1">
        <w:r w:rsidRPr="00326CBD">
          <w:rPr>
            <w:rStyle w:val="Hyperlink"/>
            <w:rFonts w:ascii="Georgia" w:hAnsi="Georgia" w:cs="Arial"/>
            <w:color w:val="007BFF"/>
            <w:spacing w:val="3"/>
            <w:sz w:val="27"/>
            <w:szCs w:val="27"/>
            <w:highlight w:val="cyan"/>
          </w:rPr>
          <w:t>595 N.E.2d 1254</w:t>
        </w:r>
      </w:hyperlink>
      <w:r w:rsidRPr="00326CBD">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w:t>
      </w:r>
      <w:r w:rsidRPr="00326CBD">
        <w:rPr>
          <w:rFonts w:ascii="Georgia" w:hAnsi="Georgia" w:cs="Arial"/>
          <w:color w:val="2F2F2F"/>
          <w:spacing w:val="3"/>
          <w:sz w:val="27"/>
          <w:szCs w:val="27"/>
          <w:highlight w:val="green"/>
        </w:rPr>
        <w:t xml:space="preserve">Furthermore, plaintiffs cite no authority in support of their argument that </w:t>
      </w:r>
      <w:r w:rsidRPr="00326CBD">
        <w:rPr>
          <w:rFonts w:ascii="Georgia" w:hAnsi="Georgia" w:cs="Arial"/>
          <w:color w:val="2F2F2F"/>
          <w:spacing w:val="3"/>
          <w:sz w:val="27"/>
          <w:szCs w:val="27"/>
          <w:highlight w:val="cyan"/>
        </w:rPr>
        <w:t xml:space="preserve">section 3—109 </w:t>
      </w:r>
      <w:r w:rsidRPr="00326CBD">
        <w:rPr>
          <w:rFonts w:ascii="Georgia" w:hAnsi="Georgia" w:cs="Arial"/>
          <w:color w:val="2F2F2F"/>
          <w:spacing w:val="3"/>
          <w:sz w:val="27"/>
          <w:szCs w:val="27"/>
          <w:highlight w:val="green"/>
        </w:rPr>
        <w:t xml:space="preserve">imposed a duty on the Park District to warn of a dangerous condition. </w:t>
      </w:r>
      <w:r w:rsidRPr="00326CBD">
        <w:rPr>
          <w:rFonts w:ascii="Georgia" w:hAnsi="Georgia" w:cs="Arial"/>
          <w:color w:val="2F2F2F"/>
          <w:spacing w:val="3"/>
          <w:sz w:val="27"/>
          <w:szCs w:val="27"/>
        </w:rPr>
        <w:t>The failure to cite authority in support of their section 3—109 argument constitutes a waiver of that argument on appeal. </w:t>
      </w:r>
      <w:r w:rsidRPr="00326CBD">
        <w:rPr>
          <w:rStyle w:val="Emphasis"/>
          <w:rFonts w:ascii="Georgia" w:hAnsi="Georgia" w:cs="Arial"/>
          <w:color w:val="2F2F2F"/>
          <w:spacing w:val="3"/>
          <w:sz w:val="27"/>
          <w:szCs w:val="27"/>
        </w:rPr>
        <w:t>Wasleff v. Dever, </w:t>
      </w:r>
      <w:r w:rsidRPr="006D72FE">
        <w:rPr>
          <w:rFonts w:ascii="Georgia" w:hAnsi="Georgia" w:cs="Arial"/>
          <w:spacing w:val="3"/>
          <w:sz w:val="27"/>
          <w:szCs w:val="27"/>
        </w:rPr>
        <w:t>194 Ill. App. 3d 147</w:t>
      </w:r>
      <w:r>
        <w:rPr>
          <w:rFonts w:ascii="Georgia" w:hAnsi="Georgia" w:cs="Arial"/>
          <w:color w:val="2F2F2F"/>
          <w:spacing w:val="3"/>
          <w:sz w:val="27"/>
          <w:szCs w:val="27"/>
        </w:rPr>
        <w:t>, </w:t>
      </w:r>
      <w:hyperlink r:id="rId48" w:history="1">
        <w:r>
          <w:rPr>
            <w:rStyle w:val="Hyperlink"/>
            <w:rFonts w:ascii="Georgia" w:hAnsi="Georgia" w:cs="Arial"/>
            <w:color w:val="007BFF"/>
            <w:spacing w:val="3"/>
            <w:sz w:val="27"/>
            <w:szCs w:val="27"/>
          </w:rPr>
          <w:t>550 N.E.2d 1132</w:t>
        </w:r>
      </w:hyperlink>
      <w:r>
        <w:rPr>
          <w:rFonts w:ascii="Georgia" w:hAnsi="Georgia" w:cs="Arial"/>
          <w:color w:val="2F2F2F"/>
          <w:spacing w:val="3"/>
          <w:sz w:val="27"/>
          <w:szCs w:val="27"/>
        </w:rPr>
        <w:t> (1990); 134 Ill. 2d R. 341(e)(7).</w:t>
      </w:r>
    </w:p>
    <w:p w14:paraId="03048650" w14:textId="281C7C9D"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Park District contends that even if it owed plaintiffs’ decedents a duty and acted negligently, sections 2—201, 3—103(a), </w:t>
      </w:r>
      <w:r w:rsidRPr="006D72FE">
        <w:rPr>
          <w:rFonts w:ascii="Georgia" w:hAnsi="Georgia" w:cs="Arial"/>
          <w:i/>
          <w:iCs/>
          <w:spacing w:val="3"/>
          <w:sz w:val="22"/>
          <w:szCs w:val="22"/>
        </w:rPr>
        <w:t>*170</w:t>
      </w:r>
      <w:r>
        <w:rPr>
          <w:rFonts w:ascii="Georgia" w:hAnsi="Georgia" w:cs="Arial"/>
          <w:color w:val="2F2F2F"/>
          <w:spacing w:val="3"/>
          <w:sz w:val="27"/>
          <w:szCs w:val="27"/>
        </w:rPr>
        <w:t>and 3—108 of the Tort Immunity Act immunize it against liability and bar plaintiffs’ claims. Because the Park District owes no duty to plaintiffs under either the common law or the Tort Immunity Act, the issue of whether various provisions of the Tort Immunity Act provide the Park District with immunity need not be decided.</w:t>
      </w:r>
    </w:p>
    <w:p w14:paraId="03048651"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w:t>
      </w:r>
    </w:p>
    <w:p w14:paraId="03048652"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Three counts of the Mostafa complaint and one count of the Salamah complaint allege that the Park District’s conduct was willful and wanton, in that </w:t>
      </w:r>
      <w:r w:rsidRPr="00326CBD">
        <w:rPr>
          <w:rFonts w:ascii="Georgia" w:hAnsi="Georgia" w:cs="Arial"/>
          <w:color w:val="2F2F2F"/>
          <w:spacing w:val="3"/>
          <w:sz w:val="27"/>
          <w:szCs w:val="27"/>
          <w:highlight w:val="yellow"/>
        </w:rPr>
        <w:t>the playground was constructed next to the lagoon, a gate to the park was left unlocked, Park District failed to post warning signs, and it failed to ensure that the water in the lagoon was of a safer, shallower depth.</w:t>
      </w:r>
    </w:p>
    <w:p w14:paraId="03048653" w14:textId="4FA9846B"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Willful and wanton conduct may be intentional or the result of a reckless disregard for the safety of others. The latter may be established by showing either knowledge of impending danger, combined with a failure to exercise ordinary care to prevent the danger, or a failure to discover the danger through recklessness or carelessness even though it could have been discovered through the exercise of ordinary care. </w:t>
      </w:r>
      <w:r w:rsidRPr="00326CBD">
        <w:rPr>
          <w:rStyle w:val="Emphasis"/>
          <w:rFonts w:ascii="Georgia" w:hAnsi="Georgia" w:cs="Arial"/>
          <w:color w:val="2F2F2F"/>
          <w:spacing w:val="3"/>
          <w:sz w:val="27"/>
          <w:szCs w:val="27"/>
          <w:highlight w:val="cyan"/>
        </w:rPr>
        <w:t>Ziarko v. Soo Line R.R. Co., </w:t>
      </w:r>
      <w:hyperlink r:id="rId49" w:anchor="p273" w:history="1">
        <w:r w:rsidRPr="00326CBD">
          <w:rPr>
            <w:rStyle w:val="Hyperlink"/>
            <w:rFonts w:ascii="Georgia" w:hAnsi="Georgia" w:cs="Arial"/>
            <w:color w:val="007BFF"/>
            <w:spacing w:val="3"/>
            <w:sz w:val="27"/>
            <w:szCs w:val="27"/>
            <w:highlight w:val="cyan"/>
          </w:rPr>
          <w:t>161 Ill. 2d 267</w:t>
        </w:r>
      </w:hyperlink>
      <w:r w:rsidRPr="00326CBD">
        <w:rPr>
          <w:rFonts w:ascii="Georgia" w:hAnsi="Georgia" w:cs="Arial"/>
          <w:color w:val="2F2F2F"/>
          <w:spacing w:val="3"/>
          <w:sz w:val="27"/>
          <w:szCs w:val="27"/>
          <w:highlight w:val="cyan"/>
        </w:rPr>
        <w:t>, 273, </w:t>
      </w:r>
      <w:r w:rsidRPr="006D72FE">
        <w:rPr>
          <w:rFonts w:ascii="Georgia" w:hAnsi="Georgia" w:cs="Arial"/>
          <w:spacing w:val="3"/>
          <w:sz w:val="27"/>
          <w:szCs w:val="27"/>
          <w:highlight w:val="cyan"/>
        </w:rPr>
        <w:t>641 N.E.2d 402</w:t>
      </w:r>
      <w:r w:rsidRPr="00326CBD">
        <w:rPr>
          <w:rFonts w:ascii="Georgia" w:hAnsi="Georgia" w:cs="Arial"/>
          <w:color w:val="2F2F2F"/>
          <w:spacing w:val="3"/>
          <w:sz w:val="27"/>
          <w:szCs w:val="27"/>
          <w:highlight w:val="cyan"/>
        </w:rPr>
        <w:t> (1994).</w:t>
      </w:r>
      <w:r>
        <w:rPr>
          <w:rFonts w:ascii="Georgia" w:hAnsi="Georgia" w:cs="Arial"/>
          <w:color w:val="2F2F2F"/>
          <w:spacing w:val="3"/>
          <w:sz w:val="27"/>
          <w:szCs w:val="27"/>
        </w:rPr>
        <w:t xml:space="preserve"> A person is guilty of willful and wanton conduct when he ignores known or plainly observable dangerous conditions and does something that will naturally and probably result in injury to another. </w:t>
      </w:r>
      <w:r w:rsidRPr="00326CBD">
        <w:rPr>
          <w:rStyle w:val="Emphasis"/>
          <w:rFonts w:ascii="Georgia" w:hAnsi="Georgia" w:cs="Arial"/>
          <w:color w:val="2F2F2F"/>
          <w:spacing w:val="3"/>
          <w:sz w:val="27"/>
          <w:szCs w:val="27"/>
          <w:highlight w:val="cyan"/>
        </w:rPr>
        <w:t>Glover v. City of Chicago, </w:t>
      </w:r>
      <w:hyperlink r:id="rId50" w:anchor="p1075" w:history="1">
        <w:r w:rsidRPr="00326CBD">
          <w:rPr>
            <w:rStyle w:val="Hyperlink"/>
            <w:rFonts w:ascii="Georgia" w:hAnsi="Georgia" w:cs="Arial"/>
            <w:color w:val="007BFF"/>
            <w:spacing w:val="3"/>
            <w:sz w:val="27"/>
            <w:szCs w:val="27"/>
            <w:highlight w:val="cyan"/>
          </w:rPr>
          <w:t>106 Ill. App. 3d 1066</w:t>
        </w:r>
      </w:hyperlink>
      <w:r w:rsidRPr="00326CBD">
        <w:rPr>
          <w:rFonts w:ascii="Georgia" w:hAnsi="Georgia" w:cs="Arial"/>
          <w:color w:val="2F2F2F"/>
          <w:spacing w:val="3"/>
          <w:sz w:val="27"/>
          <w:szCs w:val="27"/>
          <w:highlight w:val="cyan"/>
        </w:rPr>
        <w:t>, 1075, </w:t>
      </w:r>
      <w:r w:rsidRPr="006D72FE">
        <w:rPr>
          <w:rFonts w:ascii="Georgia" w:hAnsi="Georgia" w:cs="Arial"/>
          <w:spacing w:val="3"/>
          <w:sz w:val="27"/>
          <w:szCs w:val="27"/>
          <w:highlight w:val="cyan"/>
        </w:rPr>
        <w:t>436 N.E.2d 623</w:t>
      </w:r>
      <w:r w:rsidRPr="00326CBD">
        <w:rPr>
          <w:rFonts w:ascii="Georgia" w:hAnsi="Georgia" w:cs="Arial"/>
          <w:color w:val="2F2F2F"/>
          <w:spacing w:val="3"/>
          <w:sz w:val="27"/>
          <w:szCs w:val="27"/>
          <w:highlight w:val="cyan"/>
        </w:rPr>
        <w:t> (1982).</w:t>
      </w:r>
    </w:p>
    <w:p w14:paraId="03048654" w14:textId="259426ED"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the trier of fact decides the question of whether defendant’s conduct is willful and wanton. </w:t>
      </w:r>
      <w:r w:rsidRPr="00326CBD">
        <w:rPr>
          <w:rStyle w:val="Emphasis"/>
          <w:rFonts w:ascii="Georgia" w:hAnsi="Georgia" w:cs="Arial"/>
          <w:color w:val="2F2F2F"/>
          <w:spacing w:val="3"/>
          <w:sz w:val="27"/>
          <w:szCs w:val="27"/>
          <w:highlight w:val="cyan"/>
        </w:rPr>
        <w:t>Brown v. Chicago Park District, </w:t>
      </w:r>
      <w:hyperlink r:id="rId51" w:anchor="p943" w:history="1">
        <w:r w:rsidRPr="00326CBD">
          <w:rPr>
            <w:rStyle w:val="Hyperlink"/>
            <w:rFonts w:ascii="Georgia" w:hAnsi="Georgia" w:cs="Arial"/>
            <w:color w:val="007BFF"/>
            <w:spacing w:val="3"/>
            <w:sz w:val="27"/>
            <w:szCs w:val="27"/>
            <w:highlight w:val="cyan"/>
          </w:rPr>
          <w:t>220 Ill. App. 3d 940</w:t>
        </w:r>
      </w:hyperlink>
      <w:r w:rsidRPr="00326CBD">
        <w:rPr>
          <w:rFonts w:ascii="Georgia" w:hAnsi="Georgia" w:cs="Arial"/>
          <w:color w:val="2F2F2F"/>
          <w:spacing w:val="3"/>
          <w:sz w:val="27"/>
          <w:szCs w:val="27"/>
          <w:highlight w:val="cyan"/>
        </w:rPr>
        <w:t>, 943, </w:t>
      </w:r>
      <w:r w:rsidRPr="006D72FE">
        <w:rPr>
          <w:rFonts w:ascii="Georgia" w:hAnsi="Georgia" w:cs="Arial"/>
          <w:spacing w:val="3"/>
          <w:sz w:val="27"/>
          <w:szCs w:val="27"/>
          <w:highlight w:val="cyan"/>
        </w:rPr>
        <w:t>581 N.E.2d 355</w:t>
      </w:r>
      <w:r w:rsidRPr="00326CBD">
        <w:rPr>
          <w:rFonts w:ascii="Georgia" w:hAnsi="Georgia" w:cs="Arial"/>
          <w:color w:val="2F2F2F"/>
          <w:spacing w:val="3"/>
          <w:sz w:val="27"/>
          <w:szCs w:val="27"/>
          <w:highlight w:val="cyan"/>
        </w:rPr>
        <w:t> (1991); </w:t>
      </w:r>
      <w:r w:rsidRPr="00326CBD">
        <w:rPr>
          <w:rStyle w:val="Emphasis"/>
          <w:rFonts w:ascii="Georgia" w:hAnsi="Georgia" w:cs="Arial"/>
          <w:color w:val="2F2F2F"/>
          <w:spacing w:val="3"/>
          <w:sz w:val="27"/>
          <w:szCs w:val="27"/>
          <w:highlight w:val="cyan"/>
        </w:rPr>
        <w:t>Glover, </w:t>
      </w:r>
      <w:hyperlink r:id="rId52" w:anchor="p1075" w:history="1">
        <w:r w:rsidRPr="00326CBD">
          <w:rPr>
            <w:rStyle w:val="Hyperlink"/>
            <w:rFonts w:ascii="Georgia" w:hAnsi="Georgia" w:cs="Arial"/>
            <w:color w:val="007BFF"/>
            <w:spacing w:val="3"/>
            <w:sz w:val="27"/>
            <w:szCs w:val="27"/>
            <w:highlight w:val="cyan"/>
          </w:rPr>
          <w:t>106 Ill. App. 3d at 1075</w:t>
        </w:r>
      </w:hyperlink>
      <w:r w:rsidRPr="00326CBD">
        <w:rPr>
          <w:rFonts w:ascii="Georgia" w:hAnsi="Georgia" w:cs="Arial"/>
          <w:color w:val="2F2F2F"/>
          <w:spacing w:val="3"/>
          <w:sz w:val="27"/>
          <w:szCs w:val="27"/>
          <w:highlight w:val="cyan"/>
        </w:rPr>
        <w:t>.</w:t>
      </w:r>
      <w:r>
        <w:rPr>
          <w:rFonts w:ascii="Georgia" w:hAnsi="Georgia" w:cs="Arial"/>
          <w:color w:val="2F2F2F"/>
          <w:spacing w:val="3"/>
          <w:sz w:val="27"/>
          <w:szCs w:val="27"/>
        </w:rPr>
        <w:t xml:space="preserve"> A reviewing court may resolve that issue, however, if the evidence so overwhelmingly favors one party that a contrary determination cannot stand. </w:t>
      </w:r>
      <w:r w:rsidRPr="00326CBD">
        <w:rPr>
          <w:rStyle w:val="Emphasis"/>
          <w:rFonts w:ascii="Georgia" w:hAnsi="Georgia" w:cs="Arial"/>
          <w:color w:val="2F2F2F"/>
          <w:spacing w:val="3"/>
          <w:sz w:val="27"/>
          <w:szCs w:val="27"/>
        </w:rPr>
        <w:t>Brown, </w:t>
      </w:r>
      <w:r w:rsidRPr="006D72FE">
        <w:rPr>
          <w:rFonts w:ascii="Georgia" w:hAnsi="Georgia" w:cs="Arial"/>
          <w:spacing w:val="3"/>
          <w:sz w:val="27"/>
          <w:szCs w:val="27"/>
        </w:rPr>
        <w:t>220 Ill. App. 3d at 943</w:t>
      </w:r>
      <w:r w:rsidRPr="00326CBD">
        <w:rPr>
          <w:rFonts w:ascii="Georgia" w:hAnsi="Georgia" w:cs="Arial"/>
          <w:color w:val="2F2F2F"/>
          <w:spacing w:val="3"/>
          <w:sz w:val="27"/>
          <w:szCs w:val="27"/>
        </w:rPr>
        <w:t>.</w:t>
      </w:r>
    </w:p>
    <w:p w14:paraId="03048655" w14:textId="49257E2A"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If plaintiffs cannot establish the existence of a common law duty as part of their negligence claims, then their claims for willful and wanton conduct also must fail. </w:t>
      </w:r>
      <w:r w:rsidRPr="00326CBD">
        <w:rPr>
          <w:rStyle w:val="Emphasis"/>
          <w:rFonts w:ascii="Georgia" w:hAnsi="Georgia" w:cs="Arial"/>
          <w:color w:val="2F2F2F"/>
          <w:spacing w:val="3"/>
          <w:sz w:val="27"/>
          <w:szCs w:val="27"/>
          <w:highlight w:val="cyan"/>
        </w:rPr>
        <w:t>Spencer v. City of Chicago, </w:t>
      </w:r>
      <w:hyperlink r:id="rId53" w:history="1">
        <w:r w:rsidRPr="00326CBD">
          <w:rPr>
            <w:rStyle w:val="Hyperlink"/>
            <w:rFonts w:ascii="Georgia" w:hAnsi="Georgia" w:cs="Arial"/>
            <w:color w:val="007BFF"/>
            <w:spacing w:val="3"/>
            <w:sz w:val="27"/>
            <w:szCs w:val="27"/>
            <w:highlight w:val="cyan"/>
          </w:rPr>
          <w:t>192 Ill. App. 3d 150</w:t>
        </w:r>
      </w:hyperlink>
      <w:r w:rsidRPr="00326CBD">
        <w:rPr>
          <w:rFonts w:ascii="Georgia" w:hAnsi="Georgia" w:cs="Arial"/>
          <w:color w:val="2F2F2F"/>
          <w:spacing w:val="3"/>
          <w:sz w:val="27"/>
          <w:szCs w:val="27"/>
          <w:highlight w:val="cyan"/>
        </w:rPr>
        <w:t>, </w:t>
      </w:r>
      <w:r w:rsidRPr="006D72FE">
        <w:rPr>
          <w:rFonts w:ascii="Georgia" w:hAnsi="Georgia" w:cs="Arial"/>
          <w:spacing w:val="3"/>
          <w:sz w:val="27"/>
          <w:szCs w:val="27"/>
          <w:highlight w:val="cyan"/>
        </w:rPr>
        <w:t>548 N.E.2d 601</w:t>
      </w:r>
      <w:r w:rsidRPr="00326CBD">
        <w:rPr>
          <w:rFonts w:ascii="Georgia" w:hAnsi="Georgia" w:cs="Arial"/>
          <w:color w:val="2F2F2F"/>
          <w:spacing w:val="3"/>
          <w:sz w:val="27"/>
          <w:szCs w:val="27"/>
          <w:highlight w:val="cyan"/>
        </w:rPr>
        <w:t> (1989).</w:t>
      </w:r>
      <w:r>
        <w:rPr>
          <w:rFonts w:ascii="Georgia" w:hAnsi="Georgia" w:cs="Arial"/>
          <w:color w:val="2F2F2F"/>
          <w:spacing w:val="3"/>
          <w:sz w:val="27"/>
          <w:szCs w:val="27"/>
        </w:rPr>
        <w:t xml:space="preserve"> In </w:t>
      </w:r>
      <w:r w:rsidRPr="00326CBD">
        <w:rPr>
          <w:rStyle w:val="Emphasis"/>
          <w:rFonts w:ascii="Georgia" w:hAnsi="Georgia" w:cs="Arial"/>
          <w:color w:val="2F2F2F"/>
          <w:spacing w:val="3"/>
          <w:sz w:val="27"/>
          <w:szCs w:val="27"/>
          <w:highlight w:val="cyan"/>
        </w:rPr>
        <w:t>Spencer</w:t>
      </w:r>
      <w:r>
        <w:rPr>
          <w:rStyle w:val="Emphasis"/>
          <w:rFonts w:ascii="Georgia" w:hAnsi="Georgia" w:cs="Arial"/>
          <w:color w:val="2F2F2F"/>
          <w:spacing w:val="3"/>
          <w:sz w:val="27"/>
          <w:szCs w:val="27"/>
        </w:rPr>
        <w:t>, </w:t>
      </w:r>
      <w:r>
        <w:rPr>
          <w:rFonts w:ascii="Georgia" w:hAnsi="Georgia" w:cs="Arial"/>
          <w:color w:val="2F2F2F"/>
          <w:spacing w:val="3"/>
          <w:sz w:val="27"/>
          <w:szCs w:val="27"/>
        </w:rPr>
        <w:t>plaintiff’s three-year-old son wandered away from his house, crossed the street, walked to a local park and played near a lagoon, where he fell into the water and drowned. </w:t>
      </w:r>
      <w:hyperlink r:id="rId54" w:history="1">
        <w:r w:rsidRPr="00326CBD">
          <w:rPr>
            <w:rStyle w:val="Hyperlink"/>
            <w:rFonts w:ascii="Georgia" w:hAnsi="Georgia" w:cs="Arial"/>
            <w:color w:val="007BFF"/>
            <w:spacing w:val="3"/>
            <w:sz w:val="27"/>
            <w:szCs w:val="27"/>
            <w:highlight w:val="cyan"/>
          </w:rPr>
          <w:t>192 Ill. App. 3d at 151</w:t>
        </w:r>
      </w:hyperlink>
      <w:r w:rsidRPr="00326CBD">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w:t>
      </w:r>
      <w:r w:rsidRPr="00326CBD">
        <w:rPr>
          <w:rStyle w:val="Emphasis"/>
          <w:rFonts w:ascii="Georgia" w:hAnsi="Georgia" w:cs="Arial"/>
          <w:color w:val="2F2F2F"/>
          <w:spacing w:val="3"/>
          <w:sz w:val="27"/>
          <w:szCs w:val="27"/>
          <w:highlight w:val="cyan"/>
        </w:rPr>
        <w:t>Spencer</w:t>
      </w:r>
      <w:r>
        <w:rPr>
          <w:rStyle w:val="Emphasis"/>
          <w:rFonts w:ascii="Georgia" w:hAnsi="Georgia" w:cs="Arial"/>
          <w:color w:val="2F2F2F"/>
          <w:spacing w:val="3"/>
          <w:sz w:val="27"/>
          <w:szCs w:val="27"/>
        </w:rPr>
        <w:t> </w:t>
      </w:r>
      <w:r>
        <w:rPr>
          <w:rFonts w:ascii="Georgia" w:hAnsi="Georgia" w:cs="Arial"/>
          <w:color w:val="2F2F2F"/>
          <w:spacing w:val="3"/>
          <w:sz w:val="27"/>
          <w:szCs w:val="27"/>
        </w:rPr>
        <w:t>court held that because defendants owed no duty to protect against the danger of falling into water, plaintiffs could not establish a claim for willful and wanton conduct. </w:t>
      </w:r>
      <w:r w:rsidRPr="006D72FE">
        <w:rPr>
          <w:rFonts w:ascii="Georgia" w:hAnsi="Georgia" w:cs="Arial"/>
          <w:spacing w:val="3"/>
          <w:sz w:val="27"/>
          <w:szCs w:val="27"/>
          <w:highlight w:val="cyan"/>
        </w:rPr>
        <w:t>192 Ill. App. 3d at 156</w:t>
      </w:r>
      <w:r>
        <w:rPr>
          <w:rFonts w:ascii="Georgia" w:hAnsi="Georgia" w:cs="Arial"/>
          <w:color w:val="2F2F2F"/>
          <w:spacing w:val="3"/>
          <w:sz w:val="27"/>
          <w:szCs w:val="27"/>
        </w:rPr>
        <w:t xml:space="preserve">. </w:t>
      </w:r>
      <w:r w:rsidRPr="00326CBD">
        <w:rPr>
          <w:rFonts w:ascii="Georgia" w:hAnsi="Georgia" w:cs="Arial"/>
          <w:color w:val="2F2F2F"/>
          <w:spacing w:val="3"/>
          <w:sz w:val="27"/>
          <w:szCs w:val="27"/>
          <w:highlight w:val="green"/>
        </w:rPr>
        <w:t>Here, the Park District owed no duty to prevent the drownings, and plaintiffs’ claim for willful and wanton conduct cannot stand.</w:t>
      </w:r>
    </w:p>
    <w:p w14:paraId="03048656" w14:textId="659D1F66" w:rsidR="00F2163A" w:rsidRDefault="006D72FE" w:rsidP="00F2163A">
      <w:pPr>
        <w:pStyle w:val="NormalWeb"/>
        <w:shd w:val="clear" w:color="auto" w:fill="FFFFFF"/>
        <w:spacing w:after="225" w:afterAutospacing="0"/>
        <w:rPr>
          <w:rFonts w:ascii="Georgia" w:hAnsi="Georgia" w:cs="Arial"/>
          <w:color w:val="2F2F2F"/>
          <w:spacing w:val="3"/>
          <w:sz w:val="27"/>
          <w:szCs w:val="27"/>
        </w:rPr>
      </w:pPr>
      <w:hyperlink r:id="rId55" w:anchor="p171" w:history="1">
        <w:r w:rsidR="00F2163A">
          <w:rPr>
            <w:rStyle w:val="Hyperlink"/>
            <w:rFonts w:ascii="Georgia" w:hAnsi="Georgia" w:cs="Arial"/>
            <w:i/>
            <w:iCs/>
            <w:color w:val="979797"/>
            <w:spacing w:val="3"/>
            <w:sz w:val="22"/>
            <w:szCs w:val="22"/>
          </w:rPr>
          <w:t>*171</w:t>
        </w:r>
      </w:hyperlink>
      <w:r w:rsidR="00F2163A">
        <w:rPr>
          <w:rFonts w:ascii="Georgia" w:hAnsi="Georgia" w:cs="Arial"/>
          <w:color w:val="2F2F2F"/>
          <w:spacing w:val="3"/>
          <w:sz w:val="27"/>
          <w:szCs w:val="27"/>
        </w:rPr>
        <w:t>Plaintiffs assert the Park District nevertheless may be liable for willful and wanton conduct because the lagoon contained a defective condition, specifically water that was not shallow enough and that was located too close to a playground. In </w:t>
      </w:r>
      <w:r w:rsidR="00F2163A" w:rsidRPr="00326CBD">
        <w:rPr>
          <w:rStyle w:val="Emphasis"/>
          <w:rFonts w:ascii="Georgia" w:hAnsi="Georgia" w:cs="Arial"/>
          <w:color w:val="2F2F2F"/>
          <w:spacing w:val="3"/>
          <w:sz w:val="27"/>
          <w:szCs w:val="27"/>
          <w:highlight w:val="cyan"/>
        </w:rPr>
        <w:t>Carter v. New Trier East High School, </w:t>
      </w:r>
      <w:r w:rsidR="00F2163A" w:rsidRPr="006D72FE">
        <w:rPr>
          <w:rFonts w:ascii="Georgia" w:hAnsi="Georgia" w:cs="Arial"/>
          <w:spacing w:val="3"/>
          <w:sz w:val="27"/>
          <w:szCs w:val="27"/>
          <w:highlight w:val="cyan"/>
        </w:rPr>
        <w:t>272 Ill. App. 3d 551</w:t>
      </w:r>
      <w:r w:rsidR="00F2163A" w:rsidRPr="00326CBD">
        <w:rPr>
          <w:rFonts w:ascii="Georgia" w:hAnsi="Georgia" w:cs="Arial"/>
          <w:color w:val="2F2F2F"/>
          <w:spacing w:val="3"/>
          <w:sz w:val="27"/>
          <w:szCs w:val="27"/>
          <w:highlight w:val="cyan"/>
        </w:rPr>
        <w:t>, 557, </w:t>
      </w:r>
      <w:hyperlink r:id="rId56" w:history="1">
        <w:r w:rsidR="00F2163A" w:rsidRPr="00326CBD">
          <w:rPr>
            <w:rStyle w:val="Hyperlink"/>
            <w:rFonts w:ascii="Georgia" w:hAnsi="Georgia" w:cs="Arial"/>
            <w:color w:val="007BFF"/>
            <w:spacing w:val="3"/>
            <w:sz w:val="27"/>
            <w:szCs w:val="27"/>
            <w:highlight w:val="cyan"/>
          </w:rPr>
          <w:t>650 N.E.2d 657</w:t>
        </w:r>
      </w:hyperlink>
      <w:r w:rsidR="00F2163A" w:rsidRPr="00326CBD">
        <w:rPr>
          <w:rFonts w:ascii="Georgia" w:hAnsi="Georgia" w:cs="Arial"/>
          <w:color w:val="2F2F2F"/>
          <w:spacing w:val="3"/>
          <w:sz w:val="27"/>
          <w:szCs w:val="27"/>
          <w:highlight w:val="cyan"/>
        </w:rPr>
        <w:t> (1995),</w:t>
      </w:r>
      <w:r w:rsidR="00F2163A">
        <w:rPr>
          <w:rFonts w:ascii="Georgia" w:hAnsi="Georgia" w:cs="Arial"/>
          <w:color w:val="2F2F2F"/>
          <w:spacing w:val="3"/>
          <w:sz w:val="27"/>
          <w:szCs w:val="27"/>
        </w:rPr>
        <w:t xml:space="preserve"> the court held that a defendant is guilty of willful and wanton conduct if it not only disregards a defective condition, but also fails to inspect the premises and respond to complaints, even though it knows others have been injured by the </w:t>
      </w:r>
      <w:r w:rsidR="00F2163A" w:rsidRPr="00B2008A">
        <w:rPr>
          <w:rFonts w:ascii="Georgia" w:hAnsi="Georgia" w:cs="Arial"/>
          <w:color w:val="2F2F2F"/>
          <w:spacing w:val="3"/>
          <w:sz w:val="27"/>
          <w:szCs w:val="27"/>
        </w:rPr>
        <w:t>condition. The </w:t>
      </w:r>
      <w:r w:rsidR="00F2163A" w:rsidRPr="00B2008A">
        <w:rPr>
          <w:rStyle w:val="Emphasis"/>
          <w:rFonts w:ascii="Georgia" w:hAnsi="Georgia" w:cs="Arial"/>
          <w:color w:val="2F2F2F"/>
          <w:spacing w:val="3"/>
          <w:sz w:val="27"/>
          <w:szCs w:val="27"/>
          <w:highlight w:val="cyan"/>
        </w:rPr>
        <w:t>Carter</w:t>
      </w:r>
      <w:r w:rsidR="00F2163A" w:rsidRPr="00B2008A">
        <w:rPr>
          <w:rStyle w:val="Emphasis"/>
          <w:rFonts w:ascii="Georgia" w:hAnsi="Georgia" w:cs="Arial"/>
          <w:color w:val="2F2F2F"/>
          <w:spacing w:val="3"/>
          <w:sz w:val="27"/>
          <w:szCs w:val="27"/>
        </w:rPr>
        <w:t> </w:t>
      </w:r>
      <w:r w:rsidR="00F2163A" w:rsidRPr="00B2008A">
        <w:rPr>
          <w:rFonts w:ascii="Georgia" w:hAnsi="Georgia" w:cs="Arial"/>
          <w:color w:val="2F2F2F"/>
          <w:spacing w:val="3"/>
          <w:sz w:val="27"/>
          <w:szCs w:val="27"/>
        </w:rPr>
        <w:t>decision is distinguishable from the present case. In </w:t>
      </w:r>
      <w:r w:rsidR="00F2163A" w:rsidRPr="00B2008A">
        <w:rPr>
          <w:rStyle w:val="Emphasis"/>
          <w:rFonts w:ascii="Georgia" w:hAnsi="Georgia" w:cs="Arial"/>
          <w:color w:val="2F2F2F"/>
          <w:spacing w:val="3"/>
          <w:sz w:val="27"/>
          <w:szCs w:val="27"/>
          <w:highlight w:val="cyan"/>
        </w:rPr>
        <w:t>Carter</w:t>
      </w:r>
      <w:r w:rsidR="00F2163A" w:rsidRPr="00B2008A">
        <w:rPr>
          <w:rStyle w:val="Emphasis"/>
          <w:rFonts w:ascii="Georgia" w:hAnsi="Georgia" w:cs="Arial"/>
          <w:color w:val="2F2F2F"/>
          <w:spacing w:val="3"/>
          <w:sz w:val="27"/>
          <w:szCs w:val="27"/>
        </w:rPr>
        <w:t>, </w:t>
      </w:r>
      <w:r w:rsidR="00F2163A" w:rsidRPr="00B2008A">
        <w:rPr>
          <w:rFonts w:ascii="Georgia" w:hAnsi="Georgia" w:cs="Arial"/>
          <w:color w:val="2F2F2F"/>
          <w:spacing w:val="3"/>
          <w:sz w:val="27"/>
          <w:szCs w:val="27"/>
        </w:rPr>
        <w:t>plaintiff alleged that defendant knew of the dangerous condition of the property for a long time and failed to take any action. Plaintiff further</w:t>
      </w:r>
      <w:r w:rsidR="00F2163A">
        <w:rPr>
          <w:rFonts w:ascii="Georgia" w:hAnsi="Georgia" w:cs="Arial"/>
          <w:color w:val="2F2F2F"/>
          <w:spacing w:val="3"/>
          <w:sz w:val="27"/>
          <w:szCs w:val="27"/>
        </w:rPr>
        <w:t xml:space="preserve"> stated that defendant obtained this knowledge through numerous complaints and reports of injuries resulting from the dangerous condition</w:t>
      </w:r>
      <w:r w:rsidR="00F2163A" w:rsidRPr="00B2008A">
        <w:rPr>
          <w:rFonts w:ascii="Georgia" w:hAnsi="Georgia" w:cs="Arial"/>
          <w:color w:val="2F2F2F"/>
          <w:spacing w:val="3"/>
          <w:sz w:val="27"/>
          <w:szCs w:val="27"/>
        </w:rPr>
        <w:t xml:space="preserve">. In contrast, </w:t>
      </w:r>
      <w:r w:rsidR="00F2163A" w:rsidRPr="00B2008A">
        <w:rPr>
          <w:rFonts w:ascii="Georgia" w:hAnsi="Georgia" w:cs="Arial"/>
          <w:color w:val="2F2F2F"/>
          <w:spacing w:val="3"/>
          <w:sz w:val="27"/>
          <w:szCs w:val="27"/>
          <w:highlight w:val="green"/>
        </w:rPr>
        <w:t xml:space="preserve">in the present </w:t>
      </w:r>
      <w:r w:rsidR="00F2163A" w:rsidRPr="00326CBD">
        <w:rPr>
          <w:rFonts w:ascii="Georgia" w:hAnsi="Georgia" w:cs="Arial"/>
          <w:color w:val="2F2F2F"/>
          <w:spacing w:val="3"/>
          <w:sz w:val="27"/>
          <w:szCs w:val="27"/>
          <w:highlight w:val="green"/>
        </w:rPr>
        <w:t>case, plaintiffs do not allege that anyone complained about the lagoon. Furthermore, plaintiffs do not claim that any accidents occurred at the lagoon. In fact, the Park District introduced evidence proving the opposite, that it could not have known the lagoon was dangerous because no one had ever been injured there, and no one had ever complained about it. Plaintiffs did not produce any affidavits or other evidence to counter these contentions. Because the Park District did not recklessly ignore a dangerous condition on its property that had already injured others, it cannot be found to have acted willfully and wantonly under </w:t>
      </w:r>
      <w:r w:rsidR="00F2163A" w:rsidRPr="00326CBD">
        <w:rPr>
          <w:rStyle w:val="Emphasis"/>
          <w:rFonts w:ascii="Georgia" w:hAnsi="Georgia" w:cs="Arial"/>
          <w:color w:val="2F2F2F"/>
          <w:spacing w:val="3"/>
          <w:sz w:val="27"/>
          <w:szCs w:val="27"/>
          <w:highlight w:val="cyan"/>
        </w:rPr>
        <w:t>Carter.</w:t>
      </w:r>
    </w:p>
    <w:p w14:paraId="03048657" w14:textId="7EF071C2" w:rsidR="00F2163A" w:rsidRPr="00B2008A" w:rsidRDefault="00F2163A" w:rsidP="00F2163A">
      <w:pPr>
        <w:pStyle w:val="NormalWeb"/>
        <w:shd w:val="clear" w:color="auto" w:fill="FFFFFF"/>
        <w:spacing w:after="225" w:afterAutospacing="0"/>
        <w:rPr>
          <w:rFonts w:ascii="Georgia" w:hAnsi="Georgia" w:cs="Arial"/>
          <w:color w:val="2F2F2F"/>
          <w:spacing w:val="3"/>
          <w:sz w:val="27"/>
          <w:szCs w:val="27"/>
          <w:highlight w:val="green"/>
        </w:rPr>
      </w:pPr>
      <w:r>
        <w:rPr>
          <w:rFonts w:ascii="Georgia" w:hAnsi="Georgia" w:cs="Arial"/>
          <w:color w:val="2F2F2F"/>
          <w:spacing w:val="3"/>
          <w:sz w:val="27"/>
          <w:szCs w:val="27"/>
        </w:rPr>
        <w:t>Plaintiffs cite other cases in support of their argument that the Park District’s conduct was willful and wanton, which are also distinguishable. In </w:t>
      </w:r>
      <w:r w:rsidRPr="00B2008A">
        <w:rPr>
          <w:rStyle w:val="Emphasis"/>
          <w:rFonts w:ascii="Georgia" w:hAnsi="Georgia" w:cs="Arial"/>
          <w:color w:val="2F2F2F"/>
          <w:spacing w:val="3"/>
          <w:sz w:val="27"/>
          <w:szCs w:val="27"/>
        </w:rPr>
        <w:t>Latimer v. Latimer, </w:t>
      </w:r>
      <w:r w:rsidRPr="006D72FE">
        <w:rPr>
          <w:rFonts w:ascii="Georgia" w:hAnsi="Georgia" w:cs="Arial"/>
          <w:spacing w:val="3"/>
          <w:sz w:val="27"/>
          <w:szCs w:val="27"/>
        </w:rPr>
        <w:t>66 Ill. App. 3d 685</w:t>
      </w:r>
      <w:r w:rsidRPr="00B2008A">
        <w:rPr>
          <w:rFonts w:ascii="Georgia" w:hAnsi="Georgia" w:cs="Arial"/>
          <w:color w:val="2F2F2F"/>
          <w:spacing w:val="3"/>
          <w:sz w:val="27"/>
          <w:szCs w:val="27"/>
        </w:rPr>
        <w:t>, 689, </w:t>
      </w:r>
      <w:hyperlink r:id="rId57" w:history="1">
        <w:r w:rsidRPr="00B2008A">
          <w:rPr>
            <w:rStyle w:val="Hyperlink"/>
            <w:rFonts w:ascii="Georgia" w:hAnsi="Georgia" w:cs="Arial"/>
            <w:color w:val="007BFF"/>
            <w:spacing w:val="3"/>
            <w:sz w:val="27"/>
            <w:szCs w:val="27"/>
          </w:rPr>
          <w:t>384 N.E.2d 107</w:t>
        </w:r>
      </w:hyperlink>
      <w:r w:rsidRPr="00B2008A">
        <w:rPr>
          <w:rFonts w:ascii="Georgia" w:hAnsi="Georgia" w:cs="Arial"/>
          <w:color w:val="2F2F2F"/>
          <w:spacing w:val="3"/>
          <w:sz w:val="27"/>
          <w:szCs w:val="27"/>
        </w:rPr>
        <w:t> (1978),</w:t>
      </w:r>
      <w:r>
        <w:rPr>
          <w:rFonts w:ascii="Georgia" w:hAnsi="Georgia" w:cs="Arial"/>
          <w:color w:val="2F2F2F"/>
          <w:spacing w:val="3"/>
          <w:sz w:val="27"/>
          <w:szCs w:val="27"/>
        </w:rPr>
        <w:t xml:space="preserve"> the court held that the failure to warn a social guest or licensee of a concealed dangerous condition on the premises could constitute willful and wanton misconduct if the host knew of the dangerous condition. In the present case, </w:t>
      </w:r>
      <w:r w:rsidRPr="00B2008A">
        <w:rPr>
          <w:rFonts w:ascii="Georgia" w:hAnsi="Georgia" w:cs="Arial"/>
          <w:color w:val="2F2F2F"/>
          <w:spacing w:val="3"/>
          <w:sz w:val="27"/>
          <w:szCs w:val="27"/>
          <w:highlight w:val="yellow"/>
        </w:rPr>
        <w:t>the Park District official swore in an affidavit that no one knew the lagoon might be dangerous, in light of the fact that no accidents had occurred there in the 13 years since the lagoon was built.</w:t>
      </w:r>
      <w:r>
        <w:rPr>
          <w:rFonts w:ascii="Georgia" w:hAnsi="Georgia" w:cs="Arial"/>
          <w:color w:val="2F2F2F"/>
          <w:spacing w:val="3"/>
          <w:sz w:val="27"/>
          <w:szCs w:val="27"/>
        </w:rPr>
        <w:t xml:space="preserve"> In </w:t>
      </w:r>
      <w:r w:rsidRPr="00B2008A">
        <w:rPr>
          <w:rStyle w:val="Emphasis"/>
          <w:rFonts w:ascii="Georgia" w:hAnsi="Georgia" w:cs="Arial"/>
          <w:color w:val="2F2F2F"/>
          <w:spacing w:val="3"/>
          <w:sz w:val="27"/>
          <w:szCs w:val="27"/>
        </w:rPr>
        <w:t>Eaton v. Baltimore &amp; Ohio R.R. Co., </w:t>
      </w:r>
      <w:r w:rsidRPr="006D72FE">
        <w:rPr>
          <w:rFonts w:ascii="Georgia" w:hAnsi="Georgia" w:cs="Arial"/>
          <w:spacing w:val="3"/>
          <w:sz w:val="27"/>
          <w:szCs w:val="27"/>
        </w:rPr>
        <w:t>198 Ill. App. 3d 137</w:t>
      </w:r>
      <w:r w:rsidRPr="00B2008A">
        <w:rPr>
          <w:rFonts w:ascii="Georgia" w:hAnsi="Georgia" w:cs="Arial"/>
          <w:color w:val="2F2F2F"/>
          <w:spacing w:val="3"/>
          <w:sz w:val="27"/>
          <w:szCs w:val="27"/>
        </w:rPr>
        <w:t>, 139, </w:t>
      </w:r>
      <w:hyperlink r:id="rId58" w:history="1">
        <w:r w:rsidRPr="00B2008A">
          <w:rPr>
            <w:rStyle w:val="Hyperlink"/>
            <w:rFonts w:ascii="Georgia" w:hAnsi="Georgia" w:cs="Arial"/>
            <w:color w:val="007BFF"/>
            <w:spacing w:val="3"/>
            <w:sz w:val="27"/>
            <w:szCs w:val="27"/>
          </w:rPr>
          <w:t>555 N.E.2d 790</w:t>
        </w:r>
      </w:hyperlink>
      <w:r w:rsidRPr="00B2008A">
        <w:rPr>
          <w:rFonts w:ascii="Georgia" w:hAnsi="Georgia" w:cs="Arial"/>
          <w:color w:val="2F2F2F"/>
          <w:spacing w:val="3"/>
          <w:sz w:val="27"/>
          <w:szCs w:val="27"/>
        </w:rPr>
        <w:t> (1990)</w:t>
      </w:r>
      <w:r>
        <w:rPr>
          <w:rFonts w:ascii="Georgia" w:hAnsi="Georgia" w:cs="Arial"/>
          <w:color w:val="2F2F2F"/>
          <w:spacing w:val="3"/>
          <w:sz w:val="27"/>
          <w:szCs w:val="27"/>
        </w:rPr>
        <w:t>, the court held that plaintiff, who was hit by a train, stated a claim for willful and wanton conduct because Illinois law imposed certain duties on railroads that allow the public to regularly travel over its tracks, and defendant’s breach of these duties could constitute willful and wanton conduct. </w:t>
      </w:r>
      <w:r w:rsidRPr="006D72FE">
        <w:rPr>
          <w:rFonts w:ascii="Georgia" w:hAnsi="Georgia" w:cs="Arial"/>
          <w:spacing w:val="3"/>
          <w:sz w:val="27"/>
          <w:szCs w:val="27"/>
        </w:rPr>
        <w:t>198 Ill. App. 3d at 141</w:t>
      </w:r>
      <w:r>
        <w:rPr>
          <w:rFonts w:ascii="Georgia" w:hAnsi="Georgia" w:cs="Arial"/>
          <w:color w:val="2F2F2F"/>
          <w:spacing w:val="3"/>
          <w:sz w:val="27"/>
          <w:szCs w:val="27"/>
        </w:rPr>
        <w:t xml:space="preserve">. In contrast, </w:t>
      </w:r>
      <w:r w:rsidRPr="00B2008A">
        <w:rPr>
          <w:rFonts w:ascii="Georgia" w:hAnsi="Georgia" w:cs="Arial"/>
          <w:color w:val="2F2F2F"/>
          <w:spacing w:val="3"/>
          <w:sz w:val="27"/>
          <w:szCs w:val="27"/>
          <w:highlight w:val="green"/>
        </w:rPr>
        <w:t>in the present case, the Park District owed no duty to prevent plaintiffs’ decedents from falling into the lagoon.</w:t>
      </w:r>
    </w:p>
    <w:p w14:paraId="03048658"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2008A">
        <w:rPr>
          <w:rFonts w:ascii="Georgia" w:hAnsi="Georgia" w:cs="Arial"/>
          <w:color w:val="2F2F2F"/>
          <w:spacing w:val="3"/>
          <w:sz w:val="27"/>
          <w:szCs w:val="27"/>
          <w:highlight w:val="green"/>
        </w:rPr>
        <w:t>Plaintiffs in the present case failed to state a claim for willful or wanton conduct, as the circuit court correctly held.</w:t>
      </w:r>
    </w:p>
    <w:p w14:paraId="03048659" w14:textId="77777777" w:rsidR="00F2163A" w:rsidRDefault="006D72FE" w:rsidP="00F2163A">
      <w:pPr>
        <w:pStyle w:val="NormalWeb"/>
        <w:shd w:val="clear" w:color="auto" w:fill="FFFFFF"/>
        <w:spacing w:after="225" w:afterAutospacing="0"/>
        <w:rPr>
          <w:rFonts w:ascii="Georgia" w:hAnsi="Georgia" w:cs="Arial"/>
          <w:color w:val="2F2F2F"/>
          <w:spacing w:val="3"/>
          <w:sz w:val="27"/>
          <w:szCs w:val="27"/>
        </w:rPr>
      </w:pPr>
      <w:hyperlink r:id="rId59" w:anchor="p172" w:history="1">
        <w:r w:rsidR="00F2163A">
          <w:rPr>
            <w:rStyle w:val="Hyperlink"/>
            <w:rFonts w:ascii="Georgia" w:hAnsi="Georgia" w:cs="Arial"/>
            <w:i/>
            <w:iCs/>
            <w:color w:val="979797"/>
            <w:spacing w:val="3"/>
            <w:sz w:val="22"/>
            <w:szCs w:val="22"/>
          </w:rPr>
          <w:t>*172</w:t>
        </w:r>
      </w:hyperlink>
      <w:r w:rsidR="00F2163A">
        <w:rPr>
          <w:rFonts w:ascii="Georgia" w:hAnsi="Georgia" w:cs="Arial"/>
          <w:color w:val="2F2F2F"/>
          <w:spacing w:val="3"/>
          <w:sz w:val="27"/>
          <w:szCs w:val="27"/>
        </w:rPr>
        <w:t>V</w:t>
      </w:r>
    </w:p>
    <w:p w14:paraId="0304865A" w14:textId="346B324E"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Mostafa appeals the dismissal of his claim against the owner of the apartment complex in which decedents lived, because the owner’s failure to repair an allegedly defective lock in his apartment building allowed decedents to leave the building unsupervised and enter Martin Park. Furthermore, Mostafa alleges that the owner had a duty to protect decedents from the dangerous hazard, the lagoon, that was contiguous to the apartment building. Neither trustee American National Bank nor Asghar Mohsin, the beneficiary of that trust, filed an appellee’s brief; nevertheless, we elect to decide the issue on appeal. </w:t>
      </w:r>
      <w:r>
        <w:rPr>
          <w:rStyle w:val="Emphasis"/>
          <w:rFonts w:ascii="Georgia" w:hAnsi="Georgia" w:cs="Arial"/>
          <w:color w:val="2F2F2F"/>
          <w:spacing w:val="3"/>
          <w:sz w:val="27"/>
          <w:szCs w:val="27"/>
        </w:rPr>
        <w:t>First Capitol, </w:t>
      </w:r>
      <w:r w:rsidRPr="006D72FE">
        <w:rPr>
          <w:rFonts w:ascii="Georgia" w:hAnsi="Georgia" w:cs="Arial"/>
          <w:spacing w:val="3"/>
          <w:sz w:val="27"/>
          <w:szCs w:val="27"/>
        </w:rPr>
        <w:t>63 Ill. 2d at 133</w:t>
      </w:r>
      <w:r>
        <w:rPr>
          <w:rFonts w:ascii="Georgia" w:hAnsi="Georgia" w:cs="Arial"/>
          <w:color w:val="2F2F2F"/>
          <w:spacing w:val="3"/>
          <w:sz w:val="27"/>
          <w:szCs w:val="27"/>
        </w:rPr>
        <w:t>.</w:t>
      </w:r>
    </w:p>
    <w:p w14:paraId="0304865B" w14:textId="303223AB"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2008A">
        <w:rPr>
          <w:rFonts w:ascii="Georgia" w:hAnsi="Georgia" w:cs="Arial"/>
          <w:color w:val="2F2F2F"/>
          <w:spacing w:val="3"/>
          <w:sz w:val="27"/>
          <w:szCs w:val="27"/>
          <w:highlight w:val="green"/>
        </w:rPr>
        <w:t>The owner of Mostafa’s apartment building had no duty to protect against any dangerous conditions that might exist in Martin Park.</w:t>
      </w:r>
      <w:r>
        <w:rPr>
          <w:rFonts w:ascii="Georgia" w:hAnsi="Georgia" w:cs="Arial"/>
          <w:color w:val="2F2F2F"/>
          <w:spacing w:val="3"/>
          <w:sz w:val="27"/>
          <w:szCs w:val="27"/>
        </w:rPr>
        <w:t> </w:t>
      </w:r>
      <w:r w:rsidRPr="00B2008A">
        <w:rPr>
          <w:rStyle w:val="Emphasis"/>
          <w:rFonts w:ascii="Georgia" w:hAnsi="Georgia" w:cs="Arial"/>
          <w:color w:val="2F2F2F"/>
          <w:spacing w:val="3"/>
          <w:sz w:val="27"/>
          <w:szCs w:val="27"/>
          <w:highlight w:val="cyan"/>
        </w:rPr>
        <w:t>Hanks v. Mount Prospect Park District, </w:t>
      </w:r>
      <w:hyperlink r:id="rId60" w:anchor="p218" w:history="1">
        <w:r w:rsidRPr="00B2008A">
          <w:rPr>
            <w:rStyle w:val="Hyperlink"/>
            <w:rFonts w:ascii="Georgia" w:hAnsi="Georgia" w:cs="Arial"/>
            <w:color w:val="007BFF"/>
            <w:spacing w:val="3"/>
            <w:sz w:val="27"/>
            <w:szCs w:val="27"/>
            <w:highlight w:val="cyan"/>
          </w:rPr>
          <w:t>244 Ill. App. 3d 212</w:t>
        </w:r>
      </w:hyperlink>
      <w:r w:rsidRPr="00B2008A">
        <w:rPr>
          <w:rFonts w:ascii="Georgia" w:hAnsi="Georgia" w:cs="Arial"/>
          <w:color w:val="2F2F2F"/>
          <w:spacing w:val="3"/>
          <w:sz w:val="27"/>
          <w:szCs w:val="27"/>
          <w:highlight w:val="cyan"/>
        </w:rPr>
        <w:t>, 218, </w:t>
      </w:r>
      <w:r w:rsidRPr="006D72FE">
        <w:rPr>
          <w:rFonts w:ascii="Georgia" w:hAnsi="Georgia" w:cs="Arial"/>
          <w:spacing w:val="3"/>
          <w:sz w:val="27"/>
          <w:szCs w:val="27"/>
          <w:highlight w:val="cyan"/>
        </w:rPr>
        <w:t>614 N.E.2d 135</w:t>
      </w:r>
      <w:r w:rsidRPr="00B2008A">
        <w:rPr>
          <w:rFonts w:ascii="Georgia" w:hAnsi="Georgia" w:cs="Arial"/>
          <w:color w:val="2F2F2F"/>
          <w:spacing w:val="3"/>
          <w:sz w:val="27"/>
          <w:szCs w:val="27"/>
          <w:highlight w:val="cyan"/>
        </w:rPr>
        <w:t> (1993).</w:t>
      </w:r>
      <w:r>
        <w:rPr>
          <w:rFonts w:ascii="Georgia" w:hAnsi="Georgia" w:cs="Arial"/>
          <w:color w:val="2F2F2F"/>
          <w:spacing w:val="3"/>
          <w:sz w:val="27"/>
          <w:szCs w:val="27"/>
        </w:rPr>
        <w:t xml:space="preserve"> The </w:t>
      </w:r>
      <w:r w:rsidRPr="00B2008A">
        <w:rPr>
          <w:rStyle w:val="Emphasis"/>
          <w:rFonts w:ascii="Georgia" w:hAnsi="Georgia" w:cs="Arial"/>
          <w:color w:val="2F2F2F"/>
          <w:spacing w:val="3"/>
          <w:sz w:val="27"/>
          <w:szCs w:val="27"/>
          <w:highlight w:val="cyan"/>
        </w:rPr>
        <w:t>Hanks</w:t>
      </w:r>
      <w:r>
        <w:rPr>
          <w:rStyle w:val="Emphasis"/>
          <w:rFonts w:ascii="Georgia" w:hAnsi="Georgia" w:cs="Arial"/>
          <w:color w:val="2F2F2F"/>
          <w:spacing w:val="3"/>
          <w:sz w:val="27"/>
          <w:szCs w:val="27"/>
        </w:rPr>
        <w:t> </w:t>
      </w:r>
      <w:r>
        <w:rPr>
          <w:rFonts w:ascii="Georgia" w:hAnsi="Georgia" w:cs="Arial"/>
          <w:color w:val="2F2F2F"/>
          <w:spacing w:val="3"/>
          <w:sz w:val="27"/>
          <w:szCs w:val="27"/>
        </w:rPr>
        <w:t>court held that the owner of a playground had no duty to protect against injuries that occurred on a neighboring parking lot, which he neither owned nor controlled. The court reiterated the general rule that a landowner must provide a safe means of ingress and egress to his premises for invitees; although this duty might extend beyond the precise boundaries of the property under certain circumstances, he ordinarily will not be liable for injuries that occur there. </w:t>
      </w:r>
      <w:hyperlink r:id="rId61" w:anchor="p218" w:history="1">
        <w:r w:rsidRPr="00B2008A">
          <w:rPr>
            <w:rStyle w:val="Hyperlink"/>
            <w:rFonts w:ascii="Georgia" w:hAnsi="Georgia" w:cs="Arial"/>
            <w:color w:val="007BFF"/>
            <w:spacing w:val="3"/>
            <w:sz w:val="27"/>
            <w:szCs w:val="27"/>
            <w:highlight w:val="cyan"/>
          </w:rPr>
          <w:t>244 Ill. App. 3d at 217-18</w:t>
        </w:r>
      </w:hyperlink>
      <w:r w:rsidRPr="00B2008A">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B2008A">
        <w:rPr>
          <w:rFonts w:ascii="Georgia" w:hAnsi="Georgia" w:cs="Arial"/>
          <w:color w:val="2F2F2F"/>
          <w:spacing w:val="3"/>
          <w:sz w:val="27"/>
          <w:szCs w:val="27"/>
          <w:highlight w:val="green"/>
        </w:rPr>
        <w:t>In the present case, the owner of the apartment building did not own or control Martin Park. Neither American National Bank nor Mohsin may be held liable for injuries that might occur in Martin Park.</w:t>
      </w:r>
    </w:p>
    <w:p w14:paraId="0304865C" w14:textId="42491C6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2008A">
        <w:rPr>
          <w:rFonts w:ascii="Georgia" w:hAnsi="Georgia" w:cs="Arial"/>
          <w:color w:val="2F2F2F"/>
          <w:spacing w:val="3"/>
          <w:sz w:val="27"/>
          <w:szCs w:val="27"/>
          <w:highlight w:val="green"/>
        </w:rPr>
        <w:t>In addition, American National Bank and Mohsin cannot be held liable for failing to install locks on the apartment building doors that would lock residents in the building, as Mostafa’s complaint alleges.</w:t>
      </w:r>
      <w:r>
        <w:rPr>
          <w:rFonts w:ascii="Georgia" w:hAnsi="Georgia" w:cs="Arial"/>
          <w:color w:val="2F2F2F"/>
          <w:spacing w:val="3"/>
          <w:sz w:val="27"/>
          <w:szCs w:val="27"/>
        </w:rPr>
        <w:t xml:space="preserve"> On appeal, Mostafa makes the novel assertion that the owner of the building owed a duty to install locks that would prevent unsupervised children from leaving the building. Mostafa cites no cases that address such a proposition. Cases cited by Mostafa instead involve the duty a landowner owes a licensee, invitee or trespasser. </w:t>
      </w:r>
      <w:r w:rsidRPr="00B2008A">
        <w:rPr>
          <w:rStyle w:val="Emphasis"/>
          <w:rFonts w:ascii="Georgia" w:hAnsi="Georgia" w:cs="Arial"/>
          <w:color w:val="2F2F2F"/>
          <w:spacing w:val="3"/>
          <w:sz w:val="27"/>
          <w:szCs w:val="27"/>
          <w:highlight w:val="cyan"/>
        </w:rPr>
        <w:t>Hootman v. Dixon, </w:t>
      </w:r>
      <w:r w:rsidRPr="006D72FE">
        <w:rPr>
          <w:rFonts w:ascii="Georgia" w:hAnsi="Georgia" w:cs="Arial"/>
          <w:spacing w:val="3"/>
          <w:sz w:val="27"/>
          <w:szCs w:val="27"/>
          <w:highlight w:val="cyan"/>
        </w:rPr>
        <w:t>129 Ill. App. 3d 645</w:t>
      </w:r>
      <w:r w:rsidRPr="00B2008A">
        <w:rPr>
          <w:rFonts w:ascii="Georgia" w:hAnsi="Georgia" w:cs="Arial"/>
          <w:color w:val="2F2F2F"/>
          <w:spacing w:val="3"/>
          <w:sz w:val="27"/>
          <w:szCs w:val="27"/>
          <w:highlight w:val="cyan"/>
        </w:rPr>
        <w:t>, 651, </w:t>
      </w:r>
      <w:hyperlink r:id="rId62" w:history="1">
        <w:r w:rsidRPr="00B2008A">
          <w:rPr>
            <w:rStyle w:val="Hyperlink"/>
            <w:rFonts w:ascii="Georgia" w:hAnsi="Georgia" w:cs="Arial"/>
            <w:color w:val="007BFF"/>
            <w:spacing w:val="3"/>
            <w:sz w:val="27"/>
            <w:szCs w:val="27"/>
            <w:highlight w:val="cyan"/>
          </w:rPr>
          <w:t>472 N.E.2d 1224</w:t>
        </w:r>
      </w:hyperlink>
      <w:r w:rsidRPr="00B2008A">
        <w:rPr>
          <w:rFonts w:ascii="Georgia" w:hAnsi="Georgia" w:cs="Arial"/>
          <w:color w:val="2F2F2F"/>
          <w:spacing w:val="3"/>
          <w:sz w:val="27"/>
          <w:szCs w:val="27"/>
          <w:highlight w:val="cyan"/>
        </w:rPr>
        <w:t> (1984); </w:t>
      </w:r>
      <w:r w:rsidRPr="00B2008A">
        <w:rPr>
          <w:rStyle w:val="Emphasis"/>
          <w:rFonts w:ascii="Georgia" w:hAnsi="Georgia" w:cs="Arial"/>
          <w:color w:val="2F2F2F"/>
          <w:spacing w:val="3"/>
          <w:sz w:val="27"/>
          <w:szCs w:val="27"/>
          <w:highlight w:val="cyan"/>
        </w:rPr>
        <w:t>Booth v. Goodyear Tire &amp; Rubber Co., </w:t>
      </w:r>
      <w:r w:rsidRPr="006D72FE">
        <w:rPr>
          <w:rFonts w:ascii="Georgia" w:hAnsi="Georgia" w:cs="Arial"/>
          <w:spacing w:val="3"/>
          <w:sz w:val="27"/>
          <w:szCs w:val="27"/>
          <w:highlight w:val="cyan"/>
        </w:rPr>
        <w:t>224 Ill. App. 3d 720</w:t>
      </w:r>
      <w:r w:rsidRPr="00B2008A">
        <w:rPr>
          <w:rFonts w:ascii="Georgia" w:hAnsi="Georgia" w:cs="Arial"/>
          <w:color w:val="2F2F2F"/>
          <w:spacing w:val="3"/>
          <w:sz w:val="27"/>
          <w:szCs w:val="27"/>
          <w:highlight w:val="cyan"/>
        </w:rPr>
        <w:t>, 726, </w:t>
      </w:r>
      <w:hyperlink r:id="rId63" w:history="1">
        <w:r w:rsidRPr="00B2008A">
          <w:rPr>
            <w:rStyle w:val="Hyperlink"/>
            <w:rFonts w:ascii="Georgia" w:hAnsi="Georgia" w:cs="Arial"/>
            <w:color w:val="007BFF"/>
            <w:spacing w:val="3"/>
            <w:sz w:val="27"/>
            <w:szCs w:val="27"/>
            <w:highlight w:val="cyan"/>
          </w:rPr>
          <w:t>587 N.E.2d 9</w:t>
        </w:r>
      </w:hyperlink>
      <w:r w:rsidRPr="00B2008A">
        <w:rPr>
          <w:rFonts w:ascii="Georgia" w:hAnsi="Georgia" w:cs="Arial"/>
          <w:color w:val="2F2F2F"/>
          <w:spacing w:val="3"/>
          <w:sz w:val="27"/>
          <w:szCs w:val="27"/>
          <w:highlight w:val="cyan"/>
        </w:rPr>
        <w:t> (1992); </w:t>
      </w:r>
      <w:r w:rsidRPr="00B2008A">
        <w:rPr>
          <w:rStyle w:val="Emphasis"/>
          <w:rFonts w:ascii="Georgia" w:hAnsi="Georgia" w:cs="Arial"/>
          <w:color w:val="2F2F2F"/>
          <w:spacing w:val="3"/>
          <w:sz w:val="27"/>
          <w:szCs w:val="27"/>
          <w:highlight w:val="cyan"/>
        </w:rPr>
        <w:t>Fearheiley v. Summers, </w:t>
      </w:r>
      <w:r w:rsidRPr="006D72FE">
        <w:rPr>
          <w:rFonts w:ascii="Georgia" w:hAnsi="Georgia" w:cs="Arial"/>
          <w:spacing w:val="3"/>
          <w:sz w:val="27"/>
          <w:szCs w:val="27"/>
          <w:highlight w:val="cyan"/>
        </w:rPr>
        <w:t>246 Ill. App. 3d 86</w:t>
      </w:r>
      <w:r w:rsidRPr="00B2008A">
        <w:rPr>
          <w:rFonts w:ascii="Georgia" w:hAnsi="Georgia" w:cs="Arial"/>
          <w:color w:val="2F2F2F"/>
          <w:spacing w:val="3"/>
          <w:sz w:val="27"/>
          <w:szCs w:val="27"/>
          <w:highlight w:val="cyan"/>
        </w:rPr>
        <w:t>, 93-94, </w:t>
      </w:r>
      <w:hyperlink r:id="rId64" w:history="1">
        <w:r w:rsidRPr="00B2008A">
          <w:rPr>
            <w:rStyle w:val="Hyperlink"/>
            <w:rFonts w:ascii="Georgia" w:hAnsi="Georgia" w:cs="Arial"/>
            <w:color w:val="007BFF"/>
            <w:spacing w:val="3"/>
            <w:sz w:val="27"/>
            <w:szCs w:val="27"/>
            <w:highlight w:val="cyan"/>
          </w:rPr>
          <w:t>614 N.E.2d 1377</w:t>
        </w:r>
      </w:hyperlink>
      <w:r w:rsidRPr="00B2008A">
        <w:rPr>
          <w:rFonts w:ascii="Georgia" w:hAnsi="Georgia" w:cs="Arial"/>
          <w:color w:val="2F2F2F"/>
          <w:spacing w:val="3"/>
          <w:sz w:val="27"/>
          <w:szCs w:val="27"/>
          <w:highlight w:val="cyan"/>
        </w:rPr>
        <w:t> (1993).</w:t>
      </w:r>
    </w:p>
    <w:p w14:paraId="0304865D" w14:textId="390F46D5"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landlord who retains control of a portion of the premises leased to the tenant owes a duty to use ordinary care in maintaining that part of the premises in a reasonably safe condition. </w:t>
      </w:r>
      <w:r w:rsidRPr="00B2008A">
        <w:rPr>
          <w:rStyle w:val="Emphasis"/>
          <w:rFonts w:ascii="Georgia" w:hAnsi="Georgia" w:cs="Arial"/>
          <w:color w:val="2F2F2F"/>
          <w:spacing w:val="3"/>
          <w:sz w:val="27"/>
          <w:szCs w:val="27"/>
          <w:highlight w:val="cyan"/>
        </w:rPr>
        <w:t>Lamkin v. Towner, </w:t>
      </w:r>
      <w:r w:rsidRPr="006D72FE">
        <w:rPr>
          <w:rFonts w:ascii="Georgia" w:hAnsi="Georgia" w:cs="Arial"/>
          <w:spacing w:val="3"/>
          <w:sz w:val="27"/>
          <w:szCs w:val="27"/>
          <w:highlight w:val="cyan"/>
        </w:rPr>
        <w:t>138 Ill. 2d 510</w:t>
      </w:r>
      <w:r w:rsidRPr="00B2008A">
        <w:rPr>
          <w:rFonts w:ascii="Georgia" w:hAnsi="Georgia" w:cs="Arial"/>
          <w:color w:val="2F2F2F"/>
          <w:spacing w:val="3"/>
          <w:sz w:val="27"/>
          <w:szCs w:val="27"/>
          <w:highlight w:val="cyan"/>
        </w:rPr>
        <w:t>, 518, </w:t>
      </w:r>
      <w:hyperlink r:id="rId65" w:history="1">
        <w:r w:rsidRPr="00B2008A">
          <w:rPr>
            <w:rStyle w:val="Hyperlink"/>
            <w:rFonts w:ascii="Georgia" w:hAnsi="Georgia" w:cs="Arial"/>
            <w:color w:val="007BFF"/>
            <w:spacing w:val="3"/>
            <w:sz w:val="27"/>
            <w:szCs w:val="27"/>
            <w:highlight w:val="cyan"/>
          </w:rPr>
          <w:t>563 N.E.2d 449</w:t>
        </w:r>
      </w:hyperlink>
      <w:r w:rsidRPr="00B2008A">
        <w:rPr>
          <w:rFonts w:ascii="Georgia" w:hAnsi="Georgia" w:cs="Arial"/>
          <w:color w:val="2F2F2F"/>
          <w:spacing w:val="3"/>
          <w:sz w:val="27"/>
          <w:szCs w:val="27"/>
          <w:highlight w:val="cyan"/>
        </w:rPr>
        <w:t> (1990); </w:t>
      </w:r>
      <w:r w:rsidRPr="00B2008A">
        <w:rPr>
          <w:rStyle w:val="Emphasis"/>
          <w:rFonts w:ascii="Georgia" w:hAnsi="Georgia" w:cs="Arial"/>
          <w:color w:val="2F2F2F"/>
          <w:spacing w:val="3"/>
          <w:sz w:val="27"/>
          <w:szCs w:val="27"/>
          <w:highlight w:val="cyan"/>
        </w:rPr>
        <w:t>Rowe v. State Bank, </w:t>
      </w:r>
      <w:r w:rsidRPr="006D72FE">
        <w:rPr>
          <w:rFonts w:ascii="Georgia" w:hAnsi="Georgia" w:cs="Arial"/>
          <w:spacing w:val="3"/>
          <w:sz w:val="27"/>
          <w:szCs w:val="27"/>
          <w:highlight w:val="cyan"/>
        </w:rPr>
        <w:t>125 Ill. 2d 203</w:t>
      </w:r>
      <w:r w:rsidRPr="00B2008A">
        <w:rPr>
          <w:rFonts w:ascii="Georgia" w:hAnsi="Georgia" w:cs="Arial"/>
          <w:color w:val="2F2F2F"/>
          <w:spacing w:val="3"/>
          <w:sz w:val="27"/>
          <w:szCs w:val="27"/>
          <w:highlight w:val="cyan"/>
        </w:rPr>
        <w:t>, 220-21, </w:t>
      </w:r>
      <w:hyperlink r:id="rId66" w:history="1">
        <w:r w:rsidRPr="00B2008A">
          <w:rPr>
            <w:rStyle w:val="Hyperlink"/>
            <w:rFonts w:ascii="Georgia" w:hAnsi="Georgia" w:cs="Arial"/>
            <w:color w:val="007BFF"/>
            <w:spacing w:val="3"/>
            <w:sz w:val="27"/>
            <w:szCs w:val="27"/>
            <w:highlight w:val="cyan"/>
          </w:rPr>
          <w:t>531 N.E.2d 1358</w:t>
        </w:r>
      </w:hyperlink>
      <w:r w:rsidRPr="00B2008A">
        <w:rPr>
          <w:rFonts w:ascii="Georgia" w:hAnsi="Georgia" w:cs="Arial"/>
          <w:color w:val="2F2F2F"/>
          <w:spacing w:val="3"/>
          <w:sz w:val="27"/>
          <w:szCs w:val="27"/>
          <w:highlight w:val="cyan"/>
        </w:rPr>
        <w:t> (1988).</w:t>
      </w:r>
      <w:r>
        <w:rPr>
          <w:rFonts w:ascii="Georgia" w:hAnsi="Georgia" w:cs="Arial"/>
          <w:color w:val="2F2F2F"/>
          <w:spacing w:val="3"/>
          <w:sz w:val="27"/>
          <w:szCs w:val="27"/>
        </w:rPr>
        <w:t xml:space="preserve"> If the landlord voluntarily undertakes a duty to keep property under the tenant’s </w:t>
      </w:r>
      <w:r w:rsidRPr="006D72FE">
        <w:rPr>
          <w:rFonts w:ascii="Georgia" w:hAnsi="Georgia" w:cs="Arial"/>
          <w:i/>
          <w:iCs/>
          <w:spacing w:val="3"/>
          <w:sz w:val="22"/>
          <w:szCs w:val="22"/>
        </w:rPr>
        <w:t>*173</w:t>
      </w:r>
      <w:r>
        <w:rPr>
          <w:rFonts w:ascii="Georgia" w:hAnsi="Georgia" w:cs="Arial"/>
          <w:color w:val="2F2F2F"/>
          <w:spacing w:val="3"/>
          <w:sz w:val="27"/>
          <w:szCs w:val="27"/>
        </w:rPr>
        <w:t>control in repair, the landlord can be liable for negligently performing this duty. </w:t>
      </w:r>
      <w:r w:rsidRPr="00B2008A">
        <w:rPr>
          <w:rStyle w:val="Emphasis"/>
          <w:rFonts w:ascii="Georgia" w:hAnsi="Georgia" w:cs="Arial"/>
          <w:color w:val="2F2F2F"/>
          <w:spacing w:val="3"/>
          <w:sz w:val="27"/>
          <w:szCs w:val="27"/>
          <w:highlight w:val="cyan"/>
        </w:rPr>
        <w:t>Lamkin, </w:t>
      </w:r>
      <w:hyperlink r:id="rId67" w:anchor="p518" w:history="1">
        <w:r w:rsidRPr="00B2008A">
          <w:rPr>
            <w:rStyle w:val="Hyperlink"/>
            <w:rFonts w:ascii="Georgia" w:hAnsi="Georgia" w:cs="Arial"/>
            <w:color w:val="007BFF"/>
            <w:spacing w:val="3"/>
            <w:sz w:val="27"/>
            <w:szCs w:val="27"/>
            <w:highlight w:val="cyan"/>
          </w:rPr>
          <w:t>138 Ill. 2d at 519</w:t>
        </w:r>
      </w:hyperlink>
      <w:r w:rsidRPr="00B2008A">
        <w:rPr>
          <w:rFonts w:ascii="Georgia" w:hAnsi="Georgia" w:cs="Arial"/>
          <w:color w:val="2F2F2F"/>
          <w:spacing w:val="3"/>
          <w:sz w:val="27"/>
          <w:szCs w:val="27"/>
          <w:highlight w:val="cyan"/>
        </w:rPr>
        <w:t>.</w:t>
      </w:r>
      <w:r>
        <w:rPr>
          <w:rFonts w:ascii="Georgia" w:hAnsi="Georgia" w:cs="Arial"/>
          <w:color w:val="2F2F2F"/>
          <w:spacing w:val="3"/>
          <w:sz w:val="27"/>
          <w:szCs w:val="27"/>
        </w:rPr>
        <w:t xml:space="preserve"> Furthermore, a landlord may be liable for latent defects existing at the time the premises were leased, which were known or should have been known to the landlord in the exercise of reasonable care and which could not have been discovered upon a reasonable examination of the premises by the tenant. </w:t>
      </w:r>
      <w:r w:rsidRPr="00B2008A">
        <w:rPr>
          <w:rStyle w:val="Emphasis"/>
          <w:rFonts w:ascii="Georgia" w:hAnsi="Georgia" w:cs="Arial"/>
          <w:color w:val="2F2F2F"/>
          <w:spacing w:val="3"/>
          <w:sz w:val="27"/>
          <w:szCs w:val="27"/>
          <w:highlight w:val="cyan"/>
        </w:rPr>
        <w:t>Housh v. Swanson, </w:t>
      </w:r>
      <w:r w:rsidRPr="006D72FE">
        <w:rPr>
          <w:rFonts w:ascii="Georgia" w:hAnsi="Georgia" w:cs="Arial"/>
          <w:spacing w:val="3"/>
          <w:sz w:val="27"/>
          <w:szCs w:val="27"/>
          <w:highlight w:val="cyan"/>
        </w:rPr>
        <w:t>203 Ill. App. 3d 377</w:t>
      </w:r>
      <w:r w:rsidRPr="00B2008A">
        <w:rPr>
          <w:rFonts w:ascii="Georgia" w:hAnsi="Georgia" w:cs="Arial"/>
          <w:color w:val="2F2F2F"/>
          <w:spacing w:val="3"/>
          <w:sz w:val="27"/>
          <w:szCs w:val="27"/>
          <w:highlight w:val="cyan"/>
        </w:rPr>
        <w:t>, 383, </w:t>
      </w:r>
      <w:hyperlink r:id="rId68" w:history="1">
        <w:r w:rsidRPr="00B2008A">
          <w:rPr>
            <w:rStyle w:val="Hyperlink"/>
            <w:rFonts w:ascii="Georgia" w:hAnsi="Georgia" w:cs="Arial"/>
            <w:color w:val="007BFF"/>
            <w:spacing w:val="3"/>
            <w:sz w:val="27"/>
            <w:szCs w:val="27"/>
            <w:highlight w:val="cyan"/>
          </w:rPr>
          <w:t>561 N.E.2d 321</w:t>
        </w:r>
      </w:hyperlink>
      <w:r w:rsidRPr="00B2008A">
        <w:rPr>
          <w:rFonts w:ascii="Georgia" w:hAnsi="Georgia" w:cs="Arial"/>
          <w:color w:val="2F2F2F"/>
          <w:spacing w:val="3"/>
          <w:sz w:val="27"/>
          <w:szCs w:val="27"/>
          <w:highlight w:val="cyan"/>
        </w:rPr>
        <w:t> (1990).</w:t>
      </w:r>
    </w:p>
    <w:p w14:paraId="0304865E"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2008A">
        <w:rPr>
          <w:rFonts w:ascii="Georgia" w:hAnsi="Georgia" w:cs="Arial"/>
          <w:color w:val="2F2F2F"/>
          <w:spacing w:val="3"/>
          <w:sz w:val="27"/>
          <w:szCs w:val="27"/>
          <w:highlight w:val="green"/>
        </w:rPr>
        <w:t>Mostafa cites no authority that remotely suggests that a landlord owes a duty to install a lock on the doors of an apartment building that would prevent children from leaving the building or that the failure to install such a lock renders the building unreasonably unsafe.</w:t>
      </w:r>
      <w:r>
        <w:rPr>
          <w:rFonts w:ascii="Georgia" w:hAnsi="Georgia" w:cs="Arial"/>
          <w:color w:val="2F2F2F"/>
          <w:spacing w:val="3"/>
          <w:sz w:val="27"/>
          <w:szCs w:val="27"/>
        </w:rPr>
        <w:t xml:space="preserve"> As Mohsin points out in his first motion to dismiss, </w:t>
      </w:r>
      <w:r w:rsidRPr="00B2008A">
        <w:rPr>
          <w:rFonts w:ascii="Georgia" w:hAnsi="Georgia" w:cs="Arial"/>
          <w:color w:val="2F2F2F"/>
          <w:spacing w:val="3"/>
          <w:sz w:val="27"/>
          <w:szCs w:val="27"/>
          <w:highlight w:val="green"/>
        </w:rPr>
        <w:t>"doors and locks of an apartment complex are not intended to keep people in the property, but are intended to keep unwanted and uninvited persons off the premises.” Furthermore, the lack of inside locks does not constitute a latent defect, because ordinary examination and use of the premises would readily reveal the absence of such locks.</w:t>
      </w:r>
    </w:p>
    <w:p w14:paraId="0304865F"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2008A">
        <w:rPr>
          <w:rFonts w:ascii="Georgia" w:hAnsi="Georgia" w:cs="Arial"/>
          <w:color w:val="2F2F2F"/>
          <w:spacing w:val="3"/>
          <w:sz w:val="27"/>
          <w:szCs w:val="27"/>
          <w:highlight w:val="green"/>
        </w:rPr>
        <w:t>American National Bank and Mohsin therefore cannot be liable to Mostafa for the failure to install inside locks. The circuit court did not err in dismissing Mostafa’s complaint against them.</w:t>
      </w:r>
    </w:p>
    <w:p w14:paraId="03048660" w14:textId="77777777" w:rsidR="00F2163A" w:rsidRPr="00B2008A" w:rsidRDefault="00F2163A" w:rsidP="00F2163A">
      <w:pPr>
        <w:pStyle w:val="NormalWeb"/>
        <w:shd w:val="clear" w:color="auto" w:fill="FFFFFF"/>
        <w:spacing w:after="225" w:afterAutospacing="0"/>
        <w:rPr>
          <w:rFonts w:ascii="Georgia" w:hAnsi="Georgia" w:cs="Arial"/>
          <w:color w:val="2F2F2F"/>
          <w:spacing w:val="3"/>
          <w:sz w:val="27"/>
          <w:szCs w:val="27"/>
          <w:highlight w:val="red"/>
        </w:rPr>
      </w:pPr>
      <w:r w:rsidRPr="00B2008A">
        <w:rPr>
          <w:rFonts w:ascii="Georgia" w:hAnsi="Georgia" w:cs="Arial"/>
          <w:color w:val="2F2F2F"/>
          <w:spacing w:val="3"/>
          <w:sz w:val="27"/>
          <w:szCs w:val="27"/>
          <w:highlight w:val="red"/>
        </w:rPr>
        <w:t>For the foregoing reasons, the order of the circuit court granting defendants’ motions to dismiss is affirmed.</w:t>
      </w:r>
    </w:p>
    <w:p w14:paraId="03048661"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sidRPr="00B2008A">
        <w:rPr>
          <w:rFonts w:ascii="Georgia" w:hAnsi="Georgia" w:cs="Arial"/>
          <w:color w:val="2F2F2F"/>
          <w:spacing w:val="3"/>
          <w:sz w:val="27"/>
          <w:szCs w:val="27"/>
          <w:highlight w:val="red"/>
        </w:rPr>
        <w:t>Affirmed.</w:t>
      </w:r>
    </w:p>
    <w:p w14:paraId="03048662" w14:textId="77777777" w:rsidR="00F2163A" w:rsidRDefault="00F2163A" w:rsidP="00F2163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HOFFMAN and HOURIHANE, JJ., concur.</w:t>
      </w:r>
    </w:p>
    <w:p w14:paraId="03048663" w14:textId="77777777" w:rsidR="00C568A9" w:rsidRDefault="00C568A9" w:rsidP="00C568A9"/>
    <w:p w14:paraId="03048664" w14:textId="77777777" w:rsidR="00B2008A" w:rsidRDefault="00B2008A">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03048665"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3048666" w14:textId="77777777" w:rsidR="00B2008A" w:rsidRDefault="00B2008A" w:rsidP="00B2008A">
      <w:pPr>
        <w:spacing w:before="100" w:beforeAutospacing="1" w:after="225" w:line="240" w:lineRule="auto"/>
        <w:rPr>
          <w:rFonts w:ascii="Georgia" w:hAnsi="Georgia" w:cs="Arial"/>
          <w:color w:val="2F2F2F"/>
          <w:spacing w:val="3"/>
          <w:sz w:val="27"/>
          <w:szCs w:val="27"/>
        </w:rPr>
      </w:pPr>
      <w:r w:rsidRPr="00B2008A">
        <w:rPr>
          <w:rFonts w:ascii="Georgia" w:eastAsia="Times New Roman" w:hAnsi="Georgia" w:cs="Times New Roman"/>
          <w:sz w:val="28"/>
          <w:szCs w:val="24"/>
          <w:lang w:eastAsia="en-GB"/>
        </w:rPr>
        <w:t>Plaintiffs’ decedents, Adel Mostafa, age two, and Amgad Salamah, age three, fell into a man-made lagoon in a public park near a playground and drowned</w:t>
      </w:r>
      <w:r w:rsidR="00C568A9"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Plaintiffs sued the various defendants (owner of the park, the City of Hickory Hills, the company which owned the title to the apartment building in trust and the beneficiary of the trust. The claims against each of the defendants were dismissed for failure to show that defendants owed decedents a duty of care. The appellate court affirmed.</w:t>
      </w:r>
    </w:p>
    <w:p w14:paraId="03048667"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0C2"/>
    <w:multiLevelType w:val="multilevel"/>
    <w:tmpl w:val="E1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A21F9"/>
    <w:multiLevelType w:val="multilevel"/>
    <w:tmpl w:val="0AA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04E0C"/>
    <w:multiLevelType w:val="multilevel"/>
    <w:tmpl w:val="F28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A3325"/>
    <w:multiLevelType w:val="multilevel"/>
    <w:tmpl w:val="994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6064B"/>
    <w:multiLevelType w:val="multilevel"/>
    <w:tmpl w:val="5D1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A10F3"/>
    <w:multiLevelType w:val="multilevel"/>
    <w:tmpl w:val="D5A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9383F"/>
    <w:multiLevelType w:val="multilevel"/>
    <w:tmpl w:val="FA6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3274D"/>
    <w:multiLevelType w:val="multilevel"/>
    <w:tmpl w:val="CF2A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56AD8"/>
    <w:multiLevelType w:val="multilevel"/>
    <w:tmpl w:val="47D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B683E"/>
    <w:multiLevelType w:val="multilevel"/>
    <w:tmpl w:val="BC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E5F84"/>
    <w:multiLevelType w:val="multilevel"/>
    <w:tmpl w:val="12F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E671B"/>
    <w:multiLevelType w:val="multilevel"/>
    <w:tmpl w:val="9E4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1705B"/>
    <w:multiLevelType w:val="multilevel"/>
    <w:tmpl w:val="57B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02167"/>
    <w:multiLevelType w:val="multilevel"/>
    <w:tmpl w:val="64F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837C3"/>
    <w:multiLevelType w:val="multilevel"/>
    <w:tmpl w:val="C088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A2CD2"/>
    <w:multiLevelType w:val="multilevel"/>
    <w:tmpl w:val="45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961677">
    <w:abstractNumId w:val="35"/>
  </w:num>
  <w:num w:numId="2" w16cid:durableId="1876843413">
    <w:abstractNumId w:val="24"/>
  </w:num>
  <w:num w:numId="3" w16cid:durableId="1874264431">
    <w:abstractNumId w:val="27"/>
  </w:num>
  <w:num w:numId="4" w16cid:durableId="2090152389">
    <w:abstractNumId w:val="10"/>
  </w:num>
  <w:num w:numId="5" w16cid:durableId="730464275">
    <w:abstractNumId w:val="18"/>
  </w:num>
  <w:num w:numId="6" w16cid:durableId="1049187421">
    <w:abstractNumId w:val="29"/>
  </w:num>
  <w:num w:numId="7" w16cid:durableId="2046523398">
    <w:abstractNumId w:val="2"/>
  </w:num>
  <w:num w:numId="8" w16cid:durableId="1463427917">
    <w:abstractNumId w:val="6"/>
  </w:num>
  <w:num w:numId="9" w16cid:durableId="780540318">
    <w:abstractNumId w:val="28"/>
  </w:num>
  <w:num w:numId="10" w16cid:durableId="1340695311">
    <w:abstractNumId w:val="36"/>
  </w:num>
  <w:num w:numId="11" w16cid:durableId="782110527">
    <w:abstractNumId w:val="21"/>
  </w:num>
  <w:num w:numId="12" w16cid:durableId="935409655">
    <w:abstractNumId w:val="19"/>
  </w:num>
  <w:num w:numId="13" w16cid:durableId="516314173">
    <w:abstractNumId w:val="12"/>
  </w:num>
  <w:num w:numId="14" w16cid:durableId="2038460099">
    <w:abstractNumId w:val="26"/>
  </w:num>
  <w:num w:numId="15" w16cid:durableId="337199522">
    <w:abstractNumId w:val="5"/>
  </w:num>
  <w:num w:numId="16" w16cid:durableId="454131441">
    <w:abstractNumId w:val="23"/>
  </w:num>
  <w:num w:numId="17" w16cid:durableId="386950149">
    <w:abstractNumId w:val="0"/>
  </w:num>
  <w:num w:numId="18" w16cid:durableId="449134815">
    <w:abstractNumId w:val="20"/>
  </w:num>
  <w:num w:numId="19" w16cid:durableId="1664894828">
    <w:abstractNumId w:val="14"/>
  </w:num>
  <w:num w:numId="20" w16cid:durableId="1779564676">
    <w:abstractNumId w:val="3"/>
  </w:num>
  <w:num w:numId="21" w16cid:durableId="1308051155">
    <w:abstractNumId w:val="25"/>
  </w:num>
  <w:num w:numId="22" w16cid:durableId="711658896">
    <w:abstractNumId w:val="1"/>
  </w:num>
  <w:num w:numId="23" w16cid:durableId="1070227499">
    <w:abstractNumId w:val="7"/>
  </w:num>
  <w:num w:numId="24" w16cid:durableId="801701988">
    <w:abstractNumId w:val="8"/>
  </w:num>
  <w:num w:numId="25" w16cid:durableId="10887520">
    <w:abstractNumId w:val="34"/>
  </w:num>
  <w:num w:numId="26" w16cid:durableId="1397557512">
    <w:abstractNumId w:val="17"/>
  </w:num>
  <w:num w:numId="27" w16cid:durableId="864056205">
    <w:abstractNumId w:val="13"/>
  </w:num>
  <w:num w:numId="28" w16cid:durableId="460151957">
    <w:abstractNumId w:val="9"/>
  </w:num>
  <w:num w:numId="29" w16cid:durableId="768887863">
    <w:abstractNumId w:val="30"/>
  </w:num>
  <w:num w:numId="30" w16cid:durableId="1204438348">
    <w:abstractNumId w:val="22"/>
  </w:num>
  <w:num w:numId="31" w16cid:durableId="1409961755">
    <w:abstractNumId w:val="4"/>
  </w:num>
  <w:num w:numId="32" w16cid:durableId="633025448">
    <w:abstractNumId w:val="32"/>
  </w:num>
  <w:num w:numId="33" w16cid:durableId="974598428">
    <w:abstractNumId w:val="31"/>
  </w:num>
  <w:num w:numId="34" w16cid:durableId="1114053514">
    <w:abstractNumId w:val="16"/>
  </w:num>
  <w:num w:numId="35" w16cid:durableId="1596357176">
    <w:abstractNumId w:val="11"/>
  </w:num>
  <w:num w:numId="36" w16cid:durableId="975716363">
    <w:abstractNumId w:val="33"/>
  </w:num>
  <w:num w:numId="37" w16cid:durableId="8941222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216276"/>
    <w:rsid w:val="002F7510"/>
    <w:rsid w:val="00326CBD"/>
    <w:rsid w:val="0036748D"/>
    <w:rsid w:val="00397AB6"/>
    <w:rsid w:val="003C7770"/>
    <w:rsid w:val="00432489"/>
    <w:rsid w:val="004944FD"/>
    <w:rsid w:val="0068721B"/>
    <w:rsid w:val="006D72FE"/>
    <w:rsid w:val="0092364F"/>
    <w:rsid w:val="00942E97"/>
    <w:rsid w:val="00986DB1"/>
    <w:rsid w:val="009B7642"/>
    <w:rsid w:val="00A414BF"/>
    <w:rsid w:val="00AD4082"/>
    <w:rsid w:val="00B2008A"/>
    <w:rsid w:val="00BA0213"/>
    <w:rsid w:val="00BA409A"/>
    <w:rsid w:val="00BB3975"/>
    <w:rsid w:val="00C568A9"/>
    <w:rsid w:val="00CD7D4F"/>
    <w:rsid w:val="00CE1449"/>
    <w:rsid w:val="00E24B56"/>
    <w:rsid w:val="00F2163A"/>
    <w:rsid w:val="00F77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048615"/>
  <w15:docId w15:val="{59C21AB9-CF57-4C75-A88C-125E9E0C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930">
      <w:bodyDiv w:val="1"/>
      <w:marLeft w:val="0"/>
      <w:marRight w:val="0"/>
      <w:marTop w:val="0"/>
      <w:marBottom w:val="0"/>
      <w:divBdr>
        <w:top w:val="none" w:sz="0" w:space="0" w:color="auto"/>
        <w:left w:val="none" w:sz="0" w:space="0" w:color="auto"/>
        <w:bottom w:val="none" w:sz="0" w:space="0" w:color="auto"/>
        <w:right w:val="none" w:sz="0" w:space="0" w:color="auto"/>
      </w:divBdr>
      <w:divsChild>
        <w:div w:id="2043239908">
          <w:marLeft w:val="0"/>
          <w:marRight w:val="0"/>
          <w:marTop w:val="0"/>
          <w:marBottom w:val="0"/>
          <w:divBdr>
            <w:top w:val="none" w:sz="0" w:space="0" w:color="auto"/>
            <w:left w:val="none" w:sz="0" w:space="0" w:color="auto"/>
            <w:bottom w:val="none" w:sz="0" w:space="0" w:color="auto"/>
            <w:right w:val="none" w:sz="0" w:space="0" w:color="auto"/>
          </w:divBdr>
          <w:divsChild>
            <w:div w:id="1198854478">
              <w:marLeft w:val="0"/>
              <w:marRight w:val="0"/>
              <w:marTop w:val="0"/>
              <w:marBottom w:val="0"/>
              <w:divBdr>
                <w:top w:val="none" w:sz="0" w:space="0" w:color="auto"/>
                <w:left w:val="none" w:sz="0" w:space="0" w:color="auto"/>
                <w:bottom w:val="none" w:sz="0" w:space="0" w:color="auto"/>
                <w:right w:val="none" w:sz="0" w:space="0" w:color="auto"/>
              </w:divBdr>
              <w:divsChild>
                <w:div w:id="1755854348">
                  <w:marLeft w:val="0"/>
                  <w:marRight w:val="0"/>
                  <w:marTop w:val="0"/>
                  <w:marBottom w:val="0"/>
                  <w:divBdr>
                    <w:top w:val="none" w:sz="0" w:space="0" w:color="auto"/>
                    <w:left w:val="none" w:sz="0" w:space="0" w:color="auto"/>
                    <w:bottom w:val="none" w:sz="0" w:space="0" w:color="auto"/>
                    <w:right w:val="none" w:sz="0" w:space="0" w:color="auto"/>
                  </w:divBdr>
                </w:div>
                <w:div w:id="2062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35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299113294">
                  <w:marLeft w:val="0"/>
                  <w:marRight w:val="0"/>
                  <w:marTop w:val="0"/>
                  <w:marBottom w:val="0"/>
                  <w:divBdr>
                    <w:top w:val="none" w:sz="0" w:space="0" w:color="auto"/>
                    <w:left w:val="none" w:sz="0" w:space="0" w:color="auto"/>
                    <w:bottom w:val="none" w:sz="0" w:space="0" w:color="auto"/>
                    <w:right w:val="none" w:sz="0" w:space="0" w:color="auto"/>
                  </w:divBdr>
                  <w:divsChild>
                    <w:div w:id="311492719">
                      <w:marLeft w:val="0"/>
                      <w:marRight w:val="0"/>
                      <w:marTop w:val="0"/>
                      <w:marBottom w:val="0"/>
                      <w:divBdr>
                        <w:top w:val="none" w:sz="0" w:space="0" w:color="auto"/>
                        <w:left w:val="none" w:sz="0" w:space="0" w:color="auto"/>
                        <w:bottom w:val="none" w:sz="0" w:space="0" w:color="auto"/>
                        <w:right w:val="none" w:sz="0" w:space="0" w:color="auto"/>
                      </w:divBdr>
                      <w:divsChild>
                        <w:div w:id="483081778">
                          <w:marLeft w:val="0"/>
                          <w:marRight w:val="0"/>
                          <w:marTop w:val="0"/>
                          <w:marBottom w:val="0"/>
                          <w:divBdr>
                            <w:top w:val="none" w:sz="0" w:space="0" w:color="auto"/>
                            <w:left w:val="none" w:sz="0" w:space="0" w:color="auto"/>
                            <w:bottom w:val="none" w:sz="0" w:space="0" w:color="auto"/>
                            <w:right w:val="none" w:sz="0" w:space="0" w:color="auto"/>
                          </w:divBdr>
                        </w:div>
                      </w:divsChild>
                    </w:div>
                    <w:div w:id="1963606990">
                      <w:marLeft w:val="0"/>
                      <w:marRight w:val="0"/>
                      <w:marTop w:val="0"/>
                      <w:marBottom w:val="0"/>
                      <w:divBdr>
                        <w:top w:val="none" w:sz="0" w:space="0" w:color="auto"/>
                        <w:left w:val="none" w:sz="0" w:space="0" w:color="auto"/>
                        <w:bottom w:val="none" w:sz="0" w:space="0" w:color="auto"/>
                        <w:right w:val="none" w:sz="0" w:space="0" w:color="auto"/>
                      </w:divBdr>
                      <w:divsChild>
                        <w:div w:id="373891988">
                          <w:marLeft w:val="0"/>
                          <w:marRight w:val="0"/>
                          <w:marTop w:val="0"/>
                          <w:marBottom w:val="0"/>
                          <w:divBdr>
                            <w:top w:val="none" w:sz="0" w:space="0" w:color="auto"/>
                            <w:left w:val="none" w:sz="0" w:space="0" w:color="auto"/>
                            <w:bottom w:val="none" w:sz="0" w:space="0" w:color="auto"/>
                            <w:right w:val="none" w:sz="0" w:space="0" w:color="auto"/>
                          </w:divBdr>
                        </w:div>
                      </w:divsChild>
                    </w:div>
                    <w:div w:id="315840676">
                      <w:marLeft w:val="0"/>
                      <w:marRight w:val="0"/>
                      <w:marTop w:val="0"/>
                      <w:marBottom w:val="0"/>
                      <w:divBdr>
                        <w:top w:val="none" w:sz="0" w:space="0" w:color="auto"/>
                        <w:left w:val="none" w:sz="0" w:space="0" w:color="auto"/>
                        <w:bottom w:val="none" w:sz="0" w:space="0" w:color="auto"/>
                        <w:right w:val="none" w:sz="0" w:space="0" w:color="auto"/>
                      </w:divBdr>
                      <w:divsChild>
                        <w:div w:id="1085999102">
                          <w:marLeft w:val="0"/>
                          <w:marRight w:val="0"/>
                          <w:marTop w:val="0"/>
                          <w:marBottom w:val="0"/>
                          <w:divBdr>
                            <w:top w:val="none" w:sz="0" w:space="0" w:color="auto"/>
                            <w:left w:val="none" w:sz="0" w:space="0" w:color="auto"/>
                            <w:bottom w:val="none" w:sz="0" w:space="0" w:color="auto"/>
                            <w:right w:val="none" w:sz="0" w:space="0" w:color="auto"/>
                          </w:divBdr>
                        </w:div>
                      </w:divsChild>
                    </w:div>
                    <w:div w:id="240679178">
                      <w:marLeft w:val="0"/>
                      <w:marRight w:val="0"/>
                      <w:marTop w:val="0"/>
                      <w:marBottom w:val="0"/>
                      <w:divBdr>
                        <w:top w:val="none" w:sz="0" w:space="0" w:color="auto"/>
                        <w:left w:val="none" w:sz="0" w:space="0" w:color="auto"/>
                        <w:bottom w:val="none" w:sz="0" w:space="0" w:color="auto"/>
                        <w:right w:val="none" w:sz="0" w:space="0" w:color="auto"/>
                      </w:divBdr>
                      <w:divsChild>
                        <w:div w:id="167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94">
          <w:marLeft w:val="0"/>
          <w:marRight w:val="0"/>
          <w:marTop w:val="0"/>
          <w:marBottom w:val="0"/>
          <w:divBdr>
            <w:top w:val="none" w:sz="0" w:space="0" w:color="auto"/>
            <w:left w:val="none" w:sz="0" w:space="0" w:color="auto"/>
            <w:bottom w:val="none" w:sz="0" w:space="0" w:color="auto"/>
            <w:right w:val="none" w:sz="0" w:space="0" w:color="auto"/>
          </w:divBdr>
          <w:divsChild>
            <w:div w:id="1863975848">
              <w:marLeft w:val="0"/>
              <w:marRight w:val="0"/>
              <w:marTop w:val="0"/>
              <w:marBottom w:val="0"/>
              <w:divBdr>
                <w:top w:val="none" w:sz="0" w:space="0" w:color="auto"/>
                <w:left w:val="none" w:sz="0" w:space="0" w:color="auto"/>
                <w:bottom w:val="none" w:sz="0" w:space="0" w:color="auto"/>
                <w:right w:val="none" w:sz="0" w:space="0" w:color="auto"/>
              </w:divBdr>
              <w:divsChild>
                <w:div w:id="1347707735">
                  <w:marLeft w:val="0"/>
                  <w:marRight w:val="0"/>
                  <w:marTop w:val="0"/>
                  <w:marBottom w:val="0"/>
                  <w:divBdr>
                    <w:top w:val="none" w:sz="0" w:space="0" w:color="auto"/>
                    <w:left w:val="none" w:sz="0" w:space="0" w:color="auto"/>
                    <w:bottom w:val="none" w:sz="0" w:space="0" w:color="auto"/>
                    <w:right w:val="none" w:sz="0" w:space="0" w:color="auto"/>
                  </w:divBdr>
                  <w:divsChild>
                    <w:div w:id="256060761">
                      <w:marLeft w:val="1169"/>
                      <w:marRight w:val="0"/>
                      <w:marTop w:val="0"/>
                      <w:marBottom w:val="0"/>
                      <w:divBdr>
                        <w:top w:val="none" w:sz="0" w:space="0" w:color="auto"/>
                        <w:left w:val="none" w:sz="0" w:space="0" w:color="auto"/>
                        <w:bottom w:val="none" w:sz="0" w:space="0" w:color="auto"/>
                        <w:right w:val="none" w:sz="0" w:space="0" w:color="auto"/>
                      </w:divBdr>
                    </w:div>
                  </w:divsChild>
                </w:div>
                <w:div w:id="62712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1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693092">
      <w:bodyDiv w:val="1"/>
      <w:marLeft w:val="0"/>
      <w:marRight w:val="0"/>
      <w:marTop w:val="0"/>
      <w:marBottom w:val="0"/>
      <w:divBdr>
        <w:top w:val="none" w:sz="0" w:space="0" w:color="auto"/>
        <w:left w:val="none" w:sz="0" w:space="0" w:color="auto"/>
        <w:bottom w:val="none" w:sz="0" w:space="0" w:color="auto"/>
        <w:right w:val="none" w:sz="0" w:space="0" w:color="auto"/>
      </w:divBdr>
      <w:divsChild>
        <w:div w:id="39135011">
          <w:marLeft w:val="0"/>
          <w:marRight w:val="0"/>
          <w:marTop w:val="0"/>
          <w:marBottom w:val="0"/>
          <w:divBdr>
            <w:top w:val="none" w:sz="0" w:space="0" w:color="auto"/>
            <w:left w:val="none" w:sz="0" w:space="0" w:color="auto"/>
            <w:bottom w:val="none" w:sz="0" w:space="0" w:color="auto"/>
            <w:right w:val="none" w:sz="0" w:space="0" w:color="auto"/>
          </w:divBdr>
          <w:divsChild>
            <w:div w:id="1293747821">
              <w:marLeft w:val="0"/>
              <w:marRight w:val="0"/>
              <w:marTop w:val="0"/>
              <w:marBottom w:val="0"/>
              <w:divBdr>
                <w:top w:val="none" w:sz="0" w:space="0" w:color="auto"/>
                <w:left w:val="none" w:sz="0" w:space="0" w:color="auto"/>
                <w:bottom w:val="none" w:sz="0" w:space="0" w:color="auto"/>
                <w:right w:val="none" w:sz="0" w:space="0" w:color="auto"/>
              </w:divBdr>
              <w:divsChild>
                <w:div w:id="2060586143">
                  <w:marLeft w:val="0"/>
                  <w:marRight w:val="0"/>
                  <w:marTop w:val="0"/>
                  <w:marBottom w:val="0"/>
                  <w:divBdr>
                    <w:top w:val="none" w:sz="0" w:space="0" w:color="auto"/>
                    <w:left w:val="none" w:sz="0" w:space="0" w:color="auto"/>
                    <w:bottom w:val="none" w:sz="0" w:space="0" w:color="auto"/>
                    <w:right w:val="none" w:sz="0" w:space="0" w:color="auto"/>
                  </w:divBdr>
                </w:div>
                <w:div w:id="680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797">
          <w:marLeft w:val="0"/>
          <w:marRight w:val="0"/>
          <w:marTop w:val="0"/>
          <w:marBottom w:val="0"/>
          <w:divBdr>
            <w:top w:val="none" w:sz="0" w:space="0" w:color="auto"/>
            <w:left w:val="none" w:sz="0" w:space="0" w:color="auto"/>
            <w:bottom w:val="none" w:sz="0" w:space="0" w:color="auto"/>
            <w:right w:val="none" w:sz="0" w:space="0" w:color="auto"/>
          </w:divBdr>
          <w:divsChild>
            <w:div w:id="927884574">
              <w:marLeft w:val="0"/>
              <w:marRight w:val="0"/>
              <w:marTop w:val="0"/>
              <w:marBottom w:val="0"/>
              <w:divBdr>
                <w:top w:val="none" w:sz="0" w:space="0" w:color="auto"/>
                <w:left w:val="none" w:sz="0" w:space="0" w:color="auto"/>
                <w:bottom w:val="none" w:sz="0" w:space="0" w:color="auto"/>
                <w:right w:val="none" w:sz="0" w:space="0" w:color="auto"/>
              </w:divBdr>
              <w:divsChild>
                <w:div w:id="316300996">
                  <w:marLeft w:val="0"/>
                  <w:marRight w:val="0"/>
                  <w:marTop w:val="0"/>
                  <w:marBottom w:val="0"/>
                  <w:divBdr>
                    <w:top w:val="none" w:sz="0" w:space="0" w:color="auto"/>
                    <w:left w:val="none" w:sz="0" w:space="0" w:color="auto"/>
                    <w:bottom w:val="none" w:sz="0" w:space="0" w:color="auto"/>
                    <w:right w:val="none" w:sz="0" w:space="0" w:color="auto"/>
                  </w:divBdr>
                  <w:divsChild>
                    <w:div w:id="1929970329">
                      <w:marLeft w:val="0"/>
                      <w:marRight w:val="0"/>
                      <w:marTop w:val="0"/>
                      <w:marBottom w:val="0"/>
                      <w:divBdr>
                        <w:top w:val="none" w:sz="0" w:space="0" w:color="auto"/>
                        <w:left w:val="none" w:sz="0" w:space="0" w:color="auto"/>
                        <w:bottom w:val="none" w:sz="0" w:space="0" w:color="auto"/>
                        <w:right w:val="none" w:sz="0" w:space="0" w:color="auto"/>
                      </w:divBdr>
                      <w:divsChild>
                        <w:div w:id="71317417">
                          <w:marLeft w:val="0"/>
                          <w:marRight w:val="0"/>
                          <w:marTop w:val="0"/>
                          <w:marBottom w:val="0"/>
                          <w:divBdr>
                            <w:top w:val="none" w:sz="0" w:space="0" w:color="auto"/>
                            <w:left w:val="none" w:sz="0" w:space="0" w:color="auto"/>
                            <w:bottom w:val="none" w:sz="0" w:space="0" w:color="auto"/>
                            <w:right w:val="none" w:sz="0" w:space="0" w:color="auto"/>
                          </w:divBdr>
                        </w:div>
                      </w:divsChild>
                    </w:div>
                    <w:div w:id="833033782">
                      <w:marLeft w:val="0"/>
                      <w:marRight w:val="0"/>
                      <w:marTop w:val="0"/>
                      <w:marBottom w:val="0"/>
                      <w:divBdr>
                        <w:top w:val="none" w:sz="0" w:space="0" w:color="auto"/>
                        <w:left w:val="none" w:sz="0" w:space="0" w:color="auto"/>
                        <w:bottom w:val="none" w:sz="0" w:space="0" w:color="auto"/>
                        <w:right w:val="none" w:sz="0" w:space="0" w:color="auto"/>
                      </w:divBdr>
                      <w:divsChild>
                        <w:div w:id="2047758503">
                          <w:marLeft w:val="0"/>
                          <w:marRight w:val="0"/>
                          <w:marTop w:val="0"/>
                          <w:marBottom w:val="0"/>
                          <w:divBdr>
                            <w:top w:val="none" w:sz="0" w:space="0" w:color="auto"/>
                            <w:left w:val="none" w:sz="0" w:space="0" w:color="auto"/>
                            <w:bottom w:val="none" w:sz="0" w:space="0" w:color="auto"/>
                            <w:right w:val="none" w:sz="0" w:space="0" w:color="auto"/>
                          </w:divBdr>
                        </w:div>
                      </w:divsChild>
                    </w:div>
                    <w:div w:id="1674409612">
                      <w:marLeft w:val="0"/>
                      <w:marRight w:val="0"/>
                      <w:marTop w:val="0"/>
                      <w:marBottom w:val="0"/>
                      <w:divBdr>
                        <w:top w:val="none" w:sz="0" w:space="0" w:color="auto"/>
                        <w:left w:val="none" w:sz="0" w:space="0" w:color="auto"/>
                        <w:bottom w:val="none" w:sz="0" w:space="0" w:color="auto"/>
                        <w:right w:val="none" w:sz="0" w:space="0" w:color="auto"/>
                      </w:divBdr>
                      <w:divsChild>
                        <w:div w:id="287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6508">
          <w:marLeft w:val="0"/>
          <w:marRight w:val="0"/>
          <w:marTop w:val="0"/>
          <w:marBottom w:val="0"/>
          <w:divBdr>
            <w:top w:val="none" w:sz="0" w:space="0" w:color="auto"/>
            <w:left w:val="none" w:sz="0" w:space="0" w:color="auto"/>
            <w:bottom w:val="none" w:sz="0" w:space="0" w:color="auto"/>
            <w:right w:val="none" w:sz="0" w:space="0" w:color="auto"/>
          </w:divBdr>
          <w:divsChild>
            <w:div w:id="1546941073">
              <w:marLeft w:val="0"/>
              <w:marRight w:val="0"/>
              <w:marTop w:val="0"/>
              <w:marBottom w:val="0"/>
              <w:divBdr>
                <w:top w:val="none" w:sz="0" w:space="0" w:color="auto"/>
                <w:left w:val="none" w:sz="0" w:space="0" w:color="auto"/>
                <w:bottom w:val="none" w:sz="0" w:space="0" w:color="auto"/>
                <w:right w:val="none" w:sz="0" w:space="0" w:color="auto"/>
              </w:divBdr>
              <w:divsChild>
                <w:div w:id="1176576532">
                  <w:marLeft w:val="0"/>
                  <w:marRight w:val="0"/>
                  <w:marTop w:val="0"/>
                  <w:marBottom w:val="0"/>
                  <w:divBdr>
                    <w:top w:val="none" w:sz="0" w:space="0" w:color="auto"/>
                    <w:left w:val="none" w:sz="0" w:space="0" w:color="auto"/>
                    <w:bottom w:val="none" w:sz="0" w:space="0" w:color="auto"/>
                    <w:right w:val="none" w:sz="0" w:space="0" w:color="auto"/>
                  </w:divBdr>
                  <w:divsChild>
                    <w:div w:id="5663092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73451">
      <w:bodyDiv w:val="1"/>
      <w:marLeft w:val="0"/>
      <w:marRight w:val="0"/>
      <w:marTop w:val="0"/>
      <w:marBottom w:val="0"/>
      <w:divBdr>
        <w:top w:val="none" w:sz="0" w:space="0" w:color="auto"/>
        <w:left w:val="none" w:sz="0" w:space="0" w:color="auto"/>
        <w:bottom w:val="none" w:sz="0" w:space="0" w:color="auto"/>
        <w:right w:val="none" w:sz="0" w:space="0" w:color="auto"/>
      </w:divBdr>
      <w:divsChild>
        <w:div w:id="204025180">
          <w:marLeft w:val="0"/>
          <w:marRight w:val="0"/>
          <w:marTop w:val="0"/>
          <w:marBottom w:val="0"/>
          <w:divBdr>
            <w:top w:val="none" w:sz="0" w:space="0" w:color="auto"/>
            <w:left w:val="none" w:sz="0" w:space="0" w:color="auto"/>
            <w:bottom w:val="none" w:sz="0" w:space="0" w:color="auto"/>
            <w:right w:val="none" w:sz="0" w:space="0" w:color="auto"/>
          </w:divBdr>
          <w:divsChild>
            <w:div w:id="1982297393">
              <w:marLeft w:val="0"/>
              <w:marRight w:val="0"/>
              <w:marTop w:val="0"/>
              <w:marBottom w:val="0"/>
              <w:divBdr>
                <w:top w:val="none" w:sz="0" w:space="0" w:color="auto"/>
                <w:left w:val="none" w:sz="0" w:space="0" w:color="auto"/>
                <w:bottom w:val="none" w:sz="0" w:space="0" w:color="auto"/>
                <w:right w:val="none" w:sz="0" w:space="0" w:color="auto"/>
              </w:divBdr>
              <w:divsChild>
                <w:div w:id="609897892">
                  <w:marLeft w:val="0"/>
                  <w:marRight w:val="0"/>
                  <w:marTop w:val="0"/>
                  <w:marBottom w:val="0"/>
                  <w:divBdr>
                    <w:top w:val="none" w:sz="0" w:space="0" w:color="auto"/>
                    <w:left w:val="none" w:sz="0" w:space="0" w:color="auto"/>
                    <w:bottom w:val="none" w:sz="0" w:space="0" w:color="auto"/>
                    <w:right w:val="none" w:sz="0" w:space="0" w:color="auto"/>
                  </w:divBdr>
                </w:div>
                <w:div w:id="4780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535">
          <w:marLeft w:val="0"/>
          <w:marRight w:val="0"/>
          <w:marTop w:val="0"/>
          <w:marBottom w:val="0"/>
          <w:divBdr>
            <w:top w:val="none" w:sz="0" w:space="0" w:color="auto"/>
            <w:left w:val="none" w:sz="0" w:space="0" w:color="auto"/>
            <w:bottom w:val="none" w:sz="0" w:space="0" w:color="auto"/>
            <w:right w:val="none" w:sz="0" w:space="0" w:color="auto"/>
          </w:divBdr>
          <w:divsChild>
            <w:div w:id="2126650759">
              <w:marLeft w:val="0"/>
              <w:marRight w:val="0"/>
              <w:marTop w:val="0"/>
              <w:marBottom w:val="0"/>
              <w:divBdr>
                <w:top w:val="none" w:sz="0" w:space="0" w:color="auto"/>
                <w:left w:val="none" w:sz="0" w:space="0" w:color="auto"/>
                <w:bottom w:val="none" w:sz="0" w:space="0" w:color="auto"/>
                <w:right w:val="none" w:sz="0" w:space="0" w:color="auto"/>
              </w:divBdr>
              <w:divsChild>
                <w:div w:id="627123019">
                  <w:marLeft w:val="0"/>
                  <w:marRight w:val="0"/>
                  <w:marTop w:val="0"/>
                  <w:marBottom w:val="0"/>
                  <w:divBdr>
                    <w:top w:val="none" w:sz="0" w:space="0" w:color="auto"/>
                    <w:left w:val="none" w:sz="0" w:space="0" w:color="auto"/>
                    <w:bottom w:val="none" w:sz="0" w:space="0" w:color="auto"/>
                    <w:right w:val="none" w:sz="0" w:space="0" w:color="auto"/>
                  </w:divBdr>
                  <w:divsChild>
                    <w:div w:id="1889023259">
                      <w:marLeft w:val="0"/>
                      <w:marRight w:val="0"/>
                      <w:marTop w:val="0"/>
                      <w:marBottom w:val="0"/>
                      <w:divBdr>
                        <w:top w:val="none" w:sz="0" w:space="0" w:color="auto"/>
                        <w:left w:val="none" w:sz="0" w:space="0" w:color="auto"/>
                        <w:bottom w:val="none" w:sz="0" w:space="0" w:color="auto"/>
                        <w:right w:val="none" w:sz="0" w:space="0" w:color="auto"/>
                      </w:divBdr>
                      <w:divsChild>
                        <w:div w:id="1943416975">
                          <w:marLeft w:val="0"/>
                          <w:marRight w:val="0"/>
                          <w:marTop w:val="0"/>
                          <w:marBottom w:val="0"/>
                          <w:divBdr>
                            <w:top w:val="none" w:sz="0" w:space="0" w:color="auto"/>
                            <w:left w:val="none" w:sz="0" w:space="0" w:color="auto"/>
                            <w:bottom w:val="none" w:sz="0" w:space="0" w:color="auto"/>
                            <w:right w:val="none" w:sz="0" w:space="0" w:color="auto"/>
                          </w:divBdr>
                        </w:div>
                      </w:divsChild>
                    </w:div>
                    <w:div w:id="254485065">
                      <w:marLeft w:val="0"/>
                      <w:marRight w:val="0"/>
                      <w:marTop w:val="0"/>
                      <w:marBottom w:val="0"/>
                      <w:divBdr>
                        <w:top w:val="none" w:sz="0" w:space="0" w:color="auto"/>
                        <w:left w:val="none" w:sz="0" w:space="0" w:color="auto"/>
                        <w:bottom w:val="none" w:sz="0" w:space="0" w:color="auto"/>
                        <w:right w:val="none" w:sz="0" w:space="0" w:color="auto"/>
                      </w:divBdr>
                      <w:divsChild>
                        <w:div w:id="1463309802">
                          <w:marLeft w:val="0"/>
                          <w:marRight w:val="0"/>
                          <w:marTop w:val="0"/>
                          <w:marBottom w:val="0"/>
                          <w:divBdr>
                            <w:top w:val="none" w:sz="0" w:space="0" w:color="auto"/>
                            <w:left w:val="none" w:sz="0" w:space="0" w:color="auto"/>
                            <w:bottom w:val="none" w:sz="0" w:space="0" w:color="auto"/>
                            <w:right w:val="none" w:sz="0" w:space="0" w:color="auto"/>
                          </w:divBdr>
                        </w:div>
                      </w:divsChild>
                    </w:div>
                    <w:div w:id="1741903990">
                      <w:marLeft w:val="0"/>
                      <w:marRight w:val="0"/>
                      <w:marTop w:val="0"/>
                      <w:marBottom w:val="0"/>
                      <w:divBdr>
                        <w:top w:val="none" w:sz="0" w:space="0" w:color="auto"/>
                        <w:left w:val="none" w:sz="0" w:space="0" w:color="auto"/>
                        <w:bottom w:val="none" w:sz="0" w:space="0" w:color="auto"/>
                        <w:right w:val="none" w:sz="0" w:space="0" w:color="auto"/>
                      </w:divBdr>
                      <w:divsChild>
                        <w:div w:id="1393893935">
                          <w:marLeft w:val="0"/>
                          <w:marRight w:val="0"/>
                          <w:marTop w:val="0"/>
                          <w:marBottom w:val="0"/>
                          <w:divBdr>
                            <w:top w:val="none" w:sz="0" w:space="0" w:color="auto"/>
                            <w:left w:val="none" w:sz="0" w:space="0" w:color="auto"/>
                            <w:bottom w:val="none" w:sz="0" w:space="0" w:color="auto"/>
                            <w:right w:val="none" w:sz="0" w:space="0" w:color="auto"/>
                          </w:divBdr>
                        </w:div>
                      </w:divsChild>
                    </w:div>
                    <w:div w:id="1252589622">
                      <w:marLeft w:val="0"/>
                      <w:marRight w:val="0"/>
                      <w:marTop w:val="0"/>
                      <w:marBottom w:val="0"/>
                      <w:divBdr>
                        <w:top w:val="none" w:sz="0" w:space="0" w:color="auto"/>
                        <w:left w:val="none" w:sz="0" w:space="0" w:color="auto"/>
                        <w:bottom w:val="none" w:sz="0" w:space="0" w:color="auto"/>
                        <w:right w:val="none" w:sz="0" w:space="0" w:color="auto"/>
                      </w:divBdr>
                      <w:divsChild>
                        <w:div w:id="650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68870">
          <w:marLeft w:val="0"/>
          <w:marRight w:val="0"/>
          <w:marTop w:val="0"/>
          <w:marBottom w:val="0"/>
          <w:divBdr>
            <w:top w:val="none" w:sz="0" w:space="0" w:color="auto"/>
            <w:left w:val="none" w:sz="0" w:space="0" w:color="auto"/>
            <w:bottom w:val="none" w:sz="0" w:space="0" w:color="auto"/>
            <w:right w:val="none" w:sz="0" w:space="0" w:color="auto"/>
          </w:divBdr>
          <w:divsChild>
            <w:div w:id="1109742222">
              <w:marLeft w:val="0"/>
              <w:marRight w:val="0"/>
              <w:marTop w:val="0"/>
              <w:marBottom w:val="0"/>
              <w:divBdr>
                <w:top w:val="none" w:sz="0" w:space="0" w:color="auto"/>
                <w:left w:val="none" w:sz="0" w:space="0" w:color="auto"/>
                <w:bottom w:val="none" w:sz="0" w:space="0" w:color="auto"/>
                <w:right w:val="none" w:sz="0" w:space="0" w:color="auto"/>
              </w:divBdr>
              <w:divsChild>
                <w:div w:id="867529412">
                  <w:marLeft w:val="0"/>
                  <w:marRight w:val="0"/>
                  <w:marTop w:val="0"/>
                  <w:marBottom w:val="0"/>
                  <w:divBdr>
                    <w:top w:val="none" w:sz="0" w:space="0" w:color="auto"/>
                    <w:left w:val="none" w:sz="0" w:space="0" w:color="auto"/>
                    <w:bottom w:val="none" w:sz="0" w:space="0" w:color="auto"/>
                    <w:right w:val="none" w:sz="0" w:space="0" w:color="auto"/>
                  </w:divBdr>
                  <w:divsChild>
                    <w:div w:id="1434128933">
                      <w:marLeft w:val="1169"/>
                      <w:marRight w:val="0"/>
                      <w:marTop w:val="0"/>
                      <w:marBottom w:val="0"/>
                      <w:divBdr>
                        <w:top w:val="none" w:sz="0" w:space="0" w:color="auto"/>
                        <w:left w:val="none" w:sz="0" w:space="0" w:color="auto"/>
                        <w:bottom w:val="none" w:sz="0" w:space="0" w:color="auto"/>
                        <w:right w:val="none" w:sz="0" w:space="0" w:color="auto"/>
                      </w:divBdr>
                    </w:div>
                  </w:divsChild>
                </w:div>
                <w:div w:id="19495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6701512">
      <w:bodyDiv w:val="1"/>
      <w:marLeft w:val="0"/>
      <w:marRight w:val="0"/>
      <w:marTop w:val="0"/>
      <w:marBottom w:val="0"/>
      <w:divBdr>
        <w:top w:val="none" w:sz="0" w:space="0" w:color="auto"/>
        <w:left w:val="none" w:sz="0" w:space="0" w:color="auto"/>
        <w:bottom w:val="none" w:sz="0" w:space="0" w:color="auto"/>
        <w:right w:val="none" w:sz="0" w:space="0" w:color="auto"/>
      </w:divBdr>
      <w:divsChild>
        <w:div w:id="1811557165">
          <w:marLeft w:val="0"/>
          <w:marRight w:val="0"/>
          <w:marTop w:val="0"/>
          <w:marBottom w:val="0"/>
          <w:divBdr>
            <w:top w:val="none" w:sz="0" w:space="0" w:color="auto"/>
            <w:left w:val="none" w:sz="0" w:space="0" w:color="auto"/>
            <w:bottom w:val="none" w:sz="0" w:space="0" w:color="auto"/>
            <w:right w:val="none" w:sz="0" w:space="0" w:color="auto"/>
          </w:divBdr>
        </w:div>
        <w:div w:id="1652711645">
          <w:marLeft w:val="0"/>
          <w:marRight w:val="0"/>
          <w:marTop w:val="0"/>
          <w:marBottom w:val="0"/>
          <w:divBdr>
            <w:top w:val="none" w:sz="0" w:space="0" w:color="auto"/>
            <w:left w:val="none" w:sz="0" w:space="0" w:color="auto"/>
            <w:bottom w:val="none" w:sz="0" w:space="0" w:color="auto"/>
            <w:right w:val="none" w:sz="0" w:space="0" w:color="auto"/>
          </w:divBdr>
        </w:div>
        <w:div w:id="1466317040">
          <w:marLeft w:val="0"/>
          <w:marRight w:val="0"/>
          <w:marTop w:val="0"/>
          <w:marBottom w:val="0"/>
          <w:divBdr>
            <w:top w:val="none" w:sz="0" w:space="0" w:color="auto"/>
            <w:left w:val="none" w:sz="0" w:space="0" w:color="auto"/>
            <w:bottom w:val="none" w:sz="0" w:space="0" w:color="auto"/>
            <w:right w:val="none" w:sz="0" w:space="0" w:color="auto"/>
          </w:divBdr>
          <w:divsChild>
            <w:div w:id="363749732">
              <w:marLeft w:val="1417"/>
              <w:marRight w:val="0"/>
              <w:marTop w:val="0"/>
              <w:marBottom w:val="0"/>
              <w:divBdr>
                <w:top w:val="none" w:sz="0" w:space="0" w:color="auto"/>
                <w:left w:val="none" w:sz="0" w:space="0" w:color="auto"/>
                <w:bottom w:val="none" w:sz="0" w:space="0" w:color="auto"/>
                <w:right w:val="none" w:sz="0" w:space="0" w:color="auto"/>
              </w:divBdr>
            </w:div>
          </w:divsChild>
        </w:div>
        <w:div w:id="198601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1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1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2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99360306">
      <w:bodyDiv w:val="1"/>
      <w:marLeft w:val="0"/>
      <w:marRight w:val="0"/>
      <w:marTop w:val="0"/>
      <w:marBottom w:val="0"/>
      <w:divBdr>
        <w:top w:val="none" w:sz="0" w:space="0" w:color="auto"/>
        <w:left w:val="none" w:sz="0" w:space="0" w:color="auto"/>
        <w:bottom w:val="none" w:sz="0" w:space="0" w:color="auto"/>
        <w:right w:val="none" w:sz="0" w:space="0" w:color="auto"/>
      </w:divBdr>
      <w:divsChild>
        <w:div w:id="61758419">
          <w:marLeft w:val="0"/>
          <w:marRight w:val="0"/>
          <w:marTop w:val="0"/>
          <w:marBottom w:val="0"/>
          <w:divBdr>
            <w:top w:val="none" w:sz="0" w:space="0" w:color="auto"/>
            <w:left w:val="none" w:sz="0" w:space="0" w:color="auto"/>
            <w:bottom w:val="none" w:sz="0" w:space="0" w:color="auto"/>
            <w:right w:val="none" w:sz="0" w:space="0" w:color="auto"/>
          </w:divBdr>
        </w:div>
        <w:div w:id="1044906630">
          <w:marLeft w:val="0"/>
          <w:marRight w:val="0"/>
          <w:marTop w:val="0"/>
          <w:marBottom w:val="0"/>
          <w:divBdr>
            <w:top w:val="none" w:sz="0" w:space="0" w:color="auto"/>
            <w:left w:val="none" w:sz="0" w:space="0" w:color="auto"/>
            <w:bottom w:val="none" w:sz="0" w:space="0" w:color="auto"/>
            <w:right w:val="none" w:sz="0" w:space="0" w:color="auto"/>
          </w:divBdr>
        </w:div>
        <w:div w:id="766969924">
          <w:marLeft w:val="0"/>
          <w:marRight w:val="0"/>
          <w:marTop w:val="0"/>
          <w:marBottom w:val="0"/>
          <w:divBdr>
            <w:top w:val="none" w:sz="0" w:space="0" w:color="auto"/>
            <w:left w:val="none" w:sz="0" w:space="0" w:color="auto"/>
            <w:bottom w:val="none" w:sz="0" w:space="0" w:color="auto"/>
            <w:right w:val="none" w:sz="0" w:space="0" w:color="auto"/>
          </w:divBdr>
          <w:divsChild>
            <w:div w:id="1464470109">
              <w:marLeft w:val="1417"/>
              <w:marRight w:val="0"/>
              <w:marTop w:val="0"/>
              <w:marBottom w:val="0"/>
              <w:divBdr>
                <w:top w:val="none" w:sz="0" w:space="0" w:color="auto"/>
                <w:left w:val="none" w:sz="0" w:space="0" w:color="auto"/>
                <w:bottom w:val="none" w:sz="0" w:space="0" w:color="auto"/>
                <w:right w:val="none" w:sz="0" w:space="0" w:color="auto"/>
              </w:divBdr>
            </w:div>
          </w:divsChild>
        </w:div>
        <w:div w:id="61166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2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2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653176811">
      <w:bodyDiv w:val="1"/>
      <w:marLeft w:val="0"/>
      <w:marRight w:val="0"/>
      <w:marTop w:val="0"/>
      <w:marBottom w:val="0"/>
      <w:divBdr>
        <w:top w:val="none" w:sz="0" w:space="0" w:color="auto"/>
        <w:left w:val="none" w:sz="0" w:space="0" w:color="auto"/>
        <w:bottom w:val="none" w:sz="0" w:space="0" w:color="auto"/>
        <w:right w:val="none" w:sz="0" w:space="0" w:color="auto"/>
      </w:divBdr>
      <w:divsChild>
        <w:div w:id="1939823962">
          <w:marLeft w:val="0"/>
          <w:marRight w:val="0"/>
          <w:marTop w:val="0"/>
          <w:marBottom w:val="0"/>
          <w:divBdr>
            <w:top w:val="none" w:sz="0" w:space="0" w:color="auto"/>
            <w:left w:val="none" w:sz="0" w:space="0" w:color="auto"/>
            <w:bottom w:val="none" w:sz="0" w:space="0" w:color="auto"/>
            <w:right w:val="none" w:sz="0" w:space="0" w:color="auto"/>
          </w:divBdr>
          <w:divsChild>
            <w:div w:id="2052069320">
              <w:marLeft w:val="0"/>
              <w:marRight w:val="0"/>
              <w:marTop w:val="0"/>
              <w:marBottom w:val="0"/>
              <w:divBdr>
                <w:top w:val="none" w:sz="0" w:space="0" w:color="auto"/>
                <w:left w:val="none" w:sz="0" w:space="0" w:color="auto"/>
                <w:bottom w:val="none" w:sz="0" w:space="0" w:color="auto"/>
                <w:right w:val="none" w:sz="0" w:space="0" w:color="auto"/>
              </w:divBdr>
              <w:divsChild>
                <w:div w:id="1415937524">
                  <w:marLeft w:val="0"/>
                  <w:marRight w:val="0"/>
                  <w:marTop w:val="0"/>
                  <w:marBottom w:val="0"/>
                  <w:divBdr>
                    <w:top w:val="none" w:sz="0" w:space="0" w:color="auto"/>
                    <w:left w:val="none" w:sz="0" w:space="0" w:color="auto"/>
                    <w:bottom w:val="none" w:sz="0" w:space="0" w:color="auto"/>
                    <w:right w:val="none" w:sz="0" w:space="0" w:color="auto"/>
                  </w:divBdr>
                </w:div>
                <w:div w:id="4102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656">
          <w:marLeft w:val="0"/>
          <w:marRight w:val="0"/>
          <w:marTop w:val="0"/>
          <w:marBottom w:val="0"/>
          <w:divBdr>
            <w:top w:val="none" w:sz="0" w:space="0" w:color="auto"/>
            <w:left w:val="none" w:sz="0" w:space="0" w:color="auto"/>
            <w:bottom w:val="none" w:sz="0" w:space="0" w:color="auto"/>
            <w:right w:val="none" w:sz="0" w:space="0" w:color="auto"/>
          </w:divBdr>
          <w:divsChild>
            <w:div w:id="939869847">
              <w:marLeft w:val="0"/>
              <w:marRight w:val="0"/>
              <w:marTop w:val="0"/>
              <w:marBottom w:val="0"/>
              <w:divBdr>
                <w:top w:val="none" w:sz="0" w:space="0" w:color="auto"/>
                <w:left w:val="none" w:sz="0" w:space="0" w:color="auto"/>
                <w:bottom w:val="none" w:sz="0" w:space="0" w:color="auto"/>
                <w:right w:val="none" w:sz="0" w:space="0" w:color="auto"/>
              </w:divBdr>
              <w:divsChild>
                <w:div w:id="1355502009">
                  <w:marLeft w:val="0"/>
                  <w:marRight w:val="0"/>
                  <w:marTop w:val="0"/>
                  <w:marBottom w:val="0"/>
                  <w:divBdr>
                    <w:top w:val="none" w:sz="0" w:space="0" w:color="auto"/>
                    <w:left w:val="none" w:sz="0" w:space="0" w:color="auto"/>
                    <w:bottom w:val="none" w:sz="0" w:space="0" w:color="auto"/>
                    <w:right w:val="none" w:sz="0" w:space="0" w:color="auto"/>
                  </w:divBdr>
                  <w:divsChild>
                    <w:div w:id="1826890737">
                      <w:marLeft w:val="0"/>
                      <w:marRight w:val="0"/>
                      <w:marTop w:val="0"/>
                      <w:marBottom w:val="0"/>
                      <w:divBdr>
                        <w:top w:val="none" w:sz="0" w:space="0" w:color="auto"/>
                        <w:left w:val="none" w:sz="0" w:space="0" w:color="auto"/>
                        <w:bottom w:val="none" w:sz="0" w:space="0" w:color="auto"/>
                        <w:right w:val="none" w:sz="0" w:space="0" w:color="auto"/>
                      </w:divBdr>
                      <w:divsChild>
                        <w:div w:id="1281300898">
                          <w:marLeft w:val="0"/>
                          <w:marRight w:val="0"/>
                          <w:marTop w:val="0"/>
                          <w:marBottom w:val="0"/>
                          <w:divBdr>
                            <w:top w:val="none" w:sz="0" w:space="0" w:color="auto"/>
                            <w:left w:val="none" w:sz="0" w:space="0" w:color="auto"/>
                            <w:bottom w:val="none" w:sz="0" w:space="0" w:color="auto"/>
                            <w:right w:val="none" w:sz="0" w:space="0" w:color="auto"/>
                          </w:divBdr>
                        </w:div>
                      </w:divsChild>
                    </w:div>
                    <w:div w:id="548493798">
                      <w:marLeft w:val="0"/>
                      <w:marRight w:val="0"/>
                      <w:marTop w:val="0"/>
                      <w:marBottom w:val="0"/>
                      <w:divBdr>
                        <w:top w:val="none" w:sz="0" w:space="0" w:color="auto"/>
                        <w:left w:val="none" w:sz="0" w:space="0" w:color="auto"/>
                        <w:bottom w:val="none" w:sz="0" w:space="0" w:color="auto"/>
                        <w:right w:val="none" w:sz="0" w:space="0" w:color="auto"/>
                      </w:divBdr>
                      <w:divsChild>
                        <w:div w:id="1719163948">
                          <w:marLeft w:val="0"/>
                          <w:marRight w:val="0"/>
                          <w:marTop w:val="0"/>
                          <w:marBottom w:val="0"/>
                          <w:divBdr>
                            <w:top w:val="none" w:sz="0" w:space="0" w:color="auto"/>
                            <w:left w:val="none" w:sz="0" w:space="0" w:color="auto"/>
                            <w:bottom w:val="none" w:sz="0" w:space="0" w:color="auto"/>
                            <w:right w:val="none" w:sz="0" w:space="0" w:color="auto"/>
                          </w:divBdr>
                        </w:div>
                      </w:divsChild>
                    </w:div>
                    <w:div w:id="1707873085">
                      <w:marLeft w:val="0"/>
                      <w:marRight w:val="0"/>
                      <w:marTop w:val="0"/>
                      <w:marBottom w:val="0"/>
                      <w:divBdr>
                        <w:top w:val="none" w:sz="0" w:space="0" w:color="auto"/>
                        <w:left w:val="none" w:sz="0" w:space="0" w:color="auto"/>
                        <w:bottom w:val="none" w:sz="0" w:space="0" w:color="auto"/>
                        <w:right w:val="none" w:sz="0" w:space="0" w:color="auto"/>
                      </w:divBdr>
                      <w:divsChild>
                        <w:div w:id="1697271466">
                          <w:marLeft w:val="0"/>
                          <w:marRight w:val="0"/>
                          <w:marTop w:val="0"/>
                          <w:marBottom w:val="0"/>
                          <w:divBdr>
                            <w:top w:val="none" w:sz="0" w:space="0" w:color="auto"/>
                            <w:left w:val="none" w:sz="0" w:space="0" w:color="auto"/>
                            <w:bottom w:val="none" w:sz="0" w:space="0" w:color="auto"/>
                            <w:right w:val="none" w:sz="0" w:space="0" w:color="auto"/>
                          </w:divBdr>
                        </w:div>
                      </w:divsChild>
                    </w:div>
                    <w:div w:id="548153919">
                      <w:marLeft w:val="0"/>
                      <w:marRight w:val="0"/>
                      <w:marTop w:val="0"/>
                      <w:marBottom w:val="0"/>
                      <w:divBdr>
                        <w:top w:val="none" w:sz="0" w:space="0" w:color="auto"/>
                        <w:left w:val="none" w:sz="0" w:space="0" w:color="auto"/>
                        <w:bottom w:val="none" w:sz="0" w:space="0" w:color="auto"/>
                        <w:right w:val="none" w:sz="0" w:space="0" w:color="auto"/>
                      </w:divBdr>
                      <w:divsChild>
                        <w:div w:id="13545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24995">
          <w:marLeft w:val="0"/>
          <w:marRight w:val="0"/>
          <w:marTop w:val="0"/>
          <w:marBottom w:val="0"/>
          <w:divBdr>
            <w:top w:val="none" w:sz="0" w:space="0" w:color="auto"/>
            <w:left w:val="none" w:sz="0" w:space="0" w:color="auto"/>
            <w:bottom w:val="none" w:sz="0" w:space="0" w:color="auto"/>
            <w:right w:val="none" w:sz="0" w:space="0" w:color="auto"/>
          </w:divBdr>
          <w:divsChild>
            <w:div w:id="896015289">
              <w:marLeft w:val="0"/>
              <w:marRight w:val="0"/>
              <w:marTop w:val="0"/>
              <w:marBottom w:val="0"/>
              <w:divBdr>
                <w:top w:val="none" w:sz="0" w:space="0" w:color="auto"/>
                <w:left w:val="none" w:sz="0" w:space="0" w:color="auto"/>
                <w:bottom w:val="none" w:sz="0" w:space="0" w:color="auto"/>
                <w:right w:val="none" w:sz="0" w:space="0" w:color="auto"/>
              </w:divBdr>
              <w:divsChild>
                <w:div w:id="614557832">
                  <w:marLeft w:val="0"/>
                  <w:marRight w:val="0"/>
                  <w:marTop w:val="0"/>
                  <w:marBottom w:val="0"/>
                  <w:divBdr>
                    <w:top w:val="none" w:sz="0" w:space="0" w:color="auto"/>
                    <w:left w:val="none" w:sz="0" w:space="0" w:color="auto"/>
                    <w:bottom w:val="none" w:sz="0" w:space="0" w:color="auto"/>
                    <w:right w:val="none" w:sz="0" w:space="0" w:color="auto"/>
                  </w:divBdr>
                  <w:divsChild>
                    <w:div w:id="1533227976">
                      <w:marLeft w:val="1169"/>
                      <w:marRight w:val="0"/>
                      <w:marTop w:val="0"/>
                      <w:marBottom w:val="0"/>
                      <w:divBdr>
                        <w:top w:val="none" w:sz="0" w:space="0" w:color="auto"/>
                        <w:left w:val="none" w:sz="0" w:space="0" w:color="auto"/>
                        <w:bottom w:val="none" w:sz="0" w:space="0" w:color="auto"/>
                        <w:right w:val="none" w:sz="0" w:space="0" w:color="auto"/>
                      </w:divBdr>
                    </w:div>
                  </w:divsChild>
                </w:div>
                <w:div w:id="112296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509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7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9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79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67931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4400394">
      <w:bodyDiv w:val="1"/>
      <w:marLeft w:val="0"/>
      <w:marRight w:val="0"/>
      <w:marTop w:val="0"/>
      <w:marBottom w:val="0"/>
      <w:divBdr>
        <w:top w:val="none" w:sz="0" w:space="0" w:color="auto"/>
        <w:left w:val="none" w:sz="0" w:space="0" w:color="auto"/>
        <w:bottom w:val="none" w:sz="0" w:space="0" w:color="auto"/>
        <w:right w:val="none" w:sz="0" w:space="0" w:color="auto"/>
      </w:divBdr>
      <w:divsChild>
        <w:div w:id="524488471">
          <w:marLeft w:val="0"/>
          <w:marRight w:val="0"/>
          <w:marTop w:val="0"/>
          <w:marBottom w:val="0"/>
          <w:divBdr>
            <w:top w:val="none" w:sz="0" w:space="0" w:color="auto"/>
            <w:left w:val="none" w:sz="0" w:space="0" w:color="auto"/>
            <w:bottom w:val="none" w:sz="0" w:space="0" w:color="auto"/>
            <w:right w:val="none" w:sz="0" w:space="0" w:color="auto"/>
          </w:divBdr>
          <w:divsChild>
            <w:div w:id="1105199732">
              <w:marLeft w:val="0"/>
              <w:marRight w:val="0"/>
              <w:marTop w:val="0"/>
              <w:marBottom w:val="0"/>
              <w:divBdr>
                <w:top w:val="none" w:sz="0" w:space="0" w:color="auto"/>
                <w:left w:val="none" w:sz="0" w:space="0" w:color="auto"/>
                <w:bottom w:val="none" w:sz="0" w:space="0" w:color="auto"/>
                <w:right w:val="none" w:sz="0" w:space="0" w:color="auto"/>
              </w:divBdr>
              <w:divsChild>
                <w:div w:id="1527450362">
                  <w:marLeft w:val="0"/>
                  <w:marRight w:val="0"/>
                  <w:marTop w:val="0"/>
                  <w:marBottom w:val="0"/>
                  <w:divBdr>
                    <w:top w:val="none" w:sz="0" w:space="0" w:color="auto"/>
                    <w:left w:val="none" w:sz="0" w:space="0" w:color="auto"/>
                    <w:bottom w:val="none" w:sz="0" w:space="0" w:color="auto"/>
                    <w:right w:val="none" w:sz="0" w:space="0" w:color="auto"/>
                  </w:divBdr>
                </w:div>
                <w:div w:id="4807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1355">
          <w:marLeft w:val="0"/>
          <w:marRight w:val="0"/>
          <w:marTop w:val="0"/>
          <w:marBottom w:val="0"/>
          <w:divBdr>
            <w:top w:val="none" w:sz="0" w:space="0" w:color="auto"/>
            <w:left w:val="none" w:sz="0" w:space="0" w:color="auto"/>
            <w:bottom w:val="none" w:sz="0" w:space="0" w:color="auto"/>
            <w:right w:val="none" w:sz="0" w:space="0" w:color="auto"/>
          </w:divBdr>
          <w:divsChild>
            <w:div w:id="973870876">
              <w:marLeft w:val="0"/>
              <w:marRight w:val="0"/>
              <w:marTop w:val="0"/>
              <w:marBottom w:val="0"/>
              <w:divBdr>
                <w:top w:val="none" w:sz="0" w:space="0" w:color="auto"/>
                <w:left w:val="none" w:sz="0" w:space="0" w:color="auto"/>
                <w:bottom w:val="none" w:sz="0" w:space="0" w:color="auto"/>
                <w:right w:val="none" w:sz="0" w:space="0" w:color="auto"/>
              </w:divBdr>
              <w:divsChild>
                <w:div w:id="914242175">
                  <w:marLeft w:val="0"/>
                  <w:marRight w:val="0"/>
                  <w:marTop w:val="0"/>
                  <w:marBottom w:val="0"/>
                  <w:divBdr>
                    <w:top w:val="none" w:sz="0" w:space="0" w:color="auto"/>
                    <w:left w:val="none" w:sz="0" w:space="0" w:color="auto"/>
                    <w:bottom w:val="none" w:sz="0" w:space="0" w:color="auto"/>
                    <w:right w:val="none" w:sz="0" w:space="0" w:color="auto"/>
                  </w:divBdr>
                  <w:divsChild>
                    <w:div w:id="1707948382">
                      <w:marLeft w:val="0"/>
                      <w:marRight w:val="0"/>
                      <w:marTop w:val="0"/>
                      <w:marBottom w:val="0"/>
                      <w:divBdr>
                        <w:top w:val="none" w:sz="0" w:space="0" w:color="auto"/>
                        <w:left w:val="none" w:sz="0" w:space="0" w:color="auto"/>
                        <w:bottom w:val="none" w:sz="0" w:space="0" w:color="auto"/>
                        <w:right w:val="none" w:sz="0" w:space="0" w:color="auto"/>
                      </w:divBdr>
                      <w:divsChild>
                        <w:div w:id="1905023502">
                          <w:marLeft w:val="0"/>
                          <w:marRight w:val="0"/>
                          <w:marTop w:val="0"/>
                          <w:marBottom w:val="0"/>
                          <w:divBdr>
                            <w:top w:val="none" w:sz="0" w:space="0" w:color="auto"/>
                            <w:left w:val="none" w:sz="0" w:space="0" w:color="auto"/>
                            <w:bottom w:val="none" w:sz="0" w:space="0" w:color="auto"/>
                            <w:right w:val="none" w:sz="0" w:space="0" w:color="auto"/>
                          </w:divBdr>
                        </w:div>
                      </w:divsChild>
                    </w:div>
                    <w:div w:id="1574780561">
                      <w:marLeft w:val="0"/>
                      <w:marRight w:val="0"/>
                      <w:marTop w:val="0"/>
                      <w:marBottom w:val="0"/>
                      <w:divBdr>
                        <w:top w:val="none" w:sz="0" w:space="0" w:color="auto"/>
                        <w:left w:val="none" w:sz="0" w:space="0" w:color="auto"/>
                        <w:bottom w:val="none" w:sz="0" w:space="0" w:color="auto"/>
                        <w:right w:val="none" w:sz="0" w:space="0" w:color="auto"/>
                      </w:divBdr>
                      <w:divsChild>
                        <w:div w:id="149254248">
                          <w:marLeft w:val="0"/>
                          <w:marRight w:val="0"/>
                          <w:marTop w:val="0"/>
                          <w:marBottom w:val="0"/>
                          <w:divBdr>
                            <w:top w:val="none" w:sz="0" w:space="0" w:color="auto"/>
                            <w:left w:val="none" w:sz="0" w:space="0" w:color="auto"/>
                            <w:bottom w:val="none" w:sz="0" w:space="0" w:color="auto"/>
                            <w:right w:val="none" w:sz="0" w:space="0" w:color="auto"/>
                          </w:divBdr>
                        </w:div>
                      </w:divsChild>
                    </w:div>
                    <w:div w:id="1172140912">
                      <w:marLeft w:val="0"/>
                      <w:marRight w:val="0"/>
                      <w:marTop w:val="0"/>
                      <w:marBottom w:val="0"/>
                      <w:divBdr>
                        <w:top w:val="none" w:sz="0" w:space="0" w:color="auto"/>
                        <w:left w:val="none" w:sz="0" w:space="0" w:color="auto"/>
                        <w:bottom w:val="none" w:sz="0" w:space="0" w:color="auto"/>
                        <w:right w:val="none" w:sz="0" w:space="0" w:color="auto"/>
                      </w:divBdr>
                      <w:divsChild>
                        <w:div w:id="1239291484">
                          <w:marLeft w:val="0"/>
                          <w:marRight w:val="0"/>
                          <w:marTop w:val="0"/>
                          <w:marBottom w:val="0"/>
                          <w:divBdr>
                            <w:top w:val="none" w:sz="0" w:space="0" w:color="auto"/>
                            <w:left w:val="none" w:sz="0" w:space="0" w:color="auto"/>
                            <w:bottom w:val="none" w:sz="0" w:space="0" w:color="auto"/>
                            <w:right w:val="none" w:sz="0" w:space="0" w:color="auto"/>
                          </w:divBdr>
                        </w:div>
                      </w:divsChild>
                    </w:div>
                    <w:div w:id="1364551889">
                      <w:marLeft w:val="0"/>
                      <w:marRight w:val="0"/>
                      <w:marTop w:val="0"/>
                      <w:marBottom w:val="0"/>
                      <w:divBdr>
                        <w:top w:val="none" w:sz="0" w:space="0" w:color="auto"/>
                        <w:left w:val="none" w:sz="0" w:space="0" w:color="auto"/>
                        <w:bottom w:val="none" w:sz="0" w:space="0" w:color="auto"/>
                        <w:right w:val="none" w:sz="0" w:space="0" w:color="auto"/>
                      </w:divBdr>
                      <w:divsChild>
                        <w:div w:id="1373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76128">
          <w:marLeft w:val="0"/>
          <w:marRight w:val="0"/>
          <w:marTop w:val="0"/>
          <w:marBottom w:val="0"/>
          <w:divBdr>
            <w:top w:val="none" w:sz="0" w:space="0" w:color="auto"/>
            <w:left w:val="none" w:sz="0" w:space="0" w:color="auto"/>
            <w:bottom w:val="none" w:sz="0" w:space="0" w:color="auto"/>
            <w:right w:val="none" w:sz="0" w:space="0" w:color="auto"/>
          </w:divBdr>
          <w:divsChild>
            <w:div w:id="1848013887">
              <w:marLeft w:val="0"/>
              <w:marRight w:val="0"/>
              <w:marTop w:val="0"/>
              <w:marBottom w:val="0"/>
              <w:divBdr>
                <w:top w:val="none" w:sz="0" w:space="0" w:color="auto"/>
                <w:left w:val="none" w:sz="0" w:space="0" w:color="auto"/>
                <w:bottom w:val="none" w:sz="0" w:space="0" w:color="auto"/>
                <w:right w:val="none" w:sz="0" w:space="0" w:color="auto"/>
              </w:divBdr>
              <w:divsChild>
                <w:div w:id="782267023">
                  <w:marLeft w:val="0"/>
                  <w:marRight w:val="0"/>
                  <w:marTop w:val="0"/>
                  <w:marBottom w:val="0"/>
                  <w:divBdr>
                    <w:top w:val="none" w:sz="0" w:space="0" w:color="auto"/>
                    <w:left w:val="none" w:sz="0" w:space="0" w:color="auto"/>
                    <w:bottom w:val="none" w:sz="0" w:space="0" w:color="auto"/>
                    <w:right w:val="none" w:sz="0" w:space="0" w:color="auto"/>
                  </w:divBdr>
                  <w:divsChild>
                    <w:div w:id="761266220">
                      <w:marLeft w:val="1169"/>
                      <w:marRight w:val="0"/>
                      <w:marTop w:val="0"/>
                      <w:marBottom w:val="0"/>
                      <w:divBdr>
                        <w:top w:val="none" w:sz="0" w:space="0" w:color="auto"/>
                        <w:left w:val="none" w:sz="0" w:space="0" w:color="auto"/>
                        <w:bottom w:val="none" w:sz="0" w:space="0" w:color="auto"/>
                        <w:right w:val="none" w:sz="0" w:space="0" w:color="auto"/>
                      </w:divBdr>
                    </w:div>
                  </w:divsChild>
                </w:div>
                <w:div w:id="200312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1673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8643813">
      <w:bodyDiv w:val="1"/>
      <w:marLeft w:val="0"/>
      <w:marRight w:val="0"/>
      <w:marTop w:val="0"/>
      <w:marBottom w:val="0"/>
      <w:divBdr>
        <w:top w:val="none" w:sz="0" w:space="0" w:color="auto"/>
        <w:left w:val="none" w:sz="0" w:space="0" w:color="auto"/>
        <w:bottom w:val="none" w:sz="0" w:space="0" w:color="auto"/>
        <w:right w:val="none" w:sz="0" w:space="0" w:color="auto"/>
      </w:divBdr>
      <w:divsChild>
        <w:div w:id="1175221488">
          <w:marLeft w:val="0"/>
          <w:marRight w:val="0"/>
          <w:marTop w:val="0"/>
          <w:marBottom w:val="0"/>
          <w:divBdr>
            <w:top w:val="none" w:sz="0" w:space="0" w:color="auto"/>
            <w:left w:val="none" w:sz="0" w:space="0" w:color="auto"/>
            <w:bottom w:val="none" w:sz="0" w:space="0" w:color="auto"/>
            <w:right w:val="none" w:sz="0" w:space="0" w:color="auto"/>
          </w:divBdr>
          <w:divsChild>
            <w:div w:id="1149787671">
              <w:marLeft w:val="0"/>
              <w:marRight w:val="0"/>
              <w:marTop w:val="0"/>
              <w:marBottom w:val="0"/>
              <w:divBdr>
                <w:top w:val="none" w:sz="0" w:space="0" w:color="auto"/>
                <w:left w:val="none" w:sz="0" w:space="0" w:color="auto"/>
                <w:bottom w:val="none" w:sz="0" w:space="0" w:color="auto"/>
                <w:right w:val="none" w:sz="0" w:space="0" w:color="auto"/>
              </w:divBdr>
              <w:divsChild>
                <w:div w:id="657655834">
                  <w:marLeft w:val="0"/>
                  <w:marRight w:val="0"/>
                  <w:marTop w:val="0"/>
                  <w:marBottom w:val="0"/>
                  <w:divBdr>
                    <w:top w:val="none" w:sz="0" w:space="0" w:color="auto"/>
                    <w:left w:val="none" w:sz="0" w:space="0" w:color="auto"/>
                    <w:bottom w:val="none" w:sz="0" w:space="0" w:color="auto"/>
                    <w:right w:val="none" w:sz="0" w:space="0" w:color="auto"/>
                  </w:divBdr>
                </w:div>
                <w:div w:id="1250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05">
          <w:marLeft w:val="0"/>
          <w:marRight w:val="0"/>
          <w:marTop w:val="0"/>
          <w:marBottom w:val="0"/>
          <w:divBdr>
            <w:top w:val="none" w:sz="0" w:space="0" w:color="auto"/>
            <w:left w:val="none" w:sz="0" w:space="0" w:color="auto"/>
            <w:bottom w:val="none" w:sz="0" w:space="0" w:color="auto"/>
            <w:right w:val="none" w:sz="0" w:space="0" w:color="auto"/>
          </w:divBdr>
          <w:divsChild>
            <w:div w:id="676545589">
              <w:marLeft w:val="0"/>
              <w:marRight w:val="0"/>
              <w:marTop w:val="0"/>
              <w:marBottom w:val="0"/>
              <w:divBdr>
                <w:top w:val="none" w:sz="0" w:space="0" w:color="auto"/>
                <w:left w:val="none" w:sz="0" w:space="0" w:color="auto"/>
                <w:bottom w:val="none" w:sz="0" w:space="0" w:color="auto"/>
                <w:right w:val="none" w:sz="0" w:space="0" w:color="auto"/>
              </w:divBdr>
              <w:divsChild>
                <w:div w:id="211694690">
                  <w:marLeft w:val="0"/>
                  <w:marRight w:val="0"/>
                  <w:marTop w:val="0"/>
                  <w:marBottom w:val="0"/>
                  <w:divBdr>
                    <w:top w:val="none" w:sz="0" w:space="0" w:color="auto"/>
                    <w:left w:val="none" w:sz="0" w:space="0" w:color="auto"/>
                    <w:bottom w:val="none" w:sz="0" w:space="0" w:color="auto"/>
                    <w:right w:val="none" w:sz="0" w:space="0" w:color="auto"/>
                  </w:divBdr>
                  <w:divsChild>
                    <w:div w:id="710765650">
                      <w:marLeft w:val="0"/>
                      <w:marRight w:val="0"/>
                      <w:marTop w:val="0"/>
                      <w:marBottom w:val="0"/>
                      <w:divBdr>
                        <w:top w:val="none" w:sz="0" w:space="0" w:color="auto"/>
                        <w:left w:val="none" w:sz="0" w:space="0" w:color="auto"/>
                        <w:bottom w:val="none" w:sz="0" w:space="0" w:color="auto"/>
                        <w:right w:val="none" w:sz="0" w:space="0" w:color="auto"/>
                      </w:divBdr>
                      <w:divsChild>
                        <w:div w:id="1480608040">
                          <w:marLeft w:val="0"/>
                          <w:marRight w:val="0"/>
                          <w:marTop w:val="0"/>
                          <w:marBottom w:val="0"/>
                          <w:divBdr>
                            <w:top w:val="none" w:sz="0" w:space="0" w:color="auto"/>
                            <w:left w:val="none" w:sz="0" w:space="0" w:color="auto"/>
                            <w:bottom w:val="none" w:sz="0" w:space="0" w:color="auto"/>
                            <w:right w:val="none" w:sz="0" w:space="0" w:color="auto"/>
                          </w:divBdr>
                        </w:div>
                      </w:divsChild>
                    </w:div>
                    <w:div w:id="77480485">
                      <w:marLeft w:val="0"/>
                      <w:marRight w:val="0"/>
                      <w:marTop w:val="0"/>
                      <w:marBottom w:val="0"/>
                      <w:divBdr>
                        <w:top w:val="none" w:sz="0" w:space="0" w:color="auto"/>
                        <w:left w:val="none" w:sz="0" w:space="0" w:color="auto"/>
                        <w:bottom w:val="none" w:sz="0" w:space="0" w:color="auto"/>
                        <w:right w:val="none" w:sz="0" w:space="0" w:color="auto"/>
                      </w:divBdr>
                      <w:divsChild>
                        <w:div w:id="126360081">
                          <w:marLeft w:val="0"/>
                          <w:marRight w:val="0"/>
                          <w:marTop w:val="0"/>
                          <w:marBottom w:val="0"/>
                          <w:divBdr>
                            <w:top w:val="none" w:sz="0" w:space="0" w:color="auto"/>
                            <w:left w:val="none" w:sz="0" w:space="0" w:color="auto"/>
                            <w:bottom w:val="none" w:sz="0" w:space="0" w:color="auto"/>
                            <w:right w:val="none" w:sz="0" w:space="0" w:color="auto"/>
                          </w:divBdr>
                        </w:div>
                      </w:divsChild>
                    </w:div>
                    <w:div w:id="2085225049">
                      <w:marLeft w:val="0"/>
                      <w:marRight w:val="0"/>
                      <w:marTop w:val="0"/>
                      <w:marBottom w:val="0"/>
                      <w:divBdr>
                        <w:top w:val="none" w:sz="0" w:space="0" w:color="auto"/>
                        <w:left w:val="none" w:sz="0" w:space="0" w:color="auto"/>
                        <w:bottom w:val="none" w:sz="0" w:space="0" w:color="auto"/>
                        <w:right w:val="none" w:sz="0" w:space="0" w:color="auto"/>
                      </w:divBdr>
                      <w:divsChild>
                        <w:div w:id="276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1427">
          <w:marLeft w:val="0"/>
          <w:marRight w:val="0"/>
          <w:marTop w:val="0"/>
          <w:marBottom w:val="0"/>
          <w:divBdr>
            <w:top w:val="none" w:sz="0" w:space="0" w:color="auto"/>
            <w:left w:val="none" w:sz="0" w:space="0" w:color="auto"/>
            <w:bottom w:val="none" w:sz="0" w:space="0" w:color="auto"/>
            <w:right w:val="none" w:sz="0" w:space="0" w:color="auto"/>
          </w:divBdr>
          <w:divsChild>
            <w:div w:id="518158762">
              <w:marLeft w:val="0"/>
              <w:marRight w:val="0"/>
              <w:marTop w:val="0"/>
              <w:marBottom w:val="0"/>
              <w:divBdr>
                <w:top w:val="none" w:sz="0" w:space="0" w:color="auto"/>
                <w:left w:val="none" w:sz="0" w:space="0" w:color="auto"/>
                <w:bottom w:val="none" w:sz="0" w:space="0" w:color="auto"/>
                <w:right w:val="none" w:sz="0" w:space="0" w:color="auto"/>
              </w:divBdr>
              <w:divsChild>
                <w:div w:id="522282399">
                  <w:marLeft w:val="0"/>
                  <w:marRight w:val="0"/>
                  <w:marTop w:val="0"/>
                  <w:marBottom w:val="0"/>
                  <w:divBdr>
                    <w:top w:val="none" w:sz="0" w:space="0" w:color="auto"/>
                    <w:left w:val="none" w:sz="0" w:space="0" w:color="auto"/>
                    <w:bottom w:val="none" w:sz="0" w:space="0" w:color="auto"/>
                    <w:right w:val="none" w:sz="0" w:space="0" w:color="auto"/>
                  </w:divBdr>
                  <w:divsChild>
                    <w:div w:id="1092968255">
                      <w:marLeft w:val="1169"/>
                      <w:marRight w:val="0"/>
                      <w:marTop w:val="0"/>
                      <w:marBottom w:val="0"/>
                      <w:divBdr>
                        <w:top w:val="none" w:sz="0" w:space="0" w:color="auto"/>
                        <w:left w:val="none" w:sz="0" w:space="0" w:color="auto"/>
                        <w:bottom w:val="none" w:sz="0" w:space="0" w:color="auto"/>
                        <w:right w:val="none" w:sz="0" w:space="0" w:color="auto"/>
                      </w:divBdr>
                    </w:div>
                  </w:divsChild>
                </w:div>
                <w:div w:id="7855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34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4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36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1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6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5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0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1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1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ill-app-3d/219/823/" TargetMode="External"/><Relationship Id="rId21" Type="http://schemas.openxmlformats.org/officeDocument/2006/relationships/hyperlink" Target="https://cite.case.law/ill-app-3d/287/160/" TargetMode="External"/><Relationship Id="rId42" Type="http://schemas.openxmlformats.org/officeDocument/2006/relationships/hyperlink" Target="https://cite.case.law/citations/?q=651%20N.E.2d%201120" TargetMode="External"/><Relationship Id="rId47" Type="http://schemas.openxmlformats.org/officeDocument/2006/relationships/hyperlink" Target="https://cite.case.law/citations/?q=595%20N.E.2d%201254" TargetMode="External"/><Relationship Id="rId63" Type="http://schemas.openxmlformats.org/officeDocument/2006/relationships/hyperlink" Target="https://cite.case.law/citations/?q=587%20N.E.2d%209" TargetMode="External"/><Relationship Id="rId68" Type="http://schemas.openxmlformats.org/officeDocument/2006/relationships/hyperlink" Target="https://cite.case.law/citations/?q=561%20N.E.2d%20321" TargetMode="External"/><Relationship Id="rId7" Type="http://schemas.openxmlformats.org/officeDocument/2006/relationships/hyperlink" Target="https://cite.case.law/ill-app-3d/287/160/" TargetMode="External"/><Relationship Id="rId2" Type="http://schemas.openxmlformats.org/officeDocument/2006/relationships/styles" Target="styles.xml"/><Relationship Id="rId16" Type="http://schemas.openxmlformats.org/officeDocument/2006/relationships/hyperlink" Target="https://cite.case.law/ill-2d/169/110/" TargetMode="External"/><Relationship Id="rId29" Type="http://schemas.openxmlformats.org/officeDocument/2006/relationships/hyperlink" Target="https://cite.case.law/ill-app-3d/287/160/" TargetMode="External"/><Relationship Id="rId11" Type="http://schemas.openxmlformats.org/officeDocument/2006/relationships/hyperlink" Target="https://cite.case.law/ill-app-3d/278/503/" TargetMode="External"/><Relationship Id="rId24" Type="http://schemas.openxmlformats.org/officeDocument/2006/relationships/hyperlink" Target="https://cite.case.law/ill-app-3d/224/720/" TargetMode="External"/><Relationship Id="rId32" Type="http://schemas.openxmlformats.org/officeDocument/2006/relationships/hyperlink" Target="https://cite.case.law/ill-2d/136/132/" TargetMode="External"/><Relationship Id="rId37" Type="http://schemas.openxmlformats.org/officeDocument/2006/relationships/hyperlink" Target="https://cite.case.law/citations/?q=633%20N.E.2d%201227" TargetMode="External"/><Relationship Id="rId40" Type="http://schemas.openxmlformats.org/officeDocument/2006/relationships/hyperlink" Target="https://cite.case.law/citations/?q=657%20N.E.2d%20903" TargetMode="External"/><Relationship Id="rId45" Type="http://schemas.openxmlformats.org/officeDocument/2006/relationships/hyperlink" Target="https://cite.case.law/citations/?q=669%20N.E.2d%201189" TargetMode="External"/><Relationship Id="rId53" Type="http://schemas.openxmlformats.org/officeDocument/2006/relationships/hyperlink" Target="https://cite.case.law/ill-app-3d/192/150/" TargetMode="External"/><Relationship Id="rId58" Type="http://schemas.openxmlformats.org/officeDocument/2006/relationships/hyperlink" Target="https://cite.case.law/citations/?q=555%20N.E.2d%20790" TargetMode="External"/><Relationship Id="rId66" Type="http://schemas.openxmlformats.org/officeDocument/2006/relationships/hyperlink" Target="https://cite.case.law/citations/?q=531%20N.E.2d%201358" TargetMode="External"/><Relationship Id="rId5" Type="http://schemas.openxmlformats.org/officeDocument/2006/relationships/hyperlink" Target="https://cite.case.law/pdf/521041/Mostafa%20v.%20City%20of%20Hickory%20Hills,%20287%20Ill.%20App.%203d%20160%20(1997).pdf" TargetMode="External"/><Relationship Id="rId61" Type="http://schemas.openxmlformats.org/officeDocument/2006/relationships/hyperlink" Target="https://cite.case.law/ill-app-3d/244/212/" TargetMode="External"/><Relationship Id="rId19" Type="http://schemas.openxmlformats.org/officeDocument/2006/relationships/hyperlink" Target="https://cite.case.law/ill-2d/73/316/" TargetMode="External"/><Relationship Id="rId14" Type="http://schemas.openxmlformats.org/officeDocument/2006/relationships/hyperlink" Target="https://cite.case.law/ill-2d/167/343/" TargetMode="External"/><Relationship Id="rId22" Type="http://schemas.openxmlformats.org/officeDocument/2006/relationships/hyperlink" Target="https://cite.case.law/ill-2d/102/278/" TargetMode="External"/><Relationship Id="rId27" Type="http://schemas.openxmlformats.org/officeDocument/2006/relationships/hyperlink" Target="https://cite.case.law/citations/?q=646%20N.E.2d%20643" TargetMode="External"/><Relationship Id="rId30" Type="http://schemas.openxmlformats.org/officeDocument/2006/relationships/hyperlink" Target="https://cite.case.law/ill-2d/136/132/" TargetMode="External"/><Relationship Id="rId35" Type="http://schemas.openxmlformats.org/officeDocument/2006/relationships/hyperlink" Target="https://cite.case.law/ill-app-3d/287/160/" TargetMode="External"/><Relationship Id="rId43" Type="http://schemas.openxmlformats.org/officeDocument/2006/relationships/hyperlink" Target="https://cite.case.law/ill-2d/166/155/" TargetMode="External"/><Relationship Id="rId48" Type="http://schemas.openxmlformats.org/officeDocument/2006/relationships/hyperlink" Target="https://cite.case.law/citations/?q=550%20N.E.2d%201132" TargetMode="External"/><Relationship Id="rId56" Type="http://schemas.openxmlformats.org/officeDocument/2006/relationships/hyperlink" Target="https://cite.case.law/citations/?q=650%20N.E.2d%20657" TargetMode="External"/><Relationship Id="rId64" Type="http://schemas.openxmlformats.org/officeDocument/2006/relationships/hyperlink" Target="https://cite.case.law/citations/?q=614%20N.E.2d%201377" TargetMode="External"/><Relationship Id="rId69" Type="http://schemas.openxmlformats.org/officeDocument/2006/relationships/fontTable" Target="fontTable.xml"/><Relationship Id="rId8" Type="http://schemas.openxmlformats.org/officeDocument/2006/relationships/hyperlink" Target="https://cite.case.law/ill-app-3d/287/160/" TargetMode="External"/><Relationship Id="rId51" Type="http://schemas.openxmlformats.org/officeDocument/2006/relationships/hyperlink" Target="https://cite.case.law/ill-app-3d/220/940/" TargetMode="External"/><Relationship Id="rId3" Type="http://schemas.openxmlformats.org/officeDocument/2006/relationships/settings" Target="settings.xml"/><Relationship Id="rId12" Type="http://schemas.openxmlformats.org/officeDocument/2006/relationships/hyperlink" Target="https://cite.case.law/ill-2d/125/203/" TargetMode="External"/><Relationship Id="rId17" Type="http://schemas.openxmlformats.org/officeDocument/2006/relationships/hyperlink" Target="https://cite.case.law/ill-2d/73/316/" TargetMode="External"/><Relationship Id="rId25" Type="http://schemas.openxmlformats.org/officeDocument/2006/relationships/hyperlink" Target="https://cite.case.law/ill-2d/169/110/" TargetMode="External"/><Relationship Id="rId33" Type="http://schemas.openxmlformats.org/officeDocument/2006/relationships/hyperlink" Target="https://cite.case.law/ill-app-3d/248/958/" TargetMode="External"/><Relationship Id="rId38" Type="http://schemas.openxmlformats.org/officeDocument/2006/relationships/hyperlink" Target="https://cite.case.law/citations/?q=651%20N.E.2d%201120" TargetMode="External"/><Relationship Id="rId46" Type="http://schemas.openxmlformats.org/officeDocument/2006/relationships/hyperlink" Target="https://cite.case.law/citations/?q=456%20N.E.2d%20116" TargetMode="External"/><Relationship Id="rId59" Type="http://schemas.openxmlformats.org/officeDocument/2006/relationships/hyperlink" Target="https://cite.case.law/ill-app-3d/287/160/" TargetMode="External"/><Relationship Id="rId67" Type="http://schemas.openxmlformats.org/officeDocument/2006/relationships/hyperlink" Target="https://cite.case.law/ill-2d/138/510/" TargetMode="External"/><Relationship Id="rId20" Type="http://schemas.openxmlformats.org/officeDocument/2006/relationships/hyperlink" Target="https://cite.case.law/ill-2d/102/278/" TargetMode="External"/><Relationship Id="rId41" Type="http://schemas.openxmlformats.org/officeDocument/2006/relationships/hyperlink" Target="https://cite.case.law/citations/?q=651%20N.E.2d%201115" TargetMode="External"/><Relationship Id="rId54" Type="http://schemas.openxmlformats.org/officeDocument/2006/relationships/hyperlink" Target="https://cite.case.law/ill-app-3d/192/150/" TargetMode="External"/><Relationship Id="rId62" Type="http://schemas.openxmlformats.org/officeDocument/2006/relationships/hyperlink" Target="https://cite.case.law/citations/?q=472%20N.E.2d%201224"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citations/?q=521041" TargetMode="External"/><Relationship Id="rId15" Type="http://schemas.openxmlformats.org/officeDocument/2006/relationships/hyperlink" Target="https://cite.case.law/ill-2d/136/132/" TargetMode="External"/><Relationship Id="rId23" Type="http://schemas.openxmlformats.org/officeDocument/2006/relationships/hyperlink" Target="https://cite.case.law/citations/?q=580%20N.E.2d%20160" TargetMode="External"/><Relationship Id="rId28" Type="http://schemas.openxmlformats.org/officeDocument/2006/relationships/hyperlink" Target="https://cite.case.law/ill-app-3d/279/1025/" TargetMode="External"/><Relationship Id="rId36" Type="http://schemas.openxmlformats.org/officeDocument/2006/relationships/hyperlink" Target="https://cite.case.law/citations/?q=345%20N.E.2d%20493" TargetMode="External"/><Relationship Id="rId49" Type="http://schemas.openxmlformats.org/officeDocument/2006/relationships/hyperlink" Target="https://cite.case.law/ill-2d/161/267/" TargetMode="External"/><Relationship Id="rId57" Type="http://schemas.openxmlformats.org/officeDocument/2006/relationships/hyperlink" Target="https://cite.case.law/citations/?q=384%20N.E.2d%20107" TargetMode="External"/><Relationship Id="rId10" Type="http://schemas.openxmlformats.org/officeDocument/2006/relationships/hyperlink" Target="https://cite.case.law/ill-app-3d/278/628/" TargetMode="External"/><Relationship Id="rId31" Type="http://schemas.openxmlformats.org/officeDocument/2006/relationships/hyperlink" Target="https://cite.case.law/ill-app-3d/248/958/" TargetMode="External"/><Relationship Id="rId44" Type="http://schemas.openxmlformats.org/officeDocument/2006/relationships/hyperlink" Target="https://cite.case.law/ill-2d/167/343/" TargetMode="External"/><Relationship Id="rId52" Type="http://schemas.openxmlformats.org/officeDocument/2006/relationships/hyperlink" Target="https://cite.case.law/ill-app-3d/106/1066/" TargetMode="External"/><Relationship Id="rId60" Type="http://schemas.openxmlformats.org/officeDocument/2006/relationships/hyperlink" Target="https://cite.case.law/ill-app-3d/244/212/" TargetMode="External"/><Relationship Id="rId65" Type="http://schemas.openxmlformats.org/officeDocument/2006/relationships/hyperlink" Target="https://cite.case.law/citations/?q=563%20N.E.2d%20449" TargetMode="External"/><Relationship Id="rId4" Type="http://schemas.openxmlformats.org/officeDocument/2006/relationships/webSettings" Target="webSettings.xml"/><Relationship Id="rId9" Type="http://schemas.openxmlformats.org/officeDocument/2006/relationships/hyperlink" Target="https://cite.case.law/ill-app-3d/278/503/" TargetMode="External"/><Relationship Id="rId13" Type="http://schemas.openxmlformats.org/officeDocument/2006/relationships/hyperlink" Target="https://cite.case.law/ill-2d/92/13/" TargetMode="External"/><Relationship Id="rId18" Type="http://schemas.openxmlformats.org/officeDocument/2006/relationships/hyperlink" Target="https://cite.case.law/ill-2d/5/614/" TargetMode="External"/><Relationship Id="rId39" Type="http://schemas.openxmlformats.org/officeDocument/2006/relationships/hyperlink" Target="https://cite.case.law/citations/?q=584%20N.E.2d%20456" TargetMode="External"/><Relationship Id="rId34" Type="http://schemas.openxmlformats.org/officeDocument/2006/relationships/hyperlink" Target="https://cite.case.law/citations/?q=665%20N.E.2d%20826" TargetMode="External"/><Relationship Id="rId50" Type="http://schemas.openxmlformats.org/officeDocument/2006/relationships/hyperlink" Target="https://cite.case.law/ill-app-3d/106/1066/" TargetMode="External"/><Relationship Id="rId55" Type="http://schemas.openxmlformats.org/officeDocument/2006/relationships/hyperlink" Target="https://cite.case.law/ill-app-3d/28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