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C0AC4" w14:textId="77777777" w:rsidR="002D75AE" w:rsidRPr="002D75AE" w:rsidRDefault="002D75AE" w:rsidP="002D75AE">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1"/>
          <w:szCs w:val="31"/>
          <w:lang w:eastAsia="en-GB"/>
        </w:rPr>
      </w:pPr>
      <w:r w:rsidRPr="002D75AE">
        <w:rPr>
          <w:rFonts w:ascii="Times New Roman" w:eastAsia="Times New Roman" w:hAnsi="Times New Roman" w:cs="Times New Roman"/>
          <w:b/>
          <w:bCs/>
          <w:color w:val="2F2F2F"/>
          <w:spacing w:val="3"/>
          <w:kern w:val="36"/>
          <w:sz w:val="31"/>
          <w:szCs w:val="31"/>
          <w:lang w:eastAsia="en-GB"/>
        </w:rPr>
        <w:t>Malanowski v. Jabamoni, 293 Ill. App. 3d 720 (1997)</w:t>
      </w:r>
    </w:p>
    <w:p w14:paraId="794C0AC5" w14:textId="77777777" w:rsidR="002D75AE" w:rsidRPr="002D75AE" w:rsidRDefault="002D75AE" w:rsidP="002D75AE">
      <w:pPr>
        <w:shd w:val="clear" w:color="auto" w:fill="FFFFFF"/>
        <w:spacing w:after="0" w:line="240" w:lineRule="auto"/>
        <w:jc w:val="center"/>
        <w:rPr>
          <w:rFonts w:ascii="Times New Roman" w:eastAsia="Times New Roman" w:hAnsi="Times New Roman" w:cs="Times New Roman"/>
          <w:color w:val="2F2F2F"/>
          <w:spacing w:val="3"/>
          <w:sz w:val="24"/>
          <w:szCs w:val="24"/>
          <w:lang w:eastAsia="en-GB"/>
        </w:rPr>
      </w:pPr>
      <w:r w:rsidRPr="002D75AE">
        <w:rPr>
          <w:rFonts w:ascii="Times New Roman" w:eastAsia="Times New Roman" w:hAnsi="Times New Roman" w:cs="Times New Roman"/>
          <w:color w:val="2F2F2F"/>
          <w:spacing w:val="3"/>
          <w:sz w:val="24"/>
          <w:szCs w:val="24"/>
          <w:lang w:eastAsia="en-GB"/>
        </w:rPr>
        <w:t>Nov. 26, 1997 · Illinois Appellate Court</w:t>
      </w:r>
    </w:p>
    <w:p w14:paraId="794C0AC6" w14:textId="77777777" w:rsidR="002D75AE" w:rsidRPr="002D75AE" w:rsidRDefault="002D75AE" w:rsidP="002D75AE">
      <w:pPr>
        <w:shd w:val="clear" w:color="auto" w:fill="FFFFFF"/>
        <w:spacing w:after="0" w:line="480" w:lineRule="atLeast"/>
        <w:jc w:val="center"/>
        <w:rPr>
          <w:rFonts w:ascii="Times New Roman" w:eastAsia="Times New Roman" w:hAnsi="Times New Roman" w:cs="Times New Roman"/>
          <w:color w:val="2F2F2F"/>
          <w:spacing w:val="3"/>
          <w:sz w:val="24"/>
          <w:szCs w:val="24"/>
          <w:lang w:eastAsia="en-GB"/>
        </w:rPr>
      </w:pPr>
      <w:r w:rsidRPr="002D75AE">
        <w:rPr>
          <w:rFonts w:ascii="Times New Roman" w:eastAsia="Times New Roman" w:hAnsi="Times New Roman" w:cs="Times New Roman"/>
          <w:color w:val="2F2F2F"/>
          <w:spacing w:val="3"/>
          <w:sz w:val="24"/>
          <w:szCs w:val="24"/>
          <w:lang w:eastAsia="en-GB"/>
        </w:rPr>
        <w:t>293 Ill. App. 3d 720</w:t>
      </w:r>
    </w:p>
    <w:p w14:paraId="794C0AC7" w14:textId="77777777" w:rsidR="002D75AE" w:rsidRPr="002D75AE" w:rsidRDefault="00A37520" w:rsidP="002D75AE">
      <w:pPr>
        <w:shd w:val="clear" w:color="auto" w:fill="FFFFFF"/>
        <w:spacing w:after="0" w:line="240" w:lineRule="auto"/>
        <w:rPr>
          <w:rFonts w:ascii="Arial" w:eastAsia="Times New Roman" w:hAnsi="Arial" w:cs="Arial"/>
          <w:color w:val="2F2F2F"/>
          <w:spacing w:val="3"/>
          <w:sz w:val="27"/>
          <w:szCs w:val="27"/>
          <w:lang w:eastAsia="en-GB"/>
        </w:rPr>
      </w:pPr>
      <w:r>
        <w:rPr>
          <w:rFonts w:ascii="Arial" w:eastAsia="Times New Roman" w:hAnsi="Arial" w:cs="Arial"/>
          <w:color w:val="2F2F2F"/>
          <w:spacing w:val="3"/>
          <w:sz w:val="27"/>
          <w:szCs w:val="27"/>
          <w:lang w:eastAsia="en-GB"/>
        </w:rPr>
        <w:pict w14:anchorId="794C0B07">
          <v:rect id="_x0000_i1025" style="width:243.35pt;height:0" o:hrpct="0" o:hralign="center" o:hrstd="t" o:hr="t" fillcolor="#a0a0a0" stroked="f"/>
        </w:pict>
      </w:r>
    </w:p>
    <w:p w14:paraId="794C0AC8" w14:textId="77777777" w:rsidR="002D75AE" w:rsidRPr="002D75AE" w:rsidRDefault="002D75AE" w:rsidP="002D75AE">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2D75AE">
        <w:rPr>
          <w:rFonts w:ascii="Arial" w:eastAsia="Times New Roman" w:hAnsi="Arial" w:cs="Arial"/>
          <w:color w:val="2F2F2F"/>
          <w:spacing w:val="3"/>
          <w:sz w:val="27"/>
          <w:szCs w:val="27"/>
          <w:lang w:eastAsia="en-GB"/>
        </w:rPr>
        <w:t>Case outline</w:t>
      </w:r>
    </w:p>
    <w:p w14:paraId="794C0AC9" w14:textId="5DC38043" w:rsidR="002D75AE" w:rsidRPr="002D75AE" w:rsidRDefault="002D75AE" w:rsidP="002D75AE">
      <w:pPr>
        <w:numPr>
          <w:ilvl w:val="0"/>
          <w:numId w:val="4"/>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2D75AE">
        <w:rPr>
          <w:rFonts w:ascii="Arial" w:eastAsia="Times New Roman" w:hAnsi="Arial" w:cs="Arial"/>
          <w:color w:val="007BFF"/>
          <w:spacing w:val="3"/>
          <w:sz w:val="27"/>
          <w:szCs w:val="27"/>
          <w:u w:val="single"/>
          <w:lang w:eastAsia="en-GB"/>
        </w:rPr>
        <w:t>Majority</w:t>
      </w:r>
      <w:r w:rsidRPr="002D75AE">
        <w:rPr>
          <w:rFonts w:ascii="Arial" w:eastAsia="Times New Roman" w:hAnsi="Arial" w:cs="Arial"/>
          <w:color w:val="2F2F2F"/>
          <w:spacing w:val="3"/>
          <w:sz w:val="27"/>
          <w:szCs w:val="27"/>
          <w:lang w:eastAsia="en-GB"/>
        </w:rPr>
        <w:t> — Justice Hourihane</w:t>
      </w:r>
    </w:p>
    <w:p w14:paraId="794C0ACA" w14:textId="77777777" w:rsidR="002D75AE" w:rsidRPr="002D75AE" w:rsidRDefault="002D75AE" w:rsidP="002D75AE">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2D75AE">
        <w:rPr>
          <w:rFonts w:ascii="Arial" w:eastAsia="Times New Roman" w:hAnsi="Arial" w:cs="Arial"/>
          <w:color w:val="2F2F2F"/>
          <w:spacing w:val="3"/>
          <w:sz w:val="27"/>
          <w:szCs w:val="27"/>
          <w:lang w:eastAsia="en-GB"/>
        </w:rPr>
        <w:t>Other formats</w:t>
      </w:r>
    </w:p>
    <w:p w14:paraId="794C0ACB" w14:textId="77777777" w:rsidR="002D75AE" w:rsidRPr="002D75AE" w:rsidRDefault="00A37520" w:rsidP="002D75AE">
      <w:pPr>
        <w:numPr>
          <w:ilvl w:val="0"/>
          <w:numId w:val="5"/>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hyperlink r:id="rId5" w:history="1">
        <w:r w:rsidR="002D75AE" w:rsidRPr="002D75AE">
          <w:rPr>
            <w:rFonts w:ascii="Arial" w:eastAsia="Times New Roman" w:hAnsi="Arial" w:cs="Arial"/>
            <w:caps/>
            <w:color w:val="0075FF"/>
            <w:spacing w:val="3"/>
            <w:sz w:val="24"/>
            <w:szCs w:val="24"/>
            <w:u w:val="single"/>
            <w:bdr w:val="none" w:sz="0" w:space="0" w:color="auto" w:frame="1"/>
            <w:lang w:eastAsia="en-GB"/>
          </w:rPr>
          <w:t>PDF</w:t>
        </w:r>
      </w:hyperlink>
    </w:p>
    <w:p w14:paraId="794C0ACC" w14:textId="4FBA108C" w:rsidR="002D75AE" w:rsidRPr="002D75AE" w:rsidRDefault="002D75AE" w:rsidP="002D75AE">
      <w:pPr>
        <w:numPr>
          <w:ilvl w:val="0"/>
          <w:numId w:val="5"/>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2D75AE">
        <w:rPr>
          <w:rFonts w:ascii="Arial" w:eastAsia="Times New Roman" w:hAnsi="Arial" w:cs="Arial"/>
          <w:caps/>
          <w:color w:val="0075FF"/>
          <w:spacing w:val="3"/>
          <w:sz w:val="24"/>
          <w:szCs w:val="24"/>
          <w:u w:val="single"/>
          <w:bdr w:val="none" w:sz="0" w:space="0" w:color="auto" w:frame="1"/>
          <w:lang w:eastAsia="en-GB"/>
        </w:rPr>
        <w:t>API</w:t>
      </w:r>
    </w:p>
    <w:p w14:paraId="794C0ACD" w14:textId="77777777" w:rsidR="002D75AE" w:rsidRPr="002D75AE" w:rsidRDefault="002D75AE" w:rsidP="002D75AE">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2D75AE">
        <w:rPr>
          <w:rFonts w:ascii="Arial" w:eastAsia="Times New Roman" w:hAnsi="Arial" w:cs="Arial"/>
          <w:color w:val="2F2F2F"/>
          <w:spacing w:val="3"/>
          <w:sz w:val="27"/>
          <w:szCs w:val="27"/>
          <w:lang w:eastAsia="en-GB"/>
        </w:rPr>
        <w:t>Citing cases</w:t>
      </w:r>
    </w:p>
    <w:p w14:paraId="794C0ACE" w14:textId="77777777" w:rsidR="002D75AE" w:rsidRPr="002D75AE" w:rsidRDefault="00A37520" w:rsidP="002D75AE">
      <w:pPr>
        <w:shd w:val="clear" w:color="auto" w:fill="FFFFFF"/>
        <w:spacing w:after="0" w:line="240" w:lineRule="auto"/>
        <w:rPr>
          <w:rFonts w:ascii="Arial" w:eastAsia="Times New Roman" w:hAnsi="Arial" w:cs="Arial"/>
          <w:color w:val="2F2F2F"/>
          <w:spacing w:val="3"/>
          <w:sz w:val="27"/>
          <w:szCs w:val="27"/>
          <w:lang w:eastAsia="en-GB"/>
        </w:rPr>
      </w:pPr>
      <w:hyperlink r:id="rId6" w:history="1">
        <w:r w:rsidR="002D75AE" w:rsidRPr="002D75AE">
          <w:rPr>
            <w:rFonts w:ascii="Arial" w:eastAsia="Times New Roman" w:hAnsi="Arial" w:cs="Arial"/>
            <w:color w:val="007BFF"/>
            <w:spacing w:val="3"/>
            <w:sz w:val="27"/>
            <w:szCs w:val="27"/>
            <w:u w:val="single"/>
            <w:lang w:eastAsia="en-GB"/>
          </w:rPr>
          <w:t>25 cases cite to this case</w:t>
        </w:r>
      </w:hyperlink>
    </w:p>
    <w:p w14:paraId="794C0ACF" w14:textId="77777777" w:rsidR="002D75AE" w:rsidRPr="002D75AE" w:rsidRDefault="002D75AE" w:rsidP="002D75AE">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2D75AE">
        <w:rPr>
          <w:rFonts w:ascii="Arial" w:eastAsia="Times New Roman" w:hAnsi="Arial" w:cs="Arial"/>
          <w:color w:val="2F2F2F"/>
          <w:spacing w:val="3"/>
          <w:sz w:val="27"/>
          <w:szCs w:val="27"/>
          <w:lang w:eastAsia="en-GB"/>
        </w:rPr>
        <w:t>Other databases</w:t>
      </w:r>
    </w:p>
    <w:p w14:paraId="794C0AD0" w14:textId="656DFA90" w:rsidR="002D75AE" w:rsidRPr="002D75AE" w:rsidRDefault="002D75AE" w:rsidP="002D75AE">
      <w:pPr>
        <w:numPr>
          <w:ilvl w:val="0"/>
          <w:numId w:val="6"/>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2D75AE">
        <w:rPr>
          <w:rFonts w:ascii="Arial" w:eastAsia="Times New Roman" w:hAnsi="Arial" w:cs="Arial"/>
          <w:b/>
          <w:bCs/>
          <w:caps/>
          <w:color w:val="0075FF"/>
          <w:spacing w:val="3"/>
          <w:sz w:val="24"/>
          <w:szCs w:val="24"/>
          <w:u w:val="single"/>
          <w:bdr w:val="none" w:sz="0" w:space="0" w:color="auto" w:frame="1"/>
          <w:lang w:eastAsia="en-GB"/>
        </w:rPr>
        <w:t>COURTLISTENER</w:t>
      </w:r>
    </w:p>
    <w:p w14:paraId="794C0AD1" w14:textId="77777777" w:rsidR="002D75AE" w:rsidRPr="002D75AE" w:rsidRDefault="00A37520" w:rsidP="002D75AE">
      <w:pPr>
        <w:shd w:val="clear" w:color="auto" w:fill="FFFFFF"/>
        <w:spacing w:after="0" w:line="240" w:lineRule="auto"/>
        <w:rPr>
          <w:rFonts w:ascii="Arial" w:eastAsia="Times New Roman" w:hAnsi="Arial" w:cs="Arial"/>
          <w:color w:val="2F2F2F"/>
          <w:spacing w:val="3"/>
          <w:sz w:val="27"/>
          <w:szCs w:val="27"/>
          <w:lang w:eastAsia="en-GB"/>
        </w:rPr>
      </w:pPr>
      <w:r>
        <w:rPr>
          <w:rFonts w:ascii="Arial" w:eastAsia="Times New Roman" w:hAnsi="Arial" w:cs="Arial"/>
          <w:color w:val="2F2F2F"/>
          <w:spacing w:val="3"/>
          <w:sz w:val="27"/>
          <w:szCs w:val="27"/>
          <w:lang w:eastAsia="en-GB"/>
        </w:rPr>
        <w:pict w14:anchorId="794C0B08">
          <v:rect id="_x0000_i1026" style="width:243.35pt;height:0" o:hrpct="0" o:hralign="center" o:hrstd="t" o:hr="t" fillcolor="#a0a0a0" stroked="f"/>
        </w:pict>
      </w:r>
    </w:p>
    <w:p w14:paraId="794C0AD2" w14:textId="77777777" w:rsidR="002D75AE" w:rsidRPr="002D75AE" w:rsidRDefault="002D75AE" w:rsidP="002D75AE">
      <w:pPr>
        <w:shd w:val="clear" w:color="auto" w:fill="FFFFFF"/>
        <w:spacing w:after="0"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JANE MALANOWSKI et al., Plaintiffs-Appellants,</w:t>
      </w:r>
      <w:r w:rsidRPr="002D75AE">
        <w:rPr>
          <w:rFonts w:ascii="Georgia" w:eastAsia="Times New Roman" w:hAnsi="Georgia" w:cs="Arial"/>
          <w:i/>
          <w:iCs/>
          <w:color w:val="2F2F2F"/>
          <w:spacing w:val="3"/>
          <w:sz w:val="27"/>
          <w:szCs w:val="27"/>
          <w:lang w:eastAsia="en-GB"/>
        </w:rPr>
        <w:t>v.</w:t>
      </w:r>
      <w:r w:rsidRPr="002D75AE">
        <w:rPr>
          <w:rFonts w:ascii="Georgia" w:eastAsia="Times New Roman" w:hAnsi="Georgia" w:cs="Arial"/>
          <w:color w:val="2F2F2F"/>
          <w:spacing w:val="3"/>
          <w:sz w:val="27"/>
          <w:szCs w:val="27"/>
          <w:lang w:eastAsia="en-GB"/>
        </w:rPr>
        <w:t>REENA JABAMONI, Defendant (Loyola University of Chicago, Defendant-Appellee)</w:t>
      </w:r>
    </w:p>
    <w:p w14:paraId="794C0AD3" w14:textId="77777777" w:rsidR="002D75AE" w:rsidRPr="002D75AE" w:rsidRDefault="002D75AE" w:rsidP="002D75AE">
      <w:pPr>
        <w:shd w:val="clear" w:color="auto" w:fill="FFFFFF"/>
        <w:spacing w:before="100" w:beforeAutospacing="1" w:after="100" w:afterAutospacing="1"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First District (5th Division)</w:t>
      </w:r>
    </w:p>
    <w:p w14:paraId="794C0AD4" w14:textId="77777777" w:rsidR="002D75AE" w:rsidRPr="002D75AE" w:rsidRDefault="002D75AE" w:rsidP="002D75AE">
      <w:pPr>
        <w:shd w:val="clear" w:color="auto" w:fill="FFFFFF"/>
        <w:spacing w:before="100" w:beforeAutospacing="1" w:after="100" w:afterAutospacing="1"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Rehearing denied December 30, 1997.</w:t>
      </w:r>
    </w:p>
    <w:p w14:paraId="794C0AD5" w14:textId="77777777" w:rsidR="002D75AE" w:rsidRPr="002D75AE" w:rsidRDefault="00A37520" w:rsidP="002D75AE">
      <w:pPr>
        <w:shd w:val="clear" w:color="auto" w:fill="F7F7F9"/>
        <w:spacing w:before="100" w:beforeAutospacing="1" w:after="0" w:line="240" w:lineRule="auto"/>
        <w:rPr>
          <w:rFonts w:ascii="Georgia" w:eastAsia="Times New Roman" w:hAnsi="Georgia" w:cs="Arial"/>
          <w:color w:val="2F2F2F"/>
          <w:spacing w:val="3"/>
          <w:sz w:val="27"/>
          <w:szCs w:val="27"/>
          <w:lang w:eastAsia="en-GB"/>
        </w:rPr>
      </w:pPr>
      <w:hyperlink r:id="rId7" w:anchor="p722" w:history="1">
        <w:r w:rsidR="002D75AE" w:rsidRPr="002D75AE">
          <w:rPr>
            <w:rFonts w:ascii="Georgia" w:eastAsia="Times New Roman" w:hAnsi="Georgia" w:cs="Arial"/>
            <w:i/>
            <w:iCs/>
            <w:color w:val="979797"/>
            <w:spacing w:val="3"/>
            <w:u w:val="single"/>
            <w:lang w:eastAsia="en-GB"/>
          </w:rPr>
          <w:t>*722</w:t>
        </w:r>
      </w:hyperlink>
      <w:r w:rsidR="002D75AE" w:rsidRPr="002D75AE">
        <w:rPr>
          <w:rFonts w:ascii="Georgia" w:eastAsia="Times New Roman" w:hAnsi="Georgia" w:cs="Arial"/>
          <w:color w:val="2F2F2F"/>
          <w:spacing w:val="3"/>
          <w:sz w:val="27"/>
          <w:szCs w:val="27"/>
          <w:lang w:eastAsia="en-GB"/>
        </w:rPr>
        <w:t>Jerome W. Pinderski, Jr. and Paul C. Pinderski, both of Pinderski &amp; Pinderski, Ltd., of Palatine, for appellants.</w:t>
      </w:r>
    </w:p>
    <w:p w14:paraId="794C0AD6" w14:textId="77777777" w:rsidR="002D75AE" w:rsidRPr="002D75AE" w:rsidRDefault="002D75AE" w:rsidP="002D75AE">
      <w:pPr>
        <w:shd w:val="clear" w:color="auto" w:fill="F7F7F9"/>
        <w:spacing w:after="0"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Terrence M. Burns, Patricia C. Nowak, and Nicole Roth, all of Rooks, Pitts &amp; Poust, of Chicago, for appellee.</w:t>
      </w:r>
    </w:p>
    <w:p w14:paraId="794C0AD7"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E878FF"/>
          <w:spacing w:val="3"/>
          <w:sz w:val="27"/>
          <w:szCs w:val="27"/>
          <w:lang w:eastAsia="en-GB"/>
        </w:rPr>
      </w:pPr>
      <w:r w:rsidRPr="002D75AE">
        <w:rPr>
          <w:rFonts w:ascii="Georgia" w:eastAsia="Times New Roman" w:hAnsi="Georgia" w:cs="Arial"/>
          <w:color w:val="E878FF"/>
          <w:spacing w:val="3"/>
          <w:sz w:val="27"/>
          <w:szCs w:val="27"/>
          <w:lang w:eastAsia="en-GB"/>
        </w:rPr>
        <w:t>JUSTICE HOURIHANE</w:t>
      </w:r>
    </w:p>
    <w:p w14:paraId="794C0AD8"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delivered the opinion of the court:</w:t>
      </w:r>
    </w:p>
    <w:p w14:paraId="794C0AD9"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EA0F70">
        <w:rPr>
          <w:rFonts w:ascii="Georgia" w:eastAsia="Times New Roman" w:hAnsi="Georgia" w:cs="Arial"/>
          <w:color w:val="2F2F2F"/>
          <w:spacing w:val="3"/>
          <w:sz w:val="27"/>
          <w:szCs w:val="27"/>
          <w:highlight w:val="magenta"/>
          <w:lang w:eastAsia="en-GB"/>
        </w:rPr>
        <w:t xml:space="preserve">Plaintiff, Alan Malanowski, individually and as special administrator for the estate of his wife, Jane Malanowski (Malanowski), deceased, sued </w:t>
      </w:r>
      <w:r w:rsidRPr="004C3442">
        <w:rPr>
          <w:rFonts w:ascii="Georgia" w:eastAsia="Times New Roman" w:hAnsi="Georgia" w:cs="Arial"/>
          <w:color w:val="2F2F2F"/>
          <w:spacing w:val="3"/>
          <w:sz w:val="27"/>
          <w:szCs w:val="27"/>
          <w:lang w:eastAsia="en-GB"/>
        </w:rPr>
        <w:t xml:space="preserve">Dr. Reena Jabamoni and </w:t>
      </w:r>
      <w:r w:rsidRPr="00EA0F70">
        <w:rPr>
          <w:rFonts w:ascii="Georgia" w:eastAsia="Times New Roman" w:hAnsi="Georgia" w:cs="Arial"/>
          <w:color w:val="2F2F2F"/>
          <w:spacing w:val="3"/>
          <w:sz w:val="27"/>
          <w:szCs w:val="27"/>
          <w:highlight w:val="magenta"/>
          <w:lang w:eastAsia="en-GB"/>
        </w:rPr>
        <w:t>Loyola University of Chicago (Loyola) for negligence and wrongful death</w:t>
      </w:r>
      <w:r w:rsidRPr="002D75AE">
        <w:rPr>
          <w:rFonts w:ascii="Georgia" w:eastAsia="Times New Roman" w:hAnsi="Georgia" w:cs="Arial"/>
          <w:color w:val="2F2F2F"/>
          <w:spacing w:val="3"/>
          <w:sz w:val="27"/>
          <w:szCs w:val="27"/>
          <w:lang w:eastAsia="en-GB"/>
        </w:rPr>
        <w:t xml:space="preserve">, claiming Dr. Jabamoni negligently misdiagnosed his wife’s breast cancer. </w:t>
      </w:r>
      <w:r w:rsidRPr="00EA0F70">
        <w:rPr>
          <w:rFonts w:ascii="Georgia" w:eastAsia="Times New Roman" w:hAnsi="Georgia" w:cs="Arial"/>
          <w:color w:val="2F2F2F"/>
          <w:spacing w:val="3"/>
          <w:sz w:val="27"/>
          <w:szCs w:val="27"/>
          <w:highlight w:val="magenta"/>
          <w:lang w:eastAsia="en-GB"/>
        </w:rPr>
        <w:t xml:space="preserve">Loyola </w:t>
      </w:r>
      <w:r w:rsidRPr="00EA0F70">
        <w:rPr>
          <w:rFonts w:ascii="Georgia" w:eastAsia="Times New Roman" w:hAnsi="Georgia" w:cs="Arial"/>
          <w:color w:val="2F2F2F"/>
          <w:spacing w:val="3"/>
          <w:sz w:val="27"/>
          <w:szCs w:val="27"/>
          <w:lang w:eastAsia="en-GB"/>
        </w:rPr>
        <w:t>successfully moved to dismiss certain counts of plaintiff’s third amended complaint</w:t>
      </w:r>
      <w:r w:rsidRPr="002D75AE">
        <w:rPr>
          <w:rFonts w:ascii="Georgia" w:eastAsia="Times New Roman" w:hAnsi="Georgia" w:cs="Arial"/>
          <w:color w:val="2F2F2F"/>
          <w:spacing w:val="3"/>
          <w:sz w:val="27"/>
          <w:szCs w:val="27"/>
          <w:lang w:eastAsia="en-GB"/>
        </w:rPr>
        <w:t xml:space="preserve"> pursuant to sections 2 — 615 and 2 — 619 of the Code of Civil Procedure (Code) (735 ILCS 5/2 — 615, 2 — 619 </w:t>
      </w:r>
      <w:r w:rsidRPr="002D75AE">
        <w:rPr>
          <w:rFonts w:ascii="Georgia" w:eastAsia="Times New Roman" w:hAnsi="Georgia" w:cs="Arial"/>
          <w:color w:val="2F2F2F"/>
          <w:spacing w:val="3"/>
          <w:sz w:val="27"/>
          <w:szCs w:val="27"/>
          <w:lang w:eastAsia="en-GB"/>
        </w:rPr>
        <w:lastRenderedPageBreak/>
        <w:t xml:space="preserve">(West 1996)), </w:t>
      </w:r>
      <w:r w:rsidRPr="00EA0F70">
        <w:rPr>
          <w:rFonts w:ascii="Georgia" w:eastAsia="Times New Roman" w:hAnsi="Georgia" w:cs="Arial"/>
          <w:color w:val="2F2F2F"/>
          <w:spacing w:val="3"/>
          <w:sz w:val="27"/>
          <w:szCs w:val="27"/>
          <w:lang w:eastAsia="en-GB"/>
        </w:rPr>
        <w:t xml:space="preserve">and </w:t>
      </w:r>
      <w:r w:rsidRPr="00EA0F70">
        <w:rPr>
          <w:rFonts w:ascii="Georgia" w:eastAsia="Times New Roman" w:hAnsi="Georgia" w:cs="Arial"/>
          <w:color w:val="2F2F2F"/>
          <w:spacing w:val="3"/>
          <w:sz w:val="27"/>
          <w:szCs w:val="27"/>
          <w:highlight w:val="magenta"/>
          <w:lang w:eastAsia="en-GB"/>
        </w:rPr>
        <w:t>was granted summary judgment</w:t>
      </w:r>
      <w:r w:rsidRPr="002D75AE">
        <w:rPr>
          <w:rFonts w:ascii="Georgia" w:eastAsia="Times New Roman" w:hAnsi="Georgia" w:cs="Arial"/>
          <w:color w:val="2F2F2F"/>
          <w:spacing w:val="3"/>
          <w:sz w:val="27"/>
          <w:szCs w:val="27"/>
          <w:lang w:eastAsia="en-GB"/>
        </w:rPr>
        <w:t xml:space="preserve"> (735 ILCS 5/2 — 1005 (West 1996)) </w:t>
      </w:r>
      <w:r w:rsidRPr="00EA0F70">
        <w:rPr>
          <w:rFonts w:ascii="Georgia" w:eastAsia="Times New Roman" w:hAnsi="Georgia" w:cs="Arial"/>
          <w:color w:val="2F2F2F"/>
          <w:spacing w:val="3"/>
          <w:sz w:val="27"/>
          <w:szCs w:val="27"/>
          <w:lang w:eastAsia="en-GB"/>
        </w:rPr>
        <w:t>as to the remaining counts</w:t>
      </w:r>
      <w:r w:rsidRPr="002D75AE">
        <w:rPr>
          <w:rFonts w:ascii="Georgia" w:eastAsia="Times New Roman" w:hAnsi="Georgia" w:cs="Arial"/>
          <w:color w:val="2F2F2F"/>
          <w:spacing w:val="3"/>
          <w:sz w:val="27"/>
          <w:szCs w:val="27"/>
          <w:lang w:eastAsia="en-GB"/>
        </w:rPr>
        <w:t xml:space="preserve">. </w:t>
      </w:r>
      <w:r w:rsidRPr="00EA0F70">
        <w:rPr>
          <w:rFonts w:ascii="Georgia" w:eastAsia="Times New Roman" w:hAnsi="Georgia" w:cs="Arial"/>
          <w:color w:val="2F2F2F"/>
          <w:spacing w:val="3"/>
          <w:sz w:val="27"/>
          <w:szCs w:val="27"/>
          <w:highlight w:val="magenta"/>
          <w:lang w:eastAsia="en-GB"/>
        </w:rPr>
        <w:t>Plaintiff appeals.</w:t>
      </w:r>
      <w:r w:rsidRPr="002D75AE">
        <w:rPr>
          <w:rFonts w:ascii="Georgia" w:eastAsia="Times New Roman" w:hAnsi="Georgia" w:cs="Arial"/>
          <w:color w:val="2F2F2F"/>
          <w:spacing w:val="3"/>
          <w:sz w:val="27"/>
          <w:szCs w:val="27"/>
          <w:lang w:eastAsia="en-GB"/>
        </w:rPr>
        <w:t xml:space="preserve"> 155 Ill. 2d R. 304(a).</w:t>
      </w:r>
    </w:p>
    <w:p w14:paraId="794C0ADA"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EA0F70">
        <w:rPr>
          <w:rFonts w:ascii="Georgia" w:eastAsia="Times New Roman" w:hAnsi="Georgia" w:cs="Arial"/>
          <w:color w:val="2F2F2F"/>
          <w:spacing w:val="3"/>
          <w:sz w:val="27"/>
          <w:szCs w:val="27"/>
          <w:lang w:eastAsia="en-GB"/>
        </w:rPr>
        <w:t xml:space="preserve">For the reasons set forth below, </w:t>
      </w:r>
      <w:r w:rsidRPr="00EA0F70">
        <w:rPr>
          <w:rFonts w:ascii="Georgia" w:eastAsia="Times New Roman" w:hAnsi="Georgia" w:cs="Arial"/>
          <w:color w:val="2F2F2F"/>
          <w:spacing w:val="3"/>
          <w:sz w:val="27"/>
          <w:szCs w:val="27"/>
          <w:highlight w:val="red"/>
          <w:lang w:eastAsia="en-GB"/>
        </w:rPr>
        <w:t>we affirm</w:t>
      </w:r>
      <w:r w:rsidRPr="004C3442">
        <w:rPr>
          <w:rFonts w:ascii="Georgia" w:eastAsia="Times New Roman" w:hAnsi="Georgia" w:cs="Arial"/>
          <w:color w:val="2F2F2F"/>
          <w:spacing w:val="3"/>
          <w:sz w:val="27"/>
          <w:szCs w:val="27"/>
          <w:lang w:eastAsia="en-GB"/>
        </w:rPr>
        <w:t xml:space="preserve"> in part, reverse in part, and remand for further proceedings.</w:t>
      </w:r>
    </w:p>
    <w:p w14:paraId="794C0ADB"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BACKGROUND</w:t>
      </w:r>
    </w:p>
    <w:p w14:paraId="794C0ADC"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 xml:space="preserve">In his third amended complaint, plaintiff alleges that </w:t>
      </w:r>
      <w:r w:rsidRPr="00EA0F70">
        <w:rPr>
          <w:rFonts w:ascii="Georgia" w:eastAsia="Times New Roman" w:hAnsi="Georgia" w:cs="Arial"/>
          <w:color w:val="2F2F2F"/>
          <w:spacing w:val="3"/>
          <w:sz w:val="27"/>
          <w:szCs w:val="27"/>
          <w:highlight w:val="yellow"/>
          <w:lang w:eastAsia="en-GB"/>
        </w:rPr>
        <w:t>on July 31, 1991, Malanowski saw Dr. Jabamoni at the Loyola University Mulcahy Outpatient Center (outpatient center) for her regular annual gynecological exam. For several years, Malanowski had been a regular patient of Dr. Jabamoni. At the July 31 appointment, Malanowski noted certain lumps in her right breast, which Dr. Jabamoni concluded were of no medical consequence. Dr. Jabamoni did not suggest any further testing.</w:t>
      </w:r>
    </w:p>
    <w:p w14:paraId="794C0ADD"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 xml:space="preserve">Plaintiff further alleges that </w:t>
      </w:r>
      <w:r w:rsidRPr="00EA0F70">
        <w:rPr>
          <w:rFonts w:ascii="Georgia" w:eastAsia="Times New Roman" w:hAnsi="Georgia" w:cs="Arial"/>
          <w:color w:val="2F2F2F"/>
          <w:spacing w:val="3"/>
          <w:sz w:val="27"/>
          <w:szCs w:val="27"/>
          <w:highlight w:val="yellow"/>
          <w:lang w:eastAsia="en-GB"/>
        </w:rPr>
        <w:t>in April 1993, Malanowski was diagnosed with a form of advanced breast cancer, necessitating a modified radical mastectomy. She succumbed to the disease on December 15, 1993.</w:t>
      </w:r>
    </w:p>
    <w:p w14:paraId="794C0ADE"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In counts II and V, plaintiff seeks damages against Loyola on a </w:t>
      </w:r>
      <w:r w:rsidRPr="002D75AE">
        <w:rPr>
          <w:rFonts w:ascii="Georgia" w:eastAsia="Times New Roman" w:hAnsi="Georgia" w:cs="Arial"/>
          <w:i/>
          <w:iCs/>
          <w:color w:val="2F2F2F"/>
          <w:spacing w:val="3"/>
          <w:sz w:val="27"/>
          <w:szCs w:val="27"/>
          <w:lang w:eastAsia="en-GB"/>
        </w:rPr>
        <w:t>respondeat superior </w:t>
      </w:r>
      <w:r w:rsidRPr="002D75AE">
        <w:rPr>
          <w:rFonts w:ascii="Georgia" w:eastAsia="Times New Roman" w:hAnsi="Georgia" w:cs="Arial"/>
          <w:color w:val="2F2F2F"/>
          <w:spacing w:val="3"/>
          <w:sz w:val="27"/>
          <w:szCs w:val="27"/>
          <w:lang w:eastAsia="en-GB"/>
        </w:rPr>
        <w:t xml:space="preserve">basis, alleging that Dr. Jabamoni was an employed staff physician at the outpatient center and that she treated Malanowski in July 1991, "during the normal course of her assigned employment at the center.” In counts VIII and IX, plaintiff seeks damages against Loyola on an apparent agency theory, alleging that Malanowski reasonably believed that Dr. Jabamoni was an employee of the outpatient center. Finally, </w:t>
      </w:r>
      <w:r w:rsidRPr="00EA0F70">
        <w:rPr>
          <w:rFonts w:ascii="Georgia" w:eastAsia="Times New Roman" w:hAnsi="Georgia" w:cs="Arial"/>
          <w:color w:val="2F2F2F"/>
          <w:spacing w:val="3"/>
          <w:sz w:val="27"/>
          <w:szCs w:val="27"/>
          <w:highlight w:val="magenta"/>
          <w:lang w:eastAsia="en-GB"/>
        </w:rPr>
        <w:t>in counts III, VI and VII, plaintiff seeks damages against Loyola for its own negligence in failing to supervise the treatment rendered by Dr. Jabamoni.</w:t>
      </w:r>
    </w:p>
    <w:p w14:paraId="794C0ADF" w14:textId="73574A5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The trial court dismissed counts II and V on Loyola’s section </w:t>
      </w:r>
      <w:r w:rsidRPr="002D75AE">
        <w:rPr>
          <w:rFonts w:ascii="Georgia" w:eastAsia="Times New Roman" w:hAnsi="Georgia" w:cs="Arial"/>
          <w:i/>
          <w:iCs/>
          <w:color w:val="979797"/>
          <w:spacing w:val="3"/>
          <w:u w:val="single"/>
          <w:lang w:eastAsia="en-GB"/>
        </w:rPr>
        <w:t>*723</w:t>
      </w:r>
      <w:r w:rsidRPr="002D75AE">
        <w:rPr>
          <w:rFonts w:ascii="Georgia" w:eastAsia="Times New Roman" w:hAnsi="Georgia" w:cs="Arial"/>
          <w:color w:val="2F2F2F"/>
          <w:spacing w:val="3"/>
          <w:sz w:val="27"/>
          <w:szCs w:val="27"/>
          <w:lang w:eastAsia="en-GB"/>
        </w:rPr>
        <w:t xml:space="preserve">2 — 619 motion, and counts VIII and IX on Loyola’s section 2 — 615 motion. The </w:t>
      </w:r>
      <w:r w:rsidRPr="00EA0F70">
        <w:rPr>
          <w:rFonts w:ascii="Georgia" w:eastAsia="Times New Roman" w:hAnsi="Georgia" w:cs="Arial"/>
          <w:color w:val="2F2F2F"/>
          <w:spacing w:val="3"/>
          <w:sz w:val="27"/>
          <w:szCs w:val="27"/>
          <w:highlight w:val="magenta"/>
          <w:lang w:eastAsia="en-GB"/>
        </w:rPr>
        <w:t>trial court</w:t>
      </w:r>
      <w:r w:rsidRPr="002D75AE">
        <w:rPr>
          <w:rFonts w:ascii="Georgia" w:eastAsia="Times New Roman" w:hAnsi="Georgia" w:cs="Arial"/>
          <w:color w:val="2F2F2F"/>
          <w:spacing w:val="3"/>
          <w:sz w:val="27"/>
          <w:szCs w:val="27"/>
          <w:lang w:eastAsia="en-GB"/>
        </w:rPr>
        <w:t xml:space="preserve"> further </w:t>
      </w:r>
      <w:r w:rsidRPr="00EA0F70">
        <w:rPr>
          <w:rFonts w:ascii="Georgia" w:eastAsia="Times New Roman" w:hAnsi="Georgia" w:cs="Arial"/>
          <w:color w:val="2F2F2F"/>
          <w:spacing w:val="3"/>
          <w:sz w:val="27"/>
          <w:szCs w:val="27"/>
          <w:highlight w:val="magenta"/>
          <w:lang w:eastAsia="en-GB"/>
        </w:rPr>
        <w:t>granted summary judgment in favor of Loyola as to counts III, VI and VII, and made a Rule 304(a) finding of appealability (155 Ill. 2d R. 304(a)).</w:t>
      </w:r>
    </w:p>
    <w:p w14:paraId="794C0AE0"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ANALYSIS</w:t>
      </w:r>
    </w:p>
    <w:p w14:paraId="794C0AE1"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Section 2 — 619 Dismissal of</w:t>
      </w:r>
    </w:p>
    <w:p w14:paraId="794C0AE2"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i/>
          <w:iCs/>
          <w:color w:val="2F2F2F"/>
          <w:spacing w:val="3"/>
          <w:sz w:val="27"/>
          <w:szCs w:val="27"/>
          <w:lang w:eastAsia="en-GB"/>
        </w:rPr>
        <w:t>Respondeat Superior </w:t>
      </w:r>
      <w:r w:rsidRPr="002D75AE">
        <w:rPr>
          <w:rFonts w:ascii="Georgia" w:eastAsia="Times New Roman" w:hAnsi="Georgia" w:cs="Arial"/>
          <w:color w:val="2F2F2F"/>
          <w:spacing w:val="3"/>
          <w:sz w:val="27"/>
          <w:szCs w:val="27"/>
          <w:lang w:eastAsia="en-GB"/>
        </w:rPr>
        <w:t>Claims</w:t>
      </w:r>
    </w:p>
    <w:p w14:paraId="794C0AE3"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lastRenderedPageBreak/>
        <w:t>Loyola moved to dismiss counts II and V pursuant to section 2 — 619(a)(9) of the Code (735 ILCS 5/2 — 619(a)(9) (West 1996)), arguing that Dr. Jabamoni was not, in fact, an employee of Loyola and that Loyola could not, therefore, be liable for any negligence of Dr. Jabamoni based on </w:t>
      </w:r>
      <w:r w:rsidRPr="002D75AE">
        <w:rPr>
          <w:rFonts w:ascii="Georgia" w:eastAsia="Times New Roman" w:hAnsi="Georgia" w:cs="Arial"/>
          <w:i/>
          <w:iCs/>
          <w:color w:val="2F2F2F"/>
          <w:spacing w:val="3"/>
          <w:sz w:val="27"/>
          <w:szCs w:val="27"/>
          <w:lang w:eastAsia="en-GB"/>
        </w:rPr>
        <w:t>respondeat superior. </w:t>
      </w:r>
      <w:r w:rsidRPr="002D75AE">
        <w:rPr>
          <w:rFonts w:ascii="Georgia" w:eastAsia="Times New Roman" w:hAnsi="Georgia" w:cs="Arial"/>
          <w:color w:val="2F2F2F"/>
          <w:spacing w:val="3"/>
          <w:sz w:val="27"/>
          <w:szCs w:val="27"/>
          <w:lang w:eastAsia="en-GB"/>
        </w:rPr>
        <w:t>In support of its motion, Loyola submitted the affidavit of Dr. Jan Radke, vice-president of health care services at Loyola. Plaintiff was granted leave to take Dr. Radke’s deposition, the transcript of which plaintiff submitted in opposition to Loyola’s motion. The trial court determined that there was no question of fact as to the employment relationship between Loyola and Dr. Jabamoni and that the only such relationship was in connection with her role as a professor at Loyola’s Stritch School of Medicine. Accordingly, the trial court granted Loyola’s motion dismissing counts II and V. We affirm.</w:t>
      </w:r>
    </w:p>
    <w:p w14:paraId="794C0AE4" w14:textId="7FBE32CA"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Preliminarily, we observe that Loyola’s motion should have been brought under section 2 — 1005 of the Code (735 ILCS 5/2 — 1005 (West 1996)), not section 2 — 619. The purpose of a section 2 — 619 motion is to dispose of issues of law or easily proved issues of fact at the outset of the litigation. </w:t>
      </w:r>
      <w:r w:rsidRPr="002D75AE">
        <w:rPr>
          <w:rFonts w:ascii="Georgia" w:eastAsia="Times New Roman" w:hAnsi="Georgia" w:cs="Arial"/>
          <w:i/>
          <w:iCs/>
          <w:color w:val="2F2F2F"/>
          <w:spacing w:val="3"/>
          <w:sz w:val="27"/>
          <w:szCs w:val="27"/>
          <w:lang w:eastAsia="en-GB"/>
        </w:rPr>
        <w:t>Spiegel v. Hollywood Towers Condominium Ass’n, </w:t>
      </w:r>
      <w:hyperlink r:id="rId8" w:anchor="p998" w:history="1">
        <w:r w:rsidRPr="002D75AE">
          <w:rPr>
            <w:rFonts w:ascii="Georgia" w:eastAsia="Times New Roman" w:hAnsi="Georgia" w:cs="Arial"/>
            <w:color w:val="007BFF"/>
            <w:spacing w:val="3"/>
            <w:sz w:val="27"/>
            <w:szCs w:val="27"/>
            <w:u w:val="single"/>
            <w:lang w:eastAsia="en-GB"/>
          </w:rPr>
          <w:t>283 Ill. App. 3d 992</w:t>
        </w:r>
      </w:hyperlink>
      <w:r w:rsidRPr="002D75AE">
        <w:rPr>
          <w:rFonts w:ascii="Georgia" w:eastAsia="Times New Roman" w:hAnsi="Georgia" w:cs="Arial"/>
          <w:color w:val="2F2F2F"/>
          <w:spacing w:val="3"/>
          <w:sz w:val="27"/>
          <w:szCs w:val="27"/>
          <w:lang w:eastAsia="en-GB"/>
        </w:rPr>
        <w:t>, 998, </w:t>
      </w:r>
      <w:r w:rsidRPr="002D75AE">
        <w:rPr>
          <w:rFonts w:ascii="Georgia" w:eastAsia="Times New Roman" w:hAnsi="Georgia" w:cs="Arial"/>
          <w:color w:val="007BFF"/>
          <w:spacing w:val="3"/>
          <w:sz w:val="27"/>
          <w:szCs w:val="27"/>
          <w:u w:val="single"/>
          <w:lang w:eastAsia="en-GB"/>
        </w:rPr>
        <w:t>671 N.E.2d 350</w:t>
      </w:r>
      <w:r w:rsidRPr="002D75AE">
        <w:rPr>
          <w:rFonts w:ascii="Georgia" w:eastAsia="Times New Roman" w:hAnsi="Georgia" w:cs="Arial"/>
          <w:color w:val="2F2F2F"/>
          <w:spacing w:val="3"/>
          <w:sz w:val="27"/>
          <w:szCs w:val="27"/>
          <w:lang w:eastAsia="en-GB"/>
        </w:rPr>
        <w:t> (1996). More specifically, section 2 — 619(a)(9) permits dismissal of an action where "the claim asserted against defendant is barred by other affirmative matter avoiding the legal effect of or defeating the claim.” 735 ILCS 5/2 — 619(a)(9) (West 1996). An "affirmative matter” is something in the nature of a defense that completely negates the cause of action or refutes crucial conclusions of law or conclusions of material fact unsupported by allegations of specific fact contained in or inferred from the complaint. </w:t>
      </w:r>
      <w:r w:rsidRPr="002D75AE">
        <w:rPr>
          <w:rFonts w:ascii="Georgia" w:eastAsia="Times New Roman" w:hAnsi="Georgia" w:cs="Arial"/>
          <w:i/>
          <w:iCs/>
          <w:color w:val="2F2F2F"/>
          <w:spacing w:val="3"/>
          <w:sz w:val="27"/>
          <w:szCs w:val="27"/>
          <w:lang w:eastAsia="en-GB"/>
        </w:rPr>
        <w:t>Bucci v. Rustin, </w:t>
      </w:r>
      <w:hyperlink r:id="rId9" w:anchor="p782" w:history="1">
        <w:r w:rsidRPr="002D75AE">
          <w:rPr>
            <w:rFonts w:ascii="Georgia" w:eastAsia="Times New Roman" w:hAnsi="Georgia" w:cs="Arial"/>
            <w:color w:val="007BFF"/>
            <w:spacing w:val="3"/>
            <w:sz w:val="27"/>
            <w:szCs w:val="27"/>
            <w:u w:val="single"/>
            <w:lang w:eastAsia="en-GB"/>
          </w:rPr>
          <w:t>227 Ill. App. 3d 779</w:t>
        </w:r>
      </w:hyperlink>
      <w:r w:rsidRPr="002D75AE">
        <w:rPr>
          <w:rFonts w:ascii="Georgia" w:eastAsia="Times New Roman" w:hAnsi="Georgia" w:cs="Arial"/>
          <w:color w:val="2F2F2F"/>
          <w:spacing w:val="3"/>
          <w:sz w:val="27"/>
          <w:szCs w:val="27"/>
          <w:lang w:eastAsia="en-GB"/>
        </w:rPr>
        <w:t>, 782, </w:t>
      </w:r>
      <w:r w:rsidRPr="002D75AE">
        <w:rPr>
          <w:rFonts w:ascii="Georgia" w:eastAsia="Times New Roman" w:hAnsi="Georgia" w:cs="Arial"/>
          <w:color w:val="007BFF"/>
          <w:spacing w:val="3"/>
          <w:sz w:val="27"/>
          <w:szCs w:val="27"/>
          <w:u w:val="single"/>
          <w:lang w:eastAsia="en-GB"/>
        </w:rPr>
        <w:t>592 N.E.2d 297</w:t>
      </w:r>
      <w:r w:rsidRPr="002D75AE">
        <w:rPr>
          <w:rFonts w:ascii="Georgia" w:eastAsia="Times New Roman" w:hAnsi="Georgia" w:cs="Arial"/>
          <w:color w:val="2F2F2F"/>
          <w:spacing w:val="3"/>
          <w:sz w:val="27"/>
          <w:szCs w:val="27"/>
          <w:lang w:eastAsia="en-GB"/>
        </w:rPr>
        <w:t> (1992). Evidence that merely refutes a well-pied fact in the complaint is not an "affirmative matter” within the meaning of the statute. </w:t>
      </w:r>
      <w:r w:rsidRPr="002D75AE">
        <w:rPr>
          <w:rFonts w:ascii="Georgia" w:eastAsia="Times New Roman" w:hAnsi="Georgia" w:cs="Arial"/>
          <w:i/>
          <w:iCs/>
          <w:color w:val="2F2F2F"/>
          <w:spacing w:val="3"/>
          <w:sz w:val="27"/>
          <w:szCs w:val="27"/>
          <w:lang w:eastAsia="en-GB"/>
        </w:rPr>
        <w:t>Bucci, </w:t>
      </w:r>
      <w:hyperlink r:id="rId10" w:anchor="p782" w:history="1">
        <w:r w:rsidRPr="002D75AE">
          <w:rPr>
            <w:rFonts w:ascii="Georgia" w:eastAsia="Times New Roman" w:hAnsi="Georgia" w:cs="Arial"/>
            <w:color w:val="007BFF"/>
            <w:spacing w:val="3"/>
            <w:sz w:val="27"/>
            <w:szCs w:val="27"/>
            <w:u w:val="single"/>
            <w:lang w:eastAsia="en-GB"/>
          </w:rPr>
          <w:t>227 Ill. App. 3d at 782</w:t>
        </w:r>
      </w:hyperlink>
      <w:r w:rsidRPr="002D75AE">
        <w:rPr>
          <w:rFonts w:ascii="Georgia" w:eastAsia="Times New Roman" w:hAnsi="Georgia" w:cs="Arial"/>
          <w:color w:val="2F2F2F"/>
          <w:spacing w:val="3"/>
          <w:sz w:val="27"/>
          <w:szCs w:val="27"/>
          <w:lang w:eastAsia="en-GB"/>
        </w:rPr>
        <w:t>; </w:t>
      </w:r>
      <w:r w:rsidRPr="002D75AE">
        <w:rPr>
          <w:rFonts w:ascii="Georgia" w:eastAsia="Times New Roman" w:hAnsi="Georgia" w:cs="Arial"/>
          <w:i/>
          <w:iCs/>
          <w:color w:val="2F2F2F"/>
          <w:spacing w:val="3"/>
          <w:sz w:val="27"/>
          <w:szCs w:val="27"/>
          <w:lang w:eastAsia="en-GB"/>
        </w:rPr>
        <w:t>Evergreen Oak Electric Supply &amp; Sales Co. v. First Chicago Bank of Ravenswood, </w:t>
      </w:r>
      <w:r w:rsidRPr="002D75AE">
        <w:rPr>
          <w:rFonts w:ascii="Georgia" w:eastAsia="Times New Roman" w:hAnsi="Georgia" w:cs="Arial"/>
          <w:color w:val="007BFF"/>
          <w:spacing w:val="3"/>
          <w:sz w:val="27"/>
          <w:szCs w:val="27"/>
          <w:u w:val="single"/>
          <w:lang w:eastAsia="en-GB"/>
        </w:rPr>
        <w:t>276 Ill. App. 3d 317</w:t>
      </w:r>
      <w:r w:rsidRPr="002D75AE">
        <w:rPr>
          <w:rFonts w:ascii="Georgia" w:eastAsia="Times New Roman" w:hAnsi="Georgia" w:cs="Arial"/>
          <w:color w:val="2F2F2F"/>
          <w:spacing w:val="3"/>
          <w:sz w:val="27"/>
          <w:szCs w:val="27"/>
          <w:lang w:eastAsia="en-GB"/>
        </w:rPr>
        <w:t>, 319, </w:t>
      </w:r>
      <w:hyperlink r:id="rId11" w:history="1">
        <w:r w:rsidRPr="002D75AE">
          <w:rPr>
            <w:rFonts w:ascii="Georgia" w:eastAsia="Times New Roman" w:hAnsi="Georgia" w:cs="Arial"/>
            <w:color w:val="007BFF"/>
            <w:spacing w:val="3"/>
            <w:sz w:val="27"/>
            <w:szCs w:val="27"/>
            <w:u w:val="single"/>
            <w:lang w:eastAsia="en-GB"/>
          </w:rPr>
          <w:t>657 N.E.2d 1149</w:t>
        </w:r>
      </w:hyperlink>
      <w:r w:rsidRPr="002D75AE">
        <w:rPr>
          <w:rFonts w:ascii="Georgia" w:eastAsia="Times New Roman" w:hAnsi="Georgia" w:cs="Arial"/>
          <w:color w:val="2F2F2F"/>
          <w:spacing w:val="3"/>
          <w:sz w:val="27"/>
          <w:szCs w:val="27"/>
          <w:lang w:eastAsia="en-GB"/>
        </w:rPr>
        <w:t> (1995).</w:t>
      </w:r>
    </w:p>
    <w:p w14:paraId="794C0AE5" w14:textId="5C51851F"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Here, Loyola’s section 2 — 619 motion challenged plaintiff’s factual allegations that Dr. Jabamoni was an "employed staff physician” at </w:t>
      </w:r>
      <w:r w:rsidRPr="002D75AE">
        <w:rPr>
          <w:rFonts w:ascii="Georgia" w:eastAsia="Times New Roman" w:hAnsi="Georgia" w:cs="Arial"/>
          <w:i/>
          <w:iCs/>
          <w:color w:val="979797"/>
          <w:spacing w:val="3"/>
          <w:u w:val="single"/>
          <w:lang w:eastAsia="en-GB"/>
        </w:rPr>
        <w:t>*724</w:t>
      </w:r>
      <w:r w:rsidRPr="002D75AE">
        <w:rPr>
          <w:rFonts w:ascii="Georgia" w:eastAsia="Times New Roman" w:hAnsi="Georgia" w:cs="Arial"/>
          <w:color w:val="2F2F2F"/>
          <w:spacing w:val="3"/>
          <w:sz w:val="27"/>
          <w:szCs w:val="27"/>
          <w:lang w:eastAsia="en-GB"/>
        </w:rPr>
        <w:t>the outpatient center and that her allegedly tortious conduct was committed "during the normal course of her assigned employment” with Loyola. Clearly, however, Dr. Jabamoni’s employment relationship with Loyola was elemental to plaintiff’s </w:t>
      </w:r>
      <w:r w:rsidRPr="002D75AE">
        <w:rPr>
          <w:rFonts w:ascii="Georgia" w:eastAsia="Times New Roman" w:hAnsi="Georgia" w:cs="Arial"/>
          <w:i/>
          <w:iCs/>
          <w:color w:val="2F2F2F"/>
          <w:spacing w:val="3"/>
          <w:sz w:val="27"/>
          <w:szCs w:val="27"/>
          <w:lang w:eastAsia="en-GB"/>
        </w:rPr>
        <w:t>respondeat superior </w:t>
      </w:r>
      <w:r w:rsidRPr="002D75AE">
        <w:rPr>
          <w:rFonts w:ascii="Georgia" w:eastAsia="Times New Roman" w:hAnsi="Georgia" w:cs="Arial"/>
          <w:color w:val="2F2F2F"/>
          <w:spacing w:val="3"/>
          <w:sz w:val="27"/>
          <w:szCs w:val="27"/>
          <w:lang w:eastAsia="en-GB"/>
        </w:rPr>
        <w:t>claim. Evidence that merely refutes this ultimate fact and well-pied allegation is not an "affirmative matter” under section 2 — 619. See </w:t>
      </w:r>
      <w:r w:rsidRPr="002D75AE">
        <w:rPr>
          <w:rFonts w:ascii="Georgia" w:eastAsia="Times New Roman" w:hAnsi="Georgia" w:cs="Arial"/>
          <w:i/>
          <w:iCs/>
          <w:color w:val="2F2F2F"/>
          <w:spacing w:val="3"/>
          <w:sz w:val="27"/>
          <w:szCs w:val="27"/>
          <w:lang w:eastAsia="en-GB"/>
        </w:rPr>
        <w:t>Longust v. Peabody Coal Co., </w:t>
      </w:r>
      <w:hyperlink r:id="rId12" w:anchor="p757" w:history="1">
        <w:r w:rsidRPr="002D75AE">
          <w:rPr>
            <w:rFonts w:ascii="Georgia" w:eastAsia="Times New Roman" w:hAnsi="Georgia" w:cs="Arial"/>
            <w:color w:val="007BFF"/>
            <w:spacing w:val="3"/>
            <w:sz w:val="27"/>
            <w:szCs w:val="27"/>
            <w:u w:val="single"/>
            <w:lang w:eastAsia="en-GB"/>
          </w:rPr>
          <w:t>151 Ill. App. 3d 754</w:t>
        </w:r>
      </w:hyperlink>
      <w:r w:rsidRPr="002D75AE">
        <w:rPr>
          <w:rFonts w:ascii="Georgia" w:eastAsia="Times New Roman" w:hAnsi="Georgia" w:cs="Arial"/>
          <w:color w:val="2F2F2F"/>
          <w:spacing w:val="3"/>
          <w:sz w:val="27"/>
          <w:szCs w:val="27"/>
          <w:lang w:eastAsia="en-GB"/>
        </w:rPr>
        <w:t>, 757, </w:t>
      </w:r>
      <w:r w:rsidRPr="002D75AE">
        <w:rPr>
          <w:rFonts w:ascii="Georgia" w:eastAsia="Times New Roman" w:hAnsi="Georgia" w:cs="Arial"/>
          <w:color w:val="007BFF"/>
          <w:spacing w:val="3"/>
          <w:sz w:val="27"/>
          <w:szCs w:val="27"/>
          <w:u w:val="single"/>
          <w:lang w:eastAsia="en-GB"/>
        </w:rPr>
        <w:t>502 N.E.2d 1096</w:t>
      </w:r>
      <w:r w:rsidRPr="002D75AE">
        <w:rPr>
          <w:rFonts w:ascii="Georgia" w:eastAsia="Times New Roman" w:hAnsi="Georgia" w:cs="Arial"/>
          <w:color w:val="2F2F2F"/>
          <w:spacing w:val="3"/>
          <w:sz w:val="27"/>
          <w:szCs w:val="27"/>
          <w:lang w:eastAsia="en-GB"/>
        </w:rPr>
        <w:t> (1986). Had Loyola wished to challenge the factual sufficiency of plaintiff’s claim that Dr. Jabamoni was an employed staff physician of Loyola, then the proper vehicle would have been a motion for summary judgment under section 2 — 1005 (735 ILCS 5/2 — 1005 (West 1996)). </w:t>
      </w:r>
      <w:r w:rsidRPr="002D75AE">
        <w:rPr>
          <w:rFonts w:ascii="Georgia" w:eastAsia="Times New Roman" w:hAnsi="Georgia" w:cs="Arial"/>
          <w:i/>
          <w:iCs/>
          <w:color w:val="2F2F2F"/>
          <w:spacing w:val="3"/>
          <w:sz w:val="27"/>
          <w:szCs w:val="27"/>
          <w:lang w:eastAsia="en-GB"/>
        </w:rPr>
        <w:t>Longust, </w:t>
      </w:r>
      <w:hyperlink r:id="rId13" w:anchor="p757" w:history="1">
        <w:r w:rsidRPr="002D75AE">
          <w:rPr>
            <w:rFonts w:ascii="Georgia" w:eastAsia="Times New Roman" w:hAnsi="Georgia" w:cs="Arial"/>
            <w:color w:val="007BFF"/>
            <w:spacing w:val="3"/>
            <w:sz w:val="27"/>
            <w:szCs w:val="27"/>
            <w:u w:val="single"/>
            <w:lang w:eastAsia="en-GB"/>
          </w:rPr>
          <w:t>151 Ill. App. 3d 754</w:t>
        </w:r>
      </w:hyperlink>
      <w:r w:rsidRPr="002D75AE">
        <w:rPr>
          <w:rFonts w:ascii="Georgia" w:eastAsia="Times New Roman" w:hAnsi="Georgia" w:cs="Arial"/>
          <w:color w:val="2F2F2F"/>
          <w:spacing w:val="3"/>
          <w:sz w:val="27"/>
          <w:szCs w:val="27"/>
          <w:lang w:eastAsia="en-GB"/>
        </w:rPr>
        <w:t>; </w:t>
      </w:r>
      <w:r w:rsidRPr="002D75AE">
        <w:rPr>
          <w:rFonts w:ascii="Georgia" w:eastAsia="Times New Roman" w:hAnsi="Georgia" w:cs="Arial"/>
          <w:i/>
          <w:iCs/>
          <w:color w:val="2F2F2F"/>
          <w:spacing w:val="3"/>
          <w:sz w:val="27"/>
          <w:szCs w:val="27"/>
          <w:lang w:eastAsia="en-GB"/>
        </w:rPr>
        <w:t>Barber-Colman Co. v. A&amp;K Midwest Insulation Co., </w:t>
      </w:r>
      <w:r w:rsidRPr="002D75AE">
        <w:rPr>
          <w:rFonts w:ascii="Georgia" w:eastAsia="Times New Roman" w:hAnsi="Georgia" w:cs="Arial"/>
          <w:color w:val="007BFF"/>
          <w:spacing w:val="3"/>
          <w:sz w:val="27"/>
          <w:szCs w:val="27"/>
          <w:u w:val="single"/>
          <w:lang w:eastAsia="en-GB"/>
        </w:rPr>
        <w:t>236 Ill. App. 3d 1065</w:t>
      </w:r>
      <w:r w:rsidRPr="002D75AE">
        <w:rPr>
          <w:rFonts w:ascii="Georgia" w:eastAsia="Times New Roman" w:hAnsi="Georgia" w:cs="Arial"/>
          <w:color w:val="2F2F2F"/>
          <w:spacing w:val="3"/>
          <w:sz w:val="27"/>
          <w:szCs w:val="27"/>
          <w:lang w:eastAsia="en-GB"/>
        </w:rPr>
        <w:t>, 1072-73, </w:t>
      </w:r>
      <w:hyperlink r:id="rId14" w:history="1">
        <w:r w:rsidRPr="002D75AE">
          <w:rPr>
            <w:rFonts w:ascii="Georgia" w:eastAsia="Times New Roman" w:hAnsi="Georgia" w:cs="Arial"/>
            <w:color w:val="007BFF"/>
            <w:spacing w:val="3"/>
            <w:sz w:val="27"/>
            <w:szCs w:val="27"/>
            <w:u w:val="single"/>
            <w:lang w:eastAsia="en-GB"/>
          </w:rPr>
          <w:t>603 N.E.2d 1215</w:t>
        </w:r>
      </w:hyperlink>
      <w:r w:rsidRPr="002D75AE">
        <w:rPr>
          <w:rFonts w:ascii="Georgia" w:eastAsia="Times New Roman" w:hAnsi="Georgia" w:cs="Arial"/>
          <w:color w:val="2F2F2F"/>
          <w:spacing w:val="3"/>
          <w:sz w:val="27"/>
          <w:szCs w:val="27"/>
          <w:lang w:eastAsia="en-GB"/>
        </w:rPr>
        <w:t> (1992).</w:t>
      </w:r>
    </w:p>
    <w:p w14:paraId="794C0AE6" w14:textId="7ACD7BBC"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Although a section 2 — 619(a)(9) motion may not be used as a substituid for a summary judgment motion </w:t>
      </w:r>
      <w:r w:rsidRPr="002D75AE">
        <w:rPr>
          <w:rFonts w:ascii="Georgia" w:eastAsia="Times New Roman" w:hAnsi="Georgia" w:cs="Arial"/>
          <w:i/>
          <w:iCs/>
          <w:color w:val="2F2F2F"/>
          <w:spacing w:val="3"/>
          <w:sz w:val="27"/>
          <w:szCs w:val="27"/>
          <w:lang w:eastAsia="en-GB"/>
        </w:rPr>
        <w:t>(Longust, </w:t>
      </w:r>
      <w:r w:rsidRPr="002D75AE">
        <w:rPr>
          <w:rFonts w:ascii="Georgia" w:eastAsia="Times New Roman" w:hAnsi="Georgia" w:cs="Arial"/>
          <w:color w:val="007BFF"/>
          <w:spacing w:val="3"/>
          <w:sz w:val="27"/>
          <w:szCs w:val="27"/>
          <w:u w:val="single"/>
          <w:lang w:eastAsia="en-GB"/>
        </w:rPr>
        <w:t>151 Ill. App. 3d at 757</w:t>
      </w:r>
      <w:r w:rsidRPr="002D75AE">
        <w:rPr>
          <w:rFonts w:ascii="Georgia" w:eastAsia="Times New Roman" w:hAnsi="Georgia" w:cs="Arial"/>
          <w:color w:val="2F2F2F"/>
          <w:spacing w:val="3"/>
          <w:sz w:val="27"/>
          <w:szCs w:val="27"/>
          <w:lang w:eastAsia="en-GB"/>
        </w:rPr>
        <w:t>), we note that they are similar in that a fact motion under section 2 — 619 essentially amounts to a summary judgment procedure. </w:t>
      </w:r>
      <w:r w:rsidRPr="002D75AE">
        <w:rPr>
          <w:rFonts w:ascii="Georgia" w:eastAsia="Times New Roman" w:hAnsi="Georgia" w:cs="Arial"/>
          <w:i/>
          <w:iCs/>
          <w:color w:val="2F2F2F"/>
          <w:spacing w:val="3"/>
          <w:sz w:val="27"/>
          <w:szCs w:val="27"/>
          <w:lang w:eastAsia="en-GB"/>
        </w:rPr>
        <w:t>Landon v. Jarvis, </w:t>
      </w:r>
      <w:hyperlink r:id="rId15" w:anchor="p446" w:history="1">
        <w:r w:rsidRPr="002D75AE">
          <w:rPr>
            <w:rFonts w:ascii="Georgia" w:eastAsia="Times New Roman" w:hAnsi="Georgia" w:cs="Arial"/>
            <w:color w:val="007BFF"/>
            <w:spacing w:val="3"/>
            <w:sz w:val="27"/>
            <w:szCs w:val="27"/>
            <w:u w:val="single"/>
            <w:lang w:eastAsia="en-GB"/>
          </w:rPr>
          <w:t>255 Ill. App. 3d 439</w:t>
        </w:r>
      </w:hyperlink>
      <w:r w:rsidRPr="002D75AE">
        <w:rPr>
          <w:rFonts w:ascii="Georgia" w:eastAsia="Times New Roman" w:hAnsi="Georgia" w:cs="Arial"/>
          <w:color w:val="2F2F2F"/>
          <w:spacing w:val="3"/>
          <w:sz w:val="27"/>
          <w:szCs w:val="27"/>
          <w:lang w:eastAsia="en-GB"/>
        </w:rPr>
        <w:t>, 446, </w:t>
      </w:r>
      <w:r w:rsidRPr="002D75AE">
        <w:rPr>
          <w:rFonts w:ascii="Georgia" w:eastAsia="Times New Roman" w:hAnsi="Georgia" w:cs="Arial"/>
          <w:color w:val="007BFF"/>
          <w:spacing w:val="3"/>
          <w:sz w:val="27"/>
          <w:szCs w:val="27"/>
          <w:u w:val="single"/>
          <w:lang w:eastAsia="en-GB"/>
        </w:rPr>
        <w:t>627 N.E.2d 371</w:t>
      </w:r>
      <w:r w:rsidRPr="002D75AE">
        <w:rPr>
          <w:rFonts w:ascii="Georgia" w:eastAsia="Times New Roman" w:hAnsi="Georgia" w:cs="Arial"/>
          <w:color w:val="2F2F2F"/>
          <w:spacing w:val="3"/>
          <w:sz w:val="27"/>
          <w:szCs w:val="27"/>
          <w:lang w:eastAsia="en-GB"/>
        </w:rPr>
        <w:t> (1993); </w:t>
      </w:r>
      <w:r w:rsidRPr="002D75AE">
        <w:rPr>
          <w:rFonts w:ascii="Georgia" w:eastAsia="Times New Roman" w:hAnsi="Georgia" w:cs="Arial"/>
          <w:i/>
          <w:iCs/>
          <w:color w:val="2F2F2F"/>
          <w:spacing w:val="3"/>
          <w:sz w:val="27"/>
          <w:szCs w:val="27"/>
          <w:lang w:eastAsia="en-GB"/>
        </w:rPr>
        <w:t>Ralston v. Casanova, </w:t>
      </w:r>
      <w:hyperlink r:id="rId16" w:anchor="p1056" w:history="1">
        <w:r w:rsidRPr="002D75AE">
          <w:rPr>
            <w:rFonts w:ascii="Georgia" w:eastAsia="Times New Roman" w:hAnsi="Georgia" w:cs="Arial"/>
            <w:color w:val="007BFF"/>
            <w:spacing w:val="3"/>
            <w:sz w:val="27"/>
            <w:szCs w:val="27"/>
            <w:u w:val="single"/>
            <w:lang w:eastAsia="en-GB"/>
          </w:rPr>
          <w:t>129 Ill. App. 3d 1050</w:t>
        </w:r>
      </w:hyperlink>
      <w:r w:rsidRPr="002D75AE">
        <w:rPr>
          <w:rFonts w:ascii="Georgia" w:eastAsia="Times New Roman" w:hAnsi="Georgia" w:cs="Arial"/>
          <w:color w:val="2F2F2F"/>
          <w:spacing w:val="3"/>
          <w:sz w:val="27"/>
          <w:szCs w:val="27"/>
          <w:lang w:eastAsia="en-GB"/>
        </w:rPr>
        <w:t>, 1056, </w:t>
      </w:r>
      <w:r w:rsidRPr="002D75AE">
        <w:rPr>
          <w:rFonts w:ascii="Georgia" w:eastAsia="Times New Roman" w:hAnsi="Georgia" w:cs="Arial"/>
          <w:color w:val="007BFF"/>
          <w:spacing w:val="3"/>
          <w:sz w:val="27"/>
          <w:szCs w:val="27"/>
          <w:u w:val="single"/>
          <w:lang w:eastAsia="en-GB"/>
        </w:rPr>
        <w:t>473 N.E.2d 444</w:t>
      </w:r>
      <w:r w:rsidRPr="002D75AE">
        <w:rPr>
          <w:rFonts w:ascii="Georgia" w:eastAsia="Times New Roman" w:hAnsi="Georgia" w:cs="Arial"/>
          <w:color w:val="2F2F2F"/>
          <w:spacing w:val="3"/>
          <w:sz w:val="27"/>
          <w:szCs w:val="27"/>
          <w:lang w:eastAsia="en-GB"/>
        </w:rPr>
        <w:t> (1984). Thus, we do not regard the misdesignation of Loyola’s motion as grounds for reversal. As this court has observed:</w:t>
      </w:r>
    </w:p>
    <w:p w14:paraId="794C0AE7" w14:textId="7A120B9F" w:rsidR="002D75AE" w:rsidRPr="002D75AE" w:rsidRDefault="002D75AE" w:rsidP="002D75AE">
      <w:pPr>
        <w:shd w:val="clear" w:color="auto" w:fill="FFFFFF"/>
        <w:spacing w:after="100" w:line="240" w:lineRule="auto"/>
        <w:rPr>
          <w:rFonts w:ascii="Georgia" w:eastAsia="Times New Roman" w:hAnsi="Georgia" w:cs="Arial"/>
          <w:color w:val="004FB3"/>
          <w:spacing w:val="3"/>
          <w:sz w:val="27"/>
          <w:szCs w:val="27"/>
          <w:lang w:eastAsia="en-GB"/>
        </w:rPr>
      </w:pPr>
      <w:r w:rsidRPr="002D75AE">
        <w:rPr>
          <w:rFonts w:ascii="Georgia" w:eastAsia="Times New Roman" w:hAnsi="Georgia" w:cs="Arial"/>
          <w:color w:val="004FB3"/>
          <w:spacing w:val="3"/>
          <w:sz w:val="27"/>
          <w:szCs w:val="27"/>
          <w:lang w:eastAsia="en-GB"/>
        </w:rPr>
        <w:t>"Meticulous practice dictates that motions should be properly designated. However, misdesignation is not always fatal to the right of the movant to prevail. [Citation.] The court will look to the substance of the motion to determine which section of the Code of Civil Procedure governs. [Citation.] Reversal by reason of misdesignation is only required where the nonmovant has been prejudiced by the error [citation].” </w:t>
      </w:r>
      <w:r w:rsidRPr="002D75AE">
        <w:rPr>
          <w:rFonts w:ascii="Georgia" w:eastAsia="Times New Roman" w:hAnsi="Georgia" w:cs="Arial"/>
          <w:i/>
          <w:iCs/>
          <w:color w:val="004FB3"/>
          <w:spacing w:val="3"/>
          <w:sz w:val="27"/>
          <w:szCs w:val="27"/>
          <w:lang w:eastAsia="en-GB"/>
        </w:rPr>
        <w:t>Scott Wetzel Services v. Regard, </w:t>
      </w:r>
      <w:hyperlink r:id="rId17" w:anchor="p481" w:history="1">
        <w:r w:rsidRPr="002D75AE">
          <w:rPr>
            <w:rFonts w:ascii="Georgia" w:eastAsia="Times New Roman" w:hAnsi="Georgia" w:cs="Arial"/>
            <w:color w:val="007BFF"/>
            <w:spacing w:val="3"/>
            <w:sz w:val="27"/>
            <w:szCs w:val="27"/>
            <w:u w:val="single"/>
            <w:lang w:eastAsia="en-GB"/>
          </w:rPr>
          <w:t>271 Ill. App. 3d 478</w:t>
        </w:r>
      </w:hyperlink>
      <w:r w:rsidRPr="002D75AE">
        <w:rPr>
          <w:rFonts w:ascii="Georgia" w:eastAsia="Times New Roman" w:hAnsi="Georgia" w:cs="Arial"/>
          <w:color w:val="004FB3"/>
          <w:spacing w:val="3"/>
          <w:sz w:val="27"/>
          <w:szCs w:val="27"/>
          <w:lang w:eastAsia="en-GB"/>
        </w:rPr>
        <w:t>, 481, </w:t>
      </w:r>
      <w:r w:rsidRPr="002D75AE">
        <w:rPr>
          <w:rFonts w:ascii="Georgia" w:eastAsia="Times New Roman" w:hAnsi="Georgia" w:cs="Arial"/>
          <w:color w:val="007BFF"/>
          <w:spacing w:val="3"/>
          <w:sz w:val="27"/>
          <w:szCs w:val="27"/>
          <w:u w:val="single"/>
          <w:lang w:eastAsia="en-GB"/>
        </w:rPr>
        <w:t>648 N.E.2d 1020</w:t>
      </w:r>
      <w:r w:rsidRPr="002D75AE">
        <w:rPr>
          <w:rFonts w:ascii="Georgia" w:eastAsia="Times New Roman" w:hAnsi="Georgia" w:cs="Arial"/>
          <w:color w:val="004FB3"/>
          <w:spacing w:val="3"/>
          <w:sz w:val="27"/>
          <w:szCs w:val="27"/>
          <w:lang w:eastAsia="en-GB"/>
        </w:rPr>
        <w:t> (1995).</w:t>
      </w:r>
    </w:p>
    <w:p w14:paraId="794C0AE8"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Here, we find no prejudice to the plaintiff. A very narrow, clearly defined issue was raised in Loyola’s motion, Loyola was ordered to produce Dr. Radke for his deposition, and plaintiff was granted leave to issue written discovery on the matters raised in Dr. Radke’s affidavit. Thus, in the interests of judicial economy, we shall treat Loyola’s motion as one for summary judgment.</w:t>
      </w:r>
    </w:p>
    <w:p w14:paraId="794C0AE9" w14:textId="251C07A6"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We review the grant of summary judgment </w:t>
      </w:r>
      <w:r w:rsidRPr="002D75AE">
        <w:rPr>
          <w:rFonts w:ascii="Georgia" w:eastAsia="Times New Roman" w:hAnsi="Georgia" w:cs="Arial"/>
          <w:i/>
          <w:iCs/>
          <w:color w:val="2F2F2F"/>
          <w:spacing w:val="3"/>
          <w:sz w:val="27"/>
          <w:szCs w:val="27"/>
          <w:lang w:eastAsia="en-GB"/>
        </w:rPr>
        <w:t>de nova. Outboard Marine Corp. v. Liberty Mutual Insurance Co., </w:t>
      </w:r>
      <w:hyperlink r:id="rId18" w:anchor="p102" w:history="1">
        <w:r w:rsidRPr="002D75AE">
          <w:rPr>
            <w:rFonts w:ascii="Georgia" w:eastAsia="Times New Roman" w:hAnsi="Georgia" w:cs="Arial"/>
            <w:color w:val="007BFF"/>
            <w:spacing w:val="3"/>
            <w:sz w:val="27"/>
            <w:szCs w:val="27"/>
            <w:u w:val="single"/>
            <w:lang w:eastAsia="en-GB"/>
          </w:rPr>
          <w:t>154 Ill. 2d 90</w:t>
        </w:r>
      </w:hyperlink>
      <w:r w:rsidRPr="002D75AE">
        <w:rPr>
          <w:rFonts w:ascii="Georgia" w:eastAsia="Times New Roman" w:hAnsi="Georgia" w:cs="Arial"/>
          <w:color w:val="2F2F2F"/>
          <w:spacing w:val="3"/>
          <w:sz w:val="27"/>
          <w:szCs w:val="27"/>
          <w:lang w:eastAsia="en-GB"/>
        </w:rPr>
        <w:t>, 102, </w:t>
      </w:r>
      <w:r w:rsidRPr="002D75AE">
        <w:rPr>
          <w:rFonts w:ascii="Georgia" w:eastAsia="Times New Roman" w:hAnsi="Georgia" w:cs="Arial"/>
          <w:color w:val="007BFF"/>
          <w:spacing w:val="3"/>
          <w:sz w:val="27"/>
          <w:szCs w:val="27"/>
          <w:u w:val="single"/>
          <w:lang w:eastAsia="en-GB"/>
        </w:rPr>
        <w:t>607 N.E.2d 1204</w:t>
      </w:r>
      <w:r w:rsidRPr="002D75AE">
        <w:rPr>
          <w:rFonts w:ascii="Georgia" w:eastAsia="Times New Roman" w:hAnsi="Georgia" w:cs="Arial"/>
          <w:color w:val="2F2F2F"/>
          <w:spacing w:val="3"/>
          <w:sz w:val="27"/>
          <w:szCs w:val="27"/>
          <w:lang w:eastAsia="en-GB"/>
        </w:rPr>
        <w:t> (1992). Our function is to determine whether the trial court properly determined that no genuine issue of material fact had been raised, and if none was raised, whether judgment was proper as a matter of law. </w:t>
      </w:r>
      <w:r w:rsidRPr="002D75AE">
        <w:rPr>
          <w:rFonts w:ascii="Georgia" w:eastAsia="Times New Roman" w:hAnsi="Georgia" w:cs="Arial"/>
          <w:i/>
          <w:iCs/>
          <w:color w:val="2F2F2F"/>
          <w:spacing w:val="3"/>
          <w:sz w:val="27"/>
          <w:szCs w:val="27"/>
          <w:lang w:eastAsia="en-GB"/>
        </w:rPr>
        <w:t>Lavat v. Fruin Colnon Carp., </w:t>
      </w:r>
      <w:hyperlink r:id="rId19" w:anchor="p1023" w:history="1">
        <w:r w:rsidRPr="002D75AE">
          <w:rPr>
            <w:rFonts w:ascii="Georgia" w:eastAsia="Times New Roman" w:hAnsi="Georgia" w:cs="Arial"/>
            <w:color w:val="007BFF"/>
            <w:spacing w:val="3"/>
            <w:sz w:val="27"/>
            <w:szCs w:val="27"/>
            <w:u w:val="single"/>
            <w:lang w:eastAsia="en-GB"/>
          </w:rPr>
          <w:t>232 Ill. App. 3d 1013</w:t>
        </w:r>
      </w:hyperlink>
      <w:r w:rsidRPr="002D75AE">
        <w:rPr>
          <w:rFonts w:ascii="Georgia" w:eastAsia="Times New Roman" w:hAnsi="Georgia" w:cs="Arial"/>
          <w:color w:val="2F2F2F"/>
          <w:spacing w:val="3"/>
          <w:sz w:val="27"/>
          <w:szCs w:val="27"/>
          <w:lang w:eastAsia="en-GB"/>
        </w:rPr>
        <w:t>, 1023, </w:t>
      </w:r>
      <w:r w:rsidRPr="002D75AE">
        <w:rPr>
          <w:rFonts w:ascii="Georgia" w:eastAsia="Times New Roman" w:hAnsi="Georgia" w:cs="Arial"/>
          <w:color w:val="007BFF"/>
          <w:spacing w:val="3"/>
          <w:sz w:val="27"/>
          <w:szCs w:val="27"/>
          <w:u w:val="single"/>
          <w:lang w:eastAsia="en-GB"/>
        </w:rPr>
        <w:t>597 N.E.2d 888</w:t>
      </w:r>
      <w:r w:rsidRPr="002D75AE">
        <w:rPr>
          <w:rFonts w:ascii="Georgia" w:eastAsia="Times New Roman" w:hAnsi="Georgia" w:cs="Arial"/>
          <w:color w:val="2F2F2F"/>
          <w:spacing w:val="3"/>
          <w:sz w:val="27"/>
          <w:szCs w:val="27"/>
          <w:lang w:eastAsia="en-GB"/>
        </w:rPr>
        <w:t> (1992). The record will be construed strictly </w:t>
      </w:r>
      <w:hyperlink r:id="rId20" w:anchor="p725" w:history="1">
        <w:r w:rsidRPr="002D75AE">
          <w:rPr>
            <w:rFonts w:ascii="Georgia" w:eastAsia="Times New Roman" w:hAnsi="Georgia" w:cs="Arial"/>
            <w:i/>
            <w:iCs/>
            <w:color w:val="979797"/>
            <w:spacing w:val="3"/>
            <w:u w:val="single"/>
            <w:lang w:eastAsia="en-GB"/>
          </w:rPr>
          <w:t>*725</w:t>
        </w:r>
      </w:hyperlink>
      <w:r w:rsidRPr="002D75AE">
        <w:rPr>
          <w:rFonts w:ascii="Georgia" w:eastAsia="Times New Roman" w:hAnsi="Georgia" w:cs="Arial"/>
          <w:color w:val="2F2F2F"/>
          <w:spacing w:val="3"/>
          <w:sz w:val="27"/>
          <w:szCs w:val="27"/>
          <w:lang w:eastAsia="en-GB"/>
        </w:rPr>
        <w:t>against the moving party and liberally in favor of the opponent. </w:t>
      </w:r>
      <w:r w:rsidRPr="002D75AE">
        <w:rPr>
          <w:rFonts w:ascii="Georgia" w:eastAsia="Times New Roman" w:hAnsi="Georgia" w:cs="Arial"/>
          <w:i/>
          <w:iCs/>
          <w:color w:val="2F2F2F"/>
          <w:spacing w:val="3"/>
          <w:sz w:val="27"/>
          <w:szCs w:val="27"/>
          <w:lang w:eastAsia="en-GB"/>
        </w:rPr>
        <w:t>First State Insurance Co. v. Montgomery Ward &amp; Co., </w:t>
      </w:r>
      <w:r w:rsidRPr="002D75AE">
        <w:rPr>
          <w:rFonts w:ascii="Georgia" w:eastAsia="Times New Roman" w:hAnsi="Georgia" w:cs="Arial"/>
          <w:color w:val="007BFF"/>
          <w:spacing w:val="3"/>
          <w:sz w:val="27"/>
          <w:szCs w:val="27"/>
          <w:u w:val="single"/>
          <w:lang w:eastAsia="en-GB"/>
        </w:rPr>
        <w:t>267 Ill. App. 3d 851</w:t>
      </w:r>
      <w:r w:rsidRPr="002D75AE">
        <w:rPr>
          <w:rFonts w:ascii="Georgia" w:eastAsia="Times New Roman" w:hAnsi="Georgia" w:cs="Arial"/>
          <w:color w:val="2F2F2F"/>
          <w:spacing w:val="3"/>
          <w:sz w:val="27"/>
          <w:szCs w:val="27"/>
          <w:lang w:eastAsia="en-GB"/>
        </w:rPr>
        <w:t>, 855, </w:t>
      </w:r>
      <w:hyperlink r:id="rId21" w:history="1">
        <w:r w:rsidRPr="002D75AE">
          <w:rPr>
            <w:rFonts w:ascii="Georgia" w:eastAsia="Times New Roman" w:hAnsi="Georgia" w:cs="Arial"/>
            <w:color w:val="007BFF"/>
            <w:spacing w:val="3"/>
            <w:sz w:val="27"/>
            <w:szCs w:val="27"/>
            <w:u w:val="single"/>
            <w:lang w:eastAsia="en-GB"/>
          </w:rPr>
          <w:t>642 N.E.2d 715</w:t>
        </w:r>
      </w:hyperlink>
      <w:r w:rsidRPr="002D75AE">
        <w:rPr>
          <w:rFonts w:ascii="Georgia" w:eastAsia="Times New Roman" w:hAnsi="Georgia" w:cs="Arial"/>
          <w:color w:val="2F2F2F"/>
          <w:spacing w:val="3"/>
          <w:sz w:val="27"/>
          <w:szCs w:val="27"/>
          <w:lang w:eastAsia="en-GB"/>
        </w:rPr>
        <w:t> (1994).</w:t>
      </w:r>
    </w:p>
    <w:p w14:paraId="794C0AEA" w14:textId="5331058B"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 xml:space="preserve">We agree with the trial court that there is no question of fact as to the employment relationship between Dr. Jabamoni and Loyola and that the only such relationship was with respect to the doctor’s role as a professor at Loyola’s Stritch School of Medicine. The unrebutted deposition testimony of Dr. Radke established that </w:t>
      </w:r>
      <w:r w:rsidRPr="00570F22">
        <w:rPr>
          <w:rFonts w:ascii="Georgia" w:eastAsia="Times New Roman" w:hAnsi="Georgia" w:cs="Arial"/>
          <w:color w:val="2F2F2F"/>
          <w:spacing w:val="3"/>
          <w:sz w:val="27"/>
          <w:szCs w:val="27"/>
          <w:highlight w:val="yellow"/>
          <w:lang w:eastAsia="en-GB"/>
        </w:rPr>
        <w:t>the only persons Loyola employs at the outpatient center are the administrative directors and managers for each practice discipline, nurses, clerical staff, and medical assistants.</w:t>
      </w:r>
      <w:r w:rsidRPr="002D75AE">
        <w:rPr>
          <w:rFonts w:ascii="Georgia" w:eastAsia="Times New Roman" w:hAnsi="Georgia" w:cs="Arial"/>
          <w:color w:val="2F2F2F"/>
          <w:spacing w:val="3"/>
          <w:sz w:val="27"/>
          <w:szCs w:val="27"/>
          <w:lang w:eastAsia="en-GB"/>
        </w:rPr>
        <w:t xml:space="preserve"> </w:t>
      </w:r>
      <w:r w:rsidRPr="00570F22">
        <w:rPr>
          <w:rFonts w:ascii="Georgia" w:eastAsia="Times New Roman" w:hAnsi="Georgia" w:cs="Arial"/>
          <w:color w:val="2F2F2F"/>
          <w:spacing w:val="3"/>
          <w:sz w:val="27"/>
          <w:szCs w:val="27"/>
          <w:highlight w:val="yellow"/>
          <w:lang w:eastAsia="en-GB"/>
        </w:rPr>
        <w:t>Physicians practicing at the outpatient center are independent contractors who use the medical office space for their private practices.</w:t>
      </w:r>
      <w:r w:rsidRPr="002D75AE">
        <w:rPr>
          <w:rFonts w:ascii="Georgia" w:eastAsia="Times New Roman" w:hAnsi="Georgia" w:cs="Arial"/>
          <w:color w:val="2F2F2F"/>
          <w:spacing w:val="3"/>
          <w:sz w:val="27"/>
          <w:szCs w:val="27"/>
          <w:lang w:eastAsia="en-GB"/>
        </w:rPr>
        <w:t xml:space="preserve"> Although Loyola’s credentials committee must grant "privileges” to physicians who wish to see patients at the outpatient center, Dr. Radke testified that Loyola has "nothing to say about how the individual physicians practice or how their decisions are made.” </w:t>
      </w:r>
      <w:r w:rsidRPr="00570F22">
        <w:rPr>
          <w:rFonts w:ascii="Georgia" w:eastAsia="Times New Roman" w:hAnsi="Georgia" w:cs="Arial"/>
          <w:color w:val="2F2F2F"/>
          <w:spacing w:val="3"/>
          <w:sz w:val="27"/>
          <w:szCs w:val="27"/>
          <w:highlight w:val="yellow"/>
          <w:lang w:eastAsia="en-GB"/>
        </w:rPr>
        <w:t>Loyola is only the administrative manager of the facility; it provides no clinical management.</w:t>
      </w:r>
      <w:r w:rsidRPr="002D75AE">
        <w:rPr>
          <w:rFonts w:ascii="Georgia" w:eastAsia="Times New Roman" w:hAnsi="Georgia" w:cs="Arial"/>
          <w:color w:val="2F2F2F"/>
          <w:spacing w:val="3"/>
          <w:sz w:val="27"/>
          <w:szCs w:val="27"/>
          <w:lang w:eastAsia="en-GB"/>
        </w:rPr>
        <w:t xml:space="preserve"> Significantly, the type of control necessary to establish an employer-employee relationship is control over the details and methods of work. </w:t>
      </w:r>
      <w:r w:rsidRPr="002D75AE">
        <w:rPr>
          <w:rFonts w:ascii="Georgia" w:eastAsia="Times New Roman" w:hAnsi="Georgia" w:cs="Arial"/>
          <w:i/>
          <w:iCs/>
          <w:color w:val="2F2F2F"/>
          <w:spacing w:val="3"/>
          <w:sz w:val="27"/>
          <w:szCs w:val="27"/>
          <w:lang w:eastAsia="en-GB"/>
        </w:rPr>
        <w:t>Bryant v. Fox, </w:t>
      </w:r>
      <w:r w:rsidRPr="002D75AE">
        <w:rPr>
          <w:rFonts w:ascii="Georgia" w:eastAsia="Times New Roman" w:hAnsi="Georgia" w:cs="Arial"/>
          <w:color w:val="007BFF"/>
          <w:spacing w:val="3"/>
          <w:sz w:val="27"/>
          <w:szCs w:val="27"/>
          <w:u w:val="single"/>
          <w:lang w:eastAsia="en-GB"/>
        </w:rPr>
        <w:t>162 Ill. App. 3d 46</w:t>
      </w:r>
      <w:r w:rsidRPr="002D75AE">
        <w:rPr>
          <w:rFonts w:ascii="Georgia" w:eastAsia="Times New Roman" w:hAnsi="Georgia" w:cs="Arial"/>
          <w:color w:val="2F2F2F"/>
          <w:spacing w:val="3"/>
          <w:sz w:val="27"/>
          <w:szCs w:val="27"/>
          <w:lang w:eastAsia="en-GB"/>
        </w:rPr>
        <w:t>, 50, </w:t>
      </w:r>
      <w:hyperlink r:id="rId22" w:history="1">
        <w:r w:rsidRPr="002D75AE">
          <w:rPr>
            <w:rFonts w:ascii="Georgia" w:eastAsia="Times New Roman" w:hAnsi="Georgia" w:cs="Arial"/>
            <w:color w:val="007BFF"/>
            <w:spacing w:val="3"/>
            <w:sz w:val="27"/>
            <w:szCs w:val="27"/>
            <w:u w:val="single"/>
            <w:lang w:eastAsia="en-GB"/>
          </w:rPr>
          <w:t>515 N.E.2d 775</w:t>
        </w:r>
      </w:hyperlink>
      <w:r w:rsidRPr="002D75AE">
        <w:rPr>
          <w:rFonts w:ascii="Georgia" w:eastAsia="Times New Roman" w:hAnsi="Georgia" w:cs="Arial"/>
          <w:color w:val="2F2F2F"/>
          <w:spacing w:val="3"/>
          <w:sz w:val="27"/>
          <w:szCs w:val="27"/>
          <w:lang w:eastAsia="en-GB"/>
        </w:rPr>
        <w:t> (1987); </w:t>
      </w:r>
      <w:r w:rsidRPr="002D75AE">
        <w:rPr>
          <w:rFonts w:ascii="Georgia" w:eastAsia="Times New Roman" w:hAnsi="Georgia" w:cs="Arial"/>
          <w:i/>
          <w:iCs/>
          <w:color w:val="2F2F2F"/>
          <w:spacing w:val="3"/>
          <w:sz w:val="27"/>
          <w:szCs w:val="27"/>
          <w:lang w:eastAsia="en-GB"/>
        </w:rPr>
        <w:t>Spivey v. Brown, </w:t>
      </w:r>
      <w:r w:rsidRPr="002D75AE">
        <w:rPr>
          <w:rFonts w:ascii="Georgia" w:eastAsia="Times New Roman" w:hAnsi="Georgia" w:cs="Arial"/>
          <w:color w:val="007BFF"/>
          <w:spacing w:val="3"/>
          <w:sz w:val="27"/>
          <w:szCs w:val="27"/>
          <w:u w:val="single"/>
          <w:lang w:eastAsia="en-GB"/>
        </w:rPr>
        <w:t>150 Ill. App. 3d 139</w:t>
      </w:r>
      <w:r w:rsidRPr="002D75AE">
        <w:rPr>
          <w:rFonts w:ascii="Georgia" w:eastAsia="Times New Roman" w:hAnsi="Georgia" w:cs="Arial"/>
          <w:color w:val="2F2F2F"/>
          <w:spacing w:val="3"/>
          <w:sz w:val="27"/>
          <w:szCs w:val="27"/>
          <w:lang w:eastAsia="en-GB"/>
        </w:rPr>
        <w:t>, 143, </w:t>
      </w:r>
      <w:hyperlink r:id="rId23" w:history="1">
        <w:r w:rsidRPr="002D75AE">
          <w:rPr>
            <w:rFonts w:ascii="Georgia" w:eastAsia="Times New Roman" w:hAnsi="Georgia" w:cs="Arial"/>
            <w:color w:val="007BFF"/>
            <w:spacing w:val="3"/>
            <w:sz w:val="27"/>
            <w:szCs w:val="27"/>
            <w:u w:val="single"/>
            <w:lang w:eastAsia="en-GB"/>
          </w:rPr>
          <w:t>502 N.E.2d 23</w:t>
        </w:r>
      </w:hyperlink>
      <w:r w:rsidRPr="002D75AE">
        <w:rPr>
          <w:rFonts w:ascii="Georgia" w:eastAsia="Times New Roman" w:hAnsi="Georgia" w:cs="Arial"/>
          <w:color w:val="2F2F2F"/>
          <w:spacing w:val="3"/>
          <w:sz w:val="27"/>
          <w:szCs w:val="27"/>
          <w:lang w:eastAsia="en-GB"/>
        </w:rPr>
        <w:t> (1986). Plainly, such control is absent here. Further, the fact that Loyola supplied personnel and equipment to the physicians practicing at the outpatient center does not evidence a right to govern their conduct. </w:t>
      </w:r>
      <w:r w:rsidRPr="002D75AE">
        <w:rPr>
          <w:rFonts w:ascii="Georgia" w:eastAsia="Times New Roman" w:hAnsi="Georgia" w:cs="Arial"/>
          <w:i/>
          <w:iCs/>
          <w:color w:val="2F2F2F"/>
          <w:spacing w:val="3"/>
          <w:sz w:val="27"/>
          <w:szCs w:val="27"/>
          <w:lang w:eastAsia="en-GB"/>
        </w:rPr>
        <w:t>Barton v. Evanston Hospital, </w:t>
      </w:r>
      <w:r w:rsidRPr="002D75AE">
        <w:rPr>
          <w:rFonts w:ascii="Georgia" w:eastAsia="Times New Roman" w:hAnsi="Georgia" w:cs="Arial"/>
          <w:color w:val="007BFF"/>
          <w:spacing w:val="3"/>
          <w:sz w:val="27"/>
          <w:szCs w:val="27"/>
          <w:u w:val="single"/>
          <w:lang w:eastAsia="en-GB"/>
        </w:rPr>
        <w:t>159 Ill. App. 3d 970</w:t>
      </w:r>
      <w:r w:rsidRPr="002D75AE">
        <w:rPr>
          <w:rFonts w:ascii="Georgia" w:eastAsia="Times New Roman" w:hAnsi="Georgia" w:cs="Arial"/>
          <w:color w:val="2F2F2F"/>
          <w:spacing w:val="3"/>
          <w:sz w:val="27"/>
          <w:szCs w:val="27"/>
          <w:lang w:eastAsia="en-GB"/>
        </w:rPr>
        <w:t>, 974, </w:t>
      </w:r>
      <w:hyperlink r:id="rId24" w:history="1">
        <w:r w:rsidRPr="002D75AE">
          <w:rPr>
            <w:rFonts w:ascii="Georgia" w:eastAsia="Times New Roman" w:hAnsi="Georgia" w:cs="Arial"/>
            <w:color w:val="007BFF"/>
            <w:spacing w:val="3"/>
            <w:sz w:val="27"/>
            <w:szCs w:val="27"/>
            <w:u w:val="single"/>
            <w:lang w:eastAsia="en-GB"/>
          </w:rPr>
          <w:t>513 N.E.2d 65</w:t>
        </w:r>
      </w:hyperlink>
      <w:r w:rsidRPr="002D75AE">
        <w:rPr>
          <w:rFonts w:ascii="Georgia" w:eastAsia="Times New Roman" w:hAnsi="Georgia" w:cs="Arial"/>
          <w:color w:val="2F2F2F"/>
          <w:spacing w:val="3"/>
          <w:sz w:val="27"/>
          <w:szCs w:val="27"/>
          <w:lang w:eastAsia="en-GB"/>
        </w:rPr>
        <w:t> (1987).</w:t>
      </w:r>
    </w:p>
    <w:p w14:paraId="794C0AEB"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Plaintiff directs this court’s attention to the economic arrangement between Loyola and the physicians practicing at the outpatient center as evidence of an on-going employer-employee or principal-agent relationship. We have reviewed the record on this issue and find nothing which would raise a material question of fact as to whether Dr. Jabamoni was an employee of Loyola with respect to her practice at the outpatient center. Accordingly, we affirm the judgment of the trial court as to counts II and V.</w:t>
      </w:r>
    </w:p>
    <w:p w14:paraId="794C0AEC"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Section 2 — 615 Dismissal of Apparent Agency Claims</w:t>
      </w:r>
    </w:p>
    <w:p w14:paraId="794C0AED" w14:textId="585888DA"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We next consider whether the trial court properly granted Loyola’s motion to dismiss counts VIII and IX for failure to state a cause of action (735 ILCS 5/2 — 615 (West 1996)). A motion to dismiss for failure to state a cause of action admits all well-pied facts and attacks only the legal sufficiency of the complaint. </w:t>
      </w:r>
      <w:r w:rsidRPr="002D75AE">
        <w:rPr>
          <w:rFonts w:ascii="Georgia" w:eastAsia="Times New Roman" w:hAnsi="Georgia" w:cs="Arial"/>
          <w:i/>
          <w:iCs/>
          <w:color w:val="2F2F2F"/>
          <w:spacing w:val="3"/>
          <w:sz w:val="27"/>
          <w:szCs w:val="27"/>
          <w:lang w:eastAsia="en-GB"/>
        </w:rPr>
        <w:t>Towner v. Board of Education, </w:t>
      </w:r>
      <w:r w:rsidRPr="002D75AE">
        <w:rPr>
          <w:rFonts w:ascii="Georgia" w:eastAsia="Times New Roman" w:hAnsi="Georgia" w:cs="Arial"/>
          <w:color w:val="007BFF"/>
          <w:spacing w:val="3"/>
          <w:sz w:val="27"/>
          <w:szCs w:val="27"/>
          <w:u w:val="single"/>
          <w:lang w:eastAsia="en-GB"/>
        </w:rPr>
        <w:t>275 Ill. App. 3d 1024</w:t>
      </w:r>
      <w:r w:rsidRPr="002D75AE">
        <w:rPr>
          <w:rFonts w:ascii="Georgia" w:eastAsia="Times New Roman" w:hAnsi="Georgia" w:cs="Arial"/>
          <w:color w:val="2F2F2F"/>
          <w:spacing w:val="3"/>
          <w:sz w:val="27"/>
          <w:szCs w:val="27"/>
          <w:lang w:eastAsia="en-GB"/>
        </w:rPr>
        <w:t>, 1031, </w:t>
      </w:r>
      <w:hyperlink r:id="rId25" w:history="1">
        <w:r w:rsidRPr="002D75AE">
          <w:rPr>
            <w:rFonts w:ascii="Georgia" w:eastAsia="Times New Roman" w:hAnsi="Georgia" w:cs="Arial"/>
            <w:color w:val="007BFF"/>
            <w:spacing w:val="3"/>
            <w:sz w:val="27"/>
            <w:szCs w:val="27"/>
            <w:u w:val="single"/>
            <w:lang w:eastAsia="en-GB"/>
          </w:rPr>
          <w:t>657 N.E.2d 28</w:t>
        </w:r>
      </w:hyperlink>
      <w:r w:rsidRPr="002D75AE">
        <w:rPr>
          <w:rFonts w:ascii="Georgia" w:eastAsia="Times New Roman" w:hAnsi="Georgia" w:cs="Arial"/>
          <w:color w:val="2F2F2F"/>
          <w:spacing w:val="3"/>
          <w:sz w:val="27"/>
          <w:szCs w:val="27"/>
          <w:lang w:eastAsia="en-GB"/>
        </w:rPr>
        <w:t> (1995). On review, we must determine whether the complaint, when viewed </w:t>
      </w:r>
      <w:r w:rsidRPr="002D75AE">
        <w:rPr>
          <w:rFonts w:ascii="Georgia" w:eastAsia="Times New Roman" w:hAnsi="Georgia" w:cs="Arial"/>
          <w:i/>
          <w:iCs/>
          <w:color w:val="979797"/>
          <w:spacing w:val="3"/>
          <w:u w:val="single"/>
          <w:lang w:eastAsia="en-GB"/>
        </w:rPr>
        <w:t>*726</w:t>
      </w:r>
      <w:r w:rsidRPr="002D75AE">
        <w:rPr>
          <w:rFonts w:ascii="Georgia" w:eastAsia="Times New Roman" w:hAnsi="Georgia" w:cs="Arial"/>
          <w:color w:val="2F2F2F"/>
          <w:spacing w:val="3"/>
          <w:sz w:val="27"/>
          <w:szCs w:val="27"/>
          <w:lang w:eastAsia="en-GB"/>
        </w:rPr>
        <w:t>in a light most favorable to the plaintiff, alleged facts sufficient to establish a cause of action upon which relief may be granted. The issue is one of law and review is </w:t>
      </w:r>
      <w:r w:rsidRPr="002D75AE">
        <w:rPr>
          <w:rFonts w:ascii="Georgia" w:eastAsia="Times New Roman" w:hAnsi="Georgia" w:cs="Arial"/>
          <w:i/>
          <w:iCs/>
          <w:color w:val="2F2F2F"/>
          <w:spacing w:val="3"/>
          <w:sz w:val="27"/>
          <w:szCs w:val="27"/>
          <w:lang w:eastAsia="en-GB"/>
        </w:rPr>
        <w:t>de nova. Majumdar v. </w:t>
      </w:r>
      <w:r w:rsidRPr="002D75AE">
        <w:rPr>
          <w:rFonts w:ascii="Georgia" w:eastAsia="Times New Roman" w:hAnsi="Georgia" w:cs="Arial"/>
          <w:color w:val="2F2F2F"/>
          <w:spacing w:val="3"/>
          <w:sz w:val="27"/>
          <w:szCs w:val="27"/>
          <w:lang w:eastAsia="en-GB"/>
        </w:rPr>
        <w:t>Lurie, </w:t>
      </w:r>
      <w:hyperlink r:id="rId26" w:anchor="p268" w:history="1">
        <w:r w:rsidRPr="002D75AE">
          <w:rPr>
            <w:rFonts w:ascii="Georgia" w:eastAsia="Times New Roman" w:hAnsi="Georgia" w:cs="Arial"/>
            <w:color w:val="007BFF"/>
            <w:spacing w:val="3"/>
            <w:sz w:val="27"/>
            <w:szCs w:val="27"/>
            <w:u w:val="single"/>
            <w:lang w:eastAsia="en-GB"/>
          </w:rPr>
          <w:t>274 Ill. App. 3d 267</w:t>
        </w:r>
      </w:hyperlink>
      <w:r w:rsidRPr="002D75AE">
        <w:rPr>
          <w:rFonts w:ascii="Georgia" w:eastAsia="Times New Roman" w:hAnsi="Georgia" w:cs="Arial"/>
          <w:color w:val="2F2F2F"/>
          <w:spacing w:val="3"/>
          <w:sz w:val="27"/>
          <w:szCs w:val="27"/>
          <w:lang w:eastAsia="en-GB"/>
        </w:rPr>
        <w:t>, 268, </w:t>
      </w:r>
      <w:r w:rsidRPr="002D75AE">
        <w:rPr>
          <w:rFonts w:ascii="Georgia" w:eastAsia="Times New Roman" w:hAnsi="Georgia" w:cs="Arial"/>
          <w:color w:val="007BFF"/>
          <w:spacing w:val="3"/>
          <w:sz w:val="27"/>
          <w:szCs w:val="27"/>
          <w:u w:val="single"/>
          <w:lang w:eastAsia="en-GB"/>
        </w:rPr>
        <w:t>563 N.E.2d 915</w:t>
      </w:r>
      <w:r w:rsidRPr="002D75AE">
        <w:rPr>
          <w:rFonts w:ascii="Georgia" w:eastAsia="Times New Roman" w:hAnsi="Georgia" w:cs="Arial"/>
          <w:color w:val="2F2F2F"/>
          <w:spacing w:val="3"/>
          <w:sz w:val="27"/>
          <w:szCs w:val="27"/>
          <w:lang w:eastAsia="en-GB"/>
        </w:rPr>
        <w:t> (1995). Although the parties here cite to various matters outside the complaint, our review is limited solely to consideration of the allegations of the complaint. </w:t>
      </w:r>
      <w:r w:rsidRPr="002D75AE">
        <w:rPr>
          <w:rFonts w:ascii="Georgia" w:eastAsia="Times New Roman" w:hAnsi="Georgia" w:cs="Arial"/>
          <w:i/>
          <w:iCs/>
          <w:color w:val="2F2F2F"/>
          <w:spacing w:val="3"/>
          <w:sz w:val="27"/>
          <w:szCs w:val="27"/>
          <w:lang w:eastAsia="en-GB"/>
        </w:rPr>
        <w:t>Towner, </w:t>
      </w:r>
      <w:hyperlink r:id="rId27" w:anchor="p1031" w:history="1">
        <w:r w:rsidRPr="002D75AE">
          <w:rPr>
            <w:rFonts w:ascii="Georgia" w:eastAsia="Times New Roman" w:hAnsi="Georgia" w:cs="Arial"/>
            <w:color w:val="007BFF"/>
            <w:spacing w:val="3"/>
            <w:sz w:val="27"/>
            <w:szCs w:val="27"/>
            <w:u w:val="single"/>
            <w:lang w:eastAsia="en-GB"/>
          </w:rPr>
          <w:t>275 Ill. App. 3d at 1031</w:t>
        </w:r>
      </w:hyperlink>
      <w:r w:rsidRPr="002D75AE">
        <w:rPr>
          <w:rFonts w:ascii="Georgia" w:eastAsia="Times New Roman" w:hAnsi="Georgia" w:cs="Arial"/>
          <w:color w:val="2F2F2F"/>
          <w:spacing w:val="3"/>
          <w:sz w:val="27"/>
          <w:szCs w:val="27"/>
          <w:lang w:eastAsia="en-GB"/>
        </w:rPr>
        <w:t>; </w:t>
      </w:r>
      <w:r w:rsidRPr="002D75AE">
        <w:rPr>
          <w:rFonts w:ascii="Georgia" w:eastAsia="Times New Roman" w:hAnsi="Georgia" w:cs="Arial"/>
          <w:i/>
          <w:iCs/>
          <w:color w:val="2F2F2F"/>
          <w:spacing w:val="3"/>
          <w:sz w:val="27"/>
          <w:szCs w:val="27"/>
          <w:lang w:eastAsia="en-GB"/>
        </w:rPr>
        <w:t>Oakley Transport, Inc. v. Zurich Insurance Co., </w:t>
      </w:r>
      <w:r w:rsidRPr="002D75AE">
        <w:rPr>
          <w:rFonts w:ascii="Georgia" w:eastAsia="Times New Roman" w:hAnsi="Georgia" w:cs="Arial"/>
          <w:color w:val="007BFF"/>
          <w:spacing w:val="3"/>
          <w:sz w:val="27"/>
          <w:szCs w:val="27"/>
          <w:u w:val="single"/>
          <w:lang w:eastAsia="en-GB"/>
        </w:rPr>
        <w:t>271 Ill. App. 3d 716</w:t>
      </w:r>
      <w:r w:rsidRPr="002D75AE">
        <w:rPr>
          <w:rFonts w:ascii="Georgia" w:eastAsia="Times New Roman" w:hAnsi="Georgia" w:cs="Arial"/>
          <w:color w:val="2F2F2F"/>
          <w:spacing w:val="3"/>
          <w:sz w:val="27"/>
          <w:szCs w:val="27"/>
          <w:lang w:eastAsia="en-GB"/>
        </w:rPr>
        <w:t>, 720, </w:t>
      </w:r>
      <w:hyperlink r:id="rId28" w:history="1">
        <w:r w:rsidRPr="002D75AE">
          <w:rPr>
            <w:rFonts w:ascii="Georgia" w:eastAsia="Times New Roman" w:hAnsi="Georgia" w:cs="Arial"/>
            <w:color w:val="007BFF"/>
            <w:spacing w:val="3"/>
            <w:sz w:val="27"/>
            <w:szCs w:val="27"/>
            <w:u w:val="single"/>
            <w:lang w:eastAsia="en-GB"/>
          </w:rPr>
          <w:t>648 N.E.2d 1099</w:t>
        </w:r>
      </w:hyperlink>
      <w:r w:rsidRPr="002D75AE">
        <w:rPr>
          <w:rFonts w:ascii="Georgia" w:eastAsia="Times New Roman" w:hAnsi="Georgia" w:cs="Arial"/>
          <w:color w:val="2F2F2F"/>
          <w:spacing w:val="3"/>
          <w:sz w:val="27"/>
          <w:szCs w:val="27"/>
          <w:lang w:eastAsia="en-GB"/>
        </w:rPr>
        <w:t> (1995).</w:t>
      </w:r>
    </w:p>
    <w:p w14:paraId="794C0AEE"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Counts VIII and IX seek damages against Loyola for Dr. Jabamoni’s negligence under a theory of apparent agency. Both counts contain allegations that Loyola owns and operates, as part of its diverse medical center in Maywood, Illinois, an outpatient clinic known as the "Loyola University Mulcahy Outpatient Center and Physicians,” which holds itself out to the public as a direct provider of health care services. Plaintiff also alleges that Malanowski was a patient of the outpatient center from 1982, when she first contacted the center for the purpose of a routine medical examination, up to and including her final contact with the center in 1991. Plaintiff further alleges that, for a variety of reasons set forth in the complaint, Malanowski reasonably believed Dr. Jabamoni was an employee of the outpatient center. Finally, plaintiff alleges that "[flor several years preceding July 31, 1991, Jane M. Malanowski had been a regular patient of Dr. Jabamoni, seeing the doctor yearly for her routine, annual gynecological examination.”</w:t>
      </w:r>
    </w:p>
    <w:p w14:paraId="794C0AEF" w14:textId="11B2812F"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Loyola argued before the trial court that under </w:t>
      </w:r>
      <w:r w:rsidRPr="002D75AE">
        <w:rPr>
          <w:rFonts w:ascii="Georgia" w:eastAsia="Times New Roman" w:hAnsi="Georgia" w:cs="Arial"/>
          <w:i/>
          <w:iCs/>
          <w:color w:val="2F2F2F"/>
          <w:spacing w:val="3"/>
          <w:sz w:val="27"/>
          <w:szCs w:val="27"/>
          <w:lang w:eastAsia="en-GB"/>
        </w:rPr>
        <w:t>Gilbert v. Sycamore Municipal Hospital, </w:t>
      </w:r>
      <w:r w:rsidRPr="002D75AE">
        <w:rPr>
          <w:rFonts w:ascii="Georgia" w:eastAsia="Times New Roman" w:hAnsi="Georgia" w:cs="Arial"/>
          <w:color w:val="007BFF"/>
          <w:spacing w:val="3"/>
          <w:sz w:val="27"/>
          <w:szCs w:val="27"/>
          <w:u w:val="single"/>
          <w:lang w:eastAsia="en-GB"/>
        </w:rPr>
        <w:t>156 Ill. 2d 511</w:t>
      </w:r>
      <w:r w:rsidRPr="002D75AE">
        <w:rPr>
          <w:rFonts w:ascii="Georgia" w:eastAsia="Times New Roman" w:hAnsi="Georgia" w:cs="Arial"/>
          <w:color w:val="2F2F2F"/>
          <w:spacing w:val="3"/>
          <w:sz w:val="27"/>
          <w:szCs w:val="27"/>
          <w:lang w:eastAsia="en-GB"/>
        </w:rPr>
        <w:t>, </w:t>
      </w:r>
      <w:hyperlink r:id="rId29" w:history="1">
        <w:r w:rsidRPr="002D75AE">
          <w:rPr>
            <w:rFonts w:ascii="Georgia" w:eastAsia="Times New Roman" w:hAnsi="Georgia" w:cs="Arial"/>
            <w:color w:val="007BFF"/>
            <w:spacing w:val="3"/>
            <w:sz w:val="27"/>
            <w:szCs w:val="27"/>
            <w:u w:val="single"/>
            <w:lang w:eastAsia="en-GB"/>
          </w:rPr>
          <w:t>622 N.E.2d 788</w:t>
        </w:r>
      </w:hyperlink>
      <w:r w:rsidRPr="002D75AE">
        <w:rPr>
          <w:rFonts w:ascii="Georgia" w:eastAsia="Times New Roman" w:hAnsi="Georgia" w:cs="Arial"/>
          <w:color w:val="2F2F2F"/>
          <w:spacing w:val="3"/>
          <w:sz w:val="27"/>
          <w:szCs w:val="27"/>
          <w:lang w:eastAsia="en-GB"/>
        </w:rPr>
        <w:t> (1993), the allegations of the complaint did not fall within the parameters of hospital apparent agency liability. In </w:t>
      </w:r>
      <w:r w:rsidRPr="002D75AE">
        <w:rPr>
          <w:rFonts w:ascii="Georgia" w:eastAsia="Times New Roman" w:hAnsi="Georgia" w:cs="Arial"/>
          <w:i/>
          <w:iCs/>
          <w:color w:val="2F2F2F"/>
          <w:spacing w:val="3"/>
          <w:sz w:val="27"/>
          <w:szCs w:val="27"/>
          <w:lang w:eastAsia="en-GB"/>
        </w:rPr>
        <w:t>Gilbert, </w:t>
      </w:r>
      <w:r w:rsidRPr="002D75AE">
        <w:rPr>
          <w:rFonts w:ascii="Georgia" w:eastAsia="Times New Roman" w:hAnsi="Georgia" w:cs="Arial"/>
          <w:color w:val="2F2F2F"/>
          <w:spacing w:val="3"/>
          <w:sz w:val="27"/>
          <w:szCs w:val="27"/>
          <w:lang w:eastAsia="en-GB"/>
        </w:rPr>
        <w:t>our supreme court held that under the doctrine of apparent authority, a hospital can be held vicariously liable for the negligent acts of an emergency room physician, regardless of whether the physician is an independent contractor, unless the patient knows, or should have known, that the physician is an independent contractor. </w:t>
      </w:r>
      <w:r w:rsidRPr="002D75AE">
        <w:rPr>
          <w:rFonts w:ascii="Georgia" w:eastAsia="Times New Roman" w:hAnsi="Georgia" w:cs="Arial"/>
          <w:i/>
          <w:iCs/>
          <w:color w:val="2F2F2F"/>
          <w:spacing w:val="3"/>
          <w:sz w:val="27"/>
          <w:szCs w:val="27"/>
          <w:lang w:eastAsia="en-GB"/>
        </w:rPr>
        <w:t>Gilbert, </w:t>
      </w:r>
      <w:r w:rsidRPr="002D75AE">
        <w:rPr>
          <w:rFonts w:ascii="Georgia" w:eastAsia="Times New Roman" w:hAnsi="Georgia" w:cs="Arial"/>
          <w:color w:val="007BFF"/>
          <w:spacing w:val="3"/>
          <w:sz w:val="27"/>
          <w:szCs w:val="27"/>
          <w:u w:val="single"/>
          <w:lang w:eastAsia="en-GB"/>
        </w:rPr>
        <w:t>156 Ill. 2d at 524</w:t>
      </w:r>
      <w:r w:rsidRPr="002D75AE">
        <w:rPr>
          <w:rFonts w:ascii="Georgia" w:eastAsia="Times New Roman" w:hAnsi="Georgia" w:cs="Arial"/>
          <w:color w:val="2F2F2F"/>
          <w:spacing w:val="3"/>
          <w:sz w:val="27"/>
          <w:szCs w:val="27"/>
          <w:lang w:eastAsia="en-GB"/>
        </w:rPr>
        <w:t>. The court premised its decision on the "realities of modern hospital care,” </w:t>
      </w:r>
      <w:r w:rsidRPr="002D75AE">
        <w:rPr>
          <w:rFonts w:ascii="Georgia" w:eastAsia="Times New Roman" w:hAnsi="Georgia" w:cs="Arial"/>
          <w:i/>
          <w:iCs/>
          <w:color w:val="2F2F2F"/>
          <w:spacing w:val="3"/>
          <w:sz w:val="27"/>
          <w:szCs w:val="27"/>
          <w:lang w:eastAsia="en-GB"/>
        </w:rPr>
        <w:t>i.e., </w:t>
      </w:r>
      <w:r w:rsidRPr="002D75AE">
        <w:rPr>
          <w:rFonts w:ascii="Georgia" w:eastAsia="Times New Roman" w:hAnsi="Georgia" w:cs="Arial"/>
          <w:color w:val="2F2F2F"/>
          <w:spacing w:val="3"/>
          <w:sz w:val="27"/>
          <w:szCs w:val="27"/>
          <w:lang w:eastAsia="en-GB"/>
        </w:rPr>
        <w:t>that hospitals have become big business, competing with each other for health care dollars, and engaging in expensive advertising campaigns to persuade potential patients to seek treatment at a specific hospital; that a major component of modern hospital business is the emergency room; and that because people who seek treatment through an emergency room are generally unaware of the status of the various professionals working there, it would be natural to assume that these professionals are employees of the hospital.</w:t>
      </w:r>
    </w:p>
    <w:p w14:paraId="794C0AF0" w14:textId="15DBD157" w:rsidR="002D75AE" w:rsidRPr="002D75AE" w:rsidRDefault="002D75AE" w:rsidP="002D75AE">
      <w:pPr>
        <w:shd w:val="clear" w:color="auto" w:fill="FFFFFF"/>
        <w:spacing w:before="100" w:beforeAutospacing="1" w:after="0"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Quoting with approval the Wisconsin case of </w:t>
      </w:r>
      <w:r w:rsidRPr="002D75AE">
        <w:rPr>
          <w:rFonts w:ascii="Georgia" w:eastAsia="Times New Roman" w:hAnsi="Georgia" w:cs="Arial"/>
          <w:i/>
          <w:iCs/>
          <w:color w:val="2F2F2F"/>
          <w:spacing w:val="3"/>
          <w:sz w:val="27"/>
          <w:szCs w:val="27"/>
          <w:lang w:eastAsia="en-GB"/>
        </w:rPr>
        <w:t>Pamperin v. Trin</w:t>
      </w:r>
      <w:r w:rsidRPr="002D75AE">
        <w:rPr>
          <w:rFonts w:ascii="Georgia" w:eastAsia="Times New Roman" w:hAnsi="Georgia" w:cs="Arial"/>
          <w:color w:val="2F2F2F"/>
          <w:spacing w:val="3"/>
          <w:sz w:val="27"/>
          <w:szCs w:val="27"/>
          <w:lang w:eastAsia="en-GB"/>
        </w:rPr>
        <w:t> </w:t>
      </w:r>
      <w:hyperlink r:id="rId30" w:anchor="p727" w:history="1">
        <w:r w:rsidRPr="002D75AE">
          <w:rPr>
            <w:rFonts w:ascii="Georgia" w:eastAsia="Times New Roman" w:hAnsi="Georgia" w:cs="Arial"/>
            <w:i/>
            <w:iCs/>
            <w:color w:val="979797"/>
            <w:spacing w:val="3"/>
            <w:u w:val="single"/>
            <w:lang w:eastAsia="en-GB"/>
          </w:rPr>
          <w:t>*727</w:t>
        </w:r>
      </w:hyperlink>
      <w:r w:rsidRPr="002D75AE">
        <w:rPr>
          <w:rFonts w:ascii="Georgia" w:eastAsia="Times New Roman" w:hAnsi="Georgia" w:cs="Arial"/>
          <w:color w:val="2F2F2F"/>
          <w:spacing w:val="3"/>
          <w:sz w:val="27"/>
          <w:szCs w:val="27"/>
          <w:lang w:eastAsia="en-GB"/>
        </w:rPr>
        <w:t> </w:t>
      </w:r>
      <w:r w:rsidRPr="002D75AE">
        <w:rPr>
          <w:rFonts w:ascii="Georgia" w:eastAsia="Times New Roman" w:hAnsi="Georgia" w:cs="Arial"/>
          <w:i/>
          <w:iCs/>
          <w:color w:val="2F2F2F"/>
          <w:spacing w:val="3"/>
          <w:sz w:val="27"/>
          <w:szCs w:val="27"/>
          <w:lang w:eastAsia="en-GB"/>
        </w:rPr>
        <w:t>ity Memorial Hospital, </w:t>
      </w:r>
      <w:r w:rsidRPr="002D75AE">
        <w:rPr>
          <w:rFonts w:ascii="Georgia" w:eastAsia="Times New Roman" w:hAnsi="Georgia" w:cs="Arial"/>
          <w:color w:val="007BFF"/>
          <w:spacing w:val="3"/>
          <w:sz w:val="27"/>
          <w:szCs w:val="27"/>
          <w:u w:val="single"/>
          <w:lang w:eastAsia="en-GB"/>
        </w:rPr>
        <w:t>144 Wis. 2d 188</w:t>
      </w:r>
      <w:r w:rsidRPr="002D75AE">
        <w:rPr>
          <w:rFonts w:ascii="Georgia" w:eastAsia="Times New Roman" w:hAnsi="Georgia" w:cs="Arial"/>
          <w:color w:val="2F2F2F"/>
          <w:spacing w:val="3"/>
          <w:sz w:val="27"/>
          <w:szCs w:val="27"/>
          <w:lang w:eastAsia="en-GB"/>
        </w:rPr>
        <w:t>, </w:t>
      </w:r>
      <w:hyperlink r:id="rId31" w:history="1">
        <w:r w:rsidRPr="002D75AE">
          <w:rPr>
            <w:rFonts w:ascii="Georgia" w:eastAsia="Times New Roman" w:hAnsi="Georgia" w:cs="Arial"/>
            <w:color w:val="007BFF"/>
            <w:spacing w:val="3"/>
            <w:sz w:val="27"/>
            <w:szCs w:val="27"/>
            <w:u w:val="single"/>
            <w:lang w:eastAsia="en-GB"/>
          </w:rPr>
          <w:t>423 N.W.2d 848</w:t>
        </w:r>
      </w:hyperlink>
      <w:r w:rsidRPr="002D75AE">
        <w:rPr>
          <w:rFonts w:ascii="Georgia" w:eastAsia="Times New Roman" w:hAnsi="Georgia" w:cs="Arial"/>
          <w:color w:val="2F2F2F"/>
          <w:spacing w:val="3"/>
          <w:sz w:val="27"/>
          <w:szCs w:val="27"/>
          <w:lang w:eastAsia="en-GB"/>
        </w:rPr>
        <w:t> (1988), the court set forth the elements for a cause of action against a hospital based on the doctrine of apparent authority. The plaintiff must show that (1) the hospital or its agent acted in a manner that would lead a reasonable person to conclude that the alleged tortfeasor was the employee or agent of the hospital; (2) where the acts of the agent create the appearance of authority, that the hospital had knowledge of and acquiesced in such acts; and (3) that the plaintiff justifiably relied upon the conduct of the hospital or agent. </w:t>
      </w:r>
      <w:r w:rsidRPr="002D75AE">
        <w:rPr>
          <w:rFonts w:ascii="Georgia" w:eastAsia="Times New Roman" w:hAnsi="Georgia" w:cs="Arial"/>
          <w:i/>
          <w:iCs/>
          <w:color w:val="2F2F2F"/>
          <w:spacing w:val="3"/>
          <w:sz w:val="27"/>
          <w:szCs w:val="27"/>
          <w:lang w:eastAsia="en-GB"/>
        </w:rPr>
        <w:t>Gilbert, </w:t>
      </w:r>
      <w:r w:rsidRPr="002D75AE">
        <w:rPr>
          <w:rFonts w:ascii="Georgia" w:eastAsia="Times New Roman" w:hAnsi="Georgia" w:cs="Arial"/>
          <w:color w:val="007BFF"/>
          <w:spacing w:val="3"/>
          <w:sz w:val="27"/>
          <w:szCs w:val="27"/>
          <w:u w:val="single"/>
          <w:lang w:eastAsia="en-GB"/>
        </w:rPr>
        <w:t>156 Ill. 2d at 524-25</w:t>
      </w:r>
      <w:r w:rsidRPr="002D75AE">
        <w:rPr>
          <w:rFonts w:ascii="Georgia" w:eastAsia="Times New Roman" w:hAnsi="Georgia" w:cs="Arial"/>
          <w:color w:val="2F2F2F"/>
          <w:spacing w:val="3"/>
          <w:sz w:val="27"/>
          <w:szCs w:val="27"/>
          <w:lang w:eastAsia="en-GB"/>
        </w:rPr>
        <w:t>, quoting </w:t>
      </w:r>
      <w:r w:rsidRPr="002D75AE">
        <w:rPr>
          <w:rFonts w:ascii="Georgia" w:eastAsia="Times New Roman" w:hAnsi="Georgia" w:cs="Arial"/>
          <w:i/>
          <w:iCs/>
          <w:color w:val="2F2F2F"/>
          <w:spacing w:val="3"/>
          <w:sz w:val="27"/>
          <w:szCs w:val="27"/>
          <w:lang w:eastAsia="en-GB"/>
        </w:rPr>
        <w:t>Pamperin, </w:t>
      </w:r>
      <w:hyperlink r:id="rId32" w:history="1">
        <w:r w:rsidRPr="002D75AE">
          <w:rPr>
            <w:rFonts w:ascii="Georgia" w:eastAsia="Times New Roman" w:hAnsi="Georgia" w:cs="Arial"/>
            <w:color w:val="007BFF"/>
            <w:spacing w:val="3"/>
            <w:sz w:val="27"/>
            <w:szCs w:val="27"/>
            <w:u w:val="single"/>
            <w:lang w:eastAsia="en-GB"/>
          </w:rPr>
          <w:t>144 Wis. 2d at 207-08</w:t>
        </w:r>
      </w:hyperlink>
      <w:r w:rsidRPr="002D75AE">
        <w:rPr>
          <w:rFonts w:ascii="Georgia" w:eastAsia="Times New Roman" w:hAnsi="Georgia" w:cs="Arial"/>
          <w:color w:val="2F2F2F"/>
          <w:spacing w:val="3"/>
          <w:sz w:val="27"/>
          <w:szCs w:val="27"/>
          <w:lang w:eastAsia="en-GB"/>
        </w:rPr>
        <w:t>, </w:t>
      </w:r>
      <w:r w:rsidRPr="002D75AE">
        <w:rPr>
          <w:rFonts w:ascii="Georgia" w:eastAsia="Times New Roman" w:hAnsi="Georgia" w:cs="Arial"/>
          <w:color w:val="007BFF"/>
          <w:spacing w:val="3"/>
          <w:sz w:val="27"/>
          <w:szCs w:val="27"/>
          <w:u w:val="single"/>
          <w:lang w:eastAsia="en-GB"/>
        </w:rPr>
        <w:t>423 N.W.2d at 856</w:t>
      </w:r>
      <w:r w:rsidRPr="002D75AE">
        <w:rPr>
          <w:rFonts w:ascii="Georgia" w:eastAsia="Times New Roman" w:hAnsi="Georgia" w:cs="Arial"/>
          <w:color w:val="2F2F2F"/>
          <w:spacing w:val="3"/>
          <w:sz w:val="27"/>
          <w:szCs w:val="27"/>
          <w:lang w:eastAsia="en-GB"/>
        </w:rPr>
        <w:t>. The court explained that the element of justifiable reliance is satisfied if the plaintiff relied upon the hospital to provide complete emergency room care, rather than upon a specific physician. </w:t>
      </w:r>
      <w:r w:rsidRPr="002D75AE">
        <w:rPr>
          <w:rFonts w:ascii="Georgia" w:eastAsia="Times New Roman" w:hAnsi="Georgia" w:cs="Arial"/>
          <w:i/>
          <w:iCs/>
          <w:color w:val="2F2F2F"/>
          <w:spacing w:val="3"/>
          <w:sz w:val="27"/>
          <w:szCs w:val="27"/>
          <w:lang w:eastAsia="en-GB"/>
        </w:rPr>
        <w:t>Gilbert, </w:t>
      </w:r>
      <w:hyperlink r:id="rId33" w:history="1">
        <w:r w:rsidRPr="002D75AE">
          <w:rPr>
            <w:rFonts w:ascii="Georgia" w:eastAsia="Times New Roman" w:hAnsi="Georgia" w:cs="Arial"/>
            <w:color w:val="007BFF"/>
            <w:spacing w:val="3"/>
            <w:sz w:val="27"/>
            <w:szCs w:val="27"/>
            <w:u w:val="single"/>
            <w:lang w:eastAsia="en-GB"/>
          </w:rPr>
          <w:t>156 Ill. 2d at 525</w:t>
        </w:r>
      </w:hyperlink>
      <w:r w:rsidRPr="002D75AE">
        <w:rPr>
          <w:rFonts w:ascii="Georgia" w:eastAsia="Times New Roman" w:hAnsi="Georgia" w:cs="Arial"/>
          <w:color w:val="2F2F2F"/>
          <w:spacing w:val="3"/>
          <w:sz w:val="27"/>
          <w:szCs w:val="27"/>
          <w:lang w:eastAsia="en-GB"/>
        </w:rPr>
        <w:t>.</w:t>
      </w:r>
      <w:r w:rsidRPr="002D75AE">
        <w:rPr>
          <w:rFonts w:ascii="Georgia" w:eastAsia="Times New Roman" w:hAnsi="Georgia" w:cs="Arial"/>
          <w:b/>
          <w:bCs/>
          <w:color w:val="E878FF"/>
          <w:spacing w:val="3"/>
          <w:sz w:val="27"/>
          <w:szCs w:val="27"/>
          <w:u w:val="single"/>
          <w:vertAlign w:val="superscript"/>
          <w:lang w:eastAsia="en-GB"/>
        </w:rPr>
        <w:t>1</w:t>
      </w:r>
    </w:p>
    <w:p w14:paraId="794C0AF1"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The trial court agreed with Loyola that plaintiff could not recover under a theory of apparent agency because the issue of justifiable reliance was negated by plaintiff’s affirmative pleading of an ongoing patient-doctor relationship between the decedent and Dr. Jabamoni. We disagree and reverse the judgment of the trial court dismissing counts VIII and IX.</w:t>
      </w:r>
    </w:p>
    <w:p w14:paraId="794C0AF2"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Before discussing our reasons therefor, we briefly comment on Loyola’s contention that the applicability of the </w:t>
      </w:r>
      <w:r w:rsidRPr="002D75AE">
        <w:rPr>
          <w:rFonts w:ascii="Georgia" w:eastAsia="Times New Roman" w:hAnsi="Georgia" w:cs="Arial"/>
          <w:i/>
          <w:iCs/>
          <w:color w:val="2F2F2F"/>
          <w:spacing w:val="3"/>
          <w:sz w:val="27"/>
          <w:szCs w:val="27"/>
          <w:lang w:eastAsia="en-GB"/>
        </w:rPr>
        <w:t>Gilbert </w:t>
      </w:r>
      <w:r w:rsidRPr="002D75AE">
        <w:rPr>
          <w:rFonts w:ascii="Georgia" w:eastAsia="Times New Roman" w:hAnsi="Georgia" w:cs="Arial"/>
          <w:color w:val="2F2F2F"/>
          <w:spacing w:val="3"/>
          <w:sz w:val="27"/>
          <w:szCs w:val="27"/>
          <w:lang w:eastAsia="en-GB"/>
        </w:rPr>
        <w:t>case is confined solely to situations involving negligent treatment rendered in a hospital emergency room. While the particular facts and circumstances present in </w:t>
      </w:r>
      <w:r w:rsidRPr="002D75AE">
        <w:rPr>
          <w:rFonts w:ascii="Georgia" w:eastAsia="Times New Roman" w:hAnsi="Georgia" w:cs="Arial"/>
          <w:i/>
          <w:iCs/>
          <w:color w:val="2F2F2F"/>
          <w:spacing w:val="3"/>
          <w:sz w:val="27"/>
          <w:szCs w:val="27"/>
          <w:lang w:eastAsia="en-GB"/>
        </w:rPr>
        <w:t>Gilbert </w:t>
      </w:r>
      <w:r w:rsidRPr="002D75AE">
        <w:rPr>
          <w:rFonts w:ascii="Georgia" w:eastAsia="Times New Roman" w:hAnsi="Georgia" w:cs="Arial"/>
          <w:color w:val="2F2F2F"/>
          <w:spacing w:val="3"/>
          <w:sz w:val="27"/>
          <w:szCs w:val="27"/>
          <w:lang w:eastAsia="en-GB"/>
        </w:rPr>
        <w:t>necessarily limited the court’s analysis to medical negligence arising in an emergency room setting, we discern nothing in the </w:t>
      </w:r>
      <w:r w:rsidRPr="002D75AE">
        <w:rPr>
          <w:rFonts w:ascii="Georgia" w:eastAsia="Times New Roman" w:hAnsi="Georgia" w:cs="Arial"/>
          <w:i/>
          <w:iCs/>
          <w:color w:val="2F2F2F"/>
          <w:spacing w:val="3"/>
          <w:sz w:val="27"/>
          <w:szCs w:val="27"/>
          <w:lang w:eastAsia="en-GB"/>
        </w:rPr>
        <w:t>Gilbert </w:t>
      </w:r>
      <w:r w:rsidRPr="002D75AE">
        <w:rPr>
          <w:rFonts w:ascii="Georgia" w:eastAsia="Times New Roman" w:hAnsi="Georgia" w:cs="Arial"/>
          <w:color w:val="2F2F2F"/>
          <w:spacing w:val="3"/>
          <w:sz w:val="27"/>
          <w:szCs w:val="27"/>
          <w:lang w:eastAsia="en-GB"/>
        </w:rPr>
        <w:t>opinion that would bar a plaintiff, who could otherwise satisfy the elements for a claim based on apparent agency, from recovering against a hospital merely because the negligent conduct of the physician did not occur in the emergency room or some other area within the four walls of the hospital. If, as plaintiff maintains, Loyola’s conduct reasonably led Malanowski to rely upon "Loyola” for treatment, rather than any particular physician, then plaintiff should be allowed recovery for damages caused thereby. Thus, we reject Loyola’s narrow reading of </w:t>
      </w:r>
      <w:r w:rsidRPr="002D75AE">
        <w:rPr>
          <w:rFonts w:ascii="Georgia" w:eastAsia="Times New Roman" w:hAnsi="Georgia" w:cs="Arial"/>
          <w:i/>
          <w:iCs/>
          <w:color w:val="2F2F2F"/>
          <w:spacing w:val="3"/>
          <w:sz w:val="27"/>
          <w:szCs w:val="27"/>
          <w:lang w:eastAsia="en-GB"/>
        </w:rPr>
        <w:t>Gilbert.</w:t>
      </w:r>
    </w:p>
    <w:p w14:paraId="794C0AF3"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We turn now to the issue of plaintiff’s justifiable reliance. We observe initially that Loyola does not contend that plaintiff failed to satisfy the pleading requirements for a claim against Loyola based on </w:t>
      </w:r>
      <w:hyperlink r:id="rId34" w:anchor="p728" w:history="1">
        <w:r w:rsidRPr="002D75AE">
          <w:rPr>
            <w:rFonts w:ascii="Georgia" w:eastAsia="Times New Roman" w:hAnsi="Georgia" w:cs="Arial"/>
            <w:i/>
            <w:iCs/>
            <w:color w:val="979797"/>
            <w:spacing w:val="3"/>
            <w:u w:val="single"/>
            <w:lang w:eastAsia="en-GB"/>
          </w:rPr>
          <w:t>*728</w:t>
        </w:r>
      </w:hyperlink>
      <w:r w:rsidRPr="002D75AE">
        <w:rPr>
          <w:rFonts w:ascii="Georgia" w:eastAsia="Times New Roman" w:hAnsi="Georgia" w:cs="Arial"/>
          <w:color w:val="2F2F2F"/>
          <w:spacing w:val="3"/>
          <w:sz w:val="27"/>
          <w:szCs w:val="27"/>
          <w:lang w:eastAsia="en-GB"/>
        </w:rPr>
        <w:t>the doctrine of apparent agency. Rather, relying solely on the </w:t>
      </w:r>
      <w:r w:rsidRPr="002D75AE">
        <w:rPr>
          <w:rFonts w:ascii="Georgia" w:eastAsia="Times New Roman" w:hAnsi="Georgia" w:cs="Arial"/>
          <w:i/>
          <w:iCs/>
          <w:color w:val="2F2F2F"/>
          <w:spacing w:val="3"/>
          <w:sz w:val="27"/>
          <w:szCs w:val="27"/>
          <w:lang w:eastAsia="en-GB"/>
        </w:rPr>
        <w:t>Gilbert </w:t>
      </w:r>
      <w:r w:rsidRPr="002D75AE">
        <w:rPr>
          <w:rFonts w:ascii="Georgia" w:eastAsia="Times New Roman" w:hAnsi="Georgia" w:cs="Arial"/>
          <w:color w:val="2F2F2F"/>
          <w:spacing w:val="3"/>
          <w:sz w:val="27"/>
          <w:szCs w:val="27"/>
          <w:lang w:eastAsia="en-GB"/>
        </w:rPr>
        <w:t>decision, Loyola contends that plaintiffs affirmative pleading of an ongoing patient-doctor relationship between decedent and Dr. Jabamoni negates the element of justifiable reliance. We disagree.</w:t>
      </w:r>
    </w:p>
    <w:p w14:paraId="794C0AF4" w14:textId="2772B845"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In </w:t>
      </w:r>
      <w:r w:rsidRPr="002D75AE">
        <w:rPr>
          <w:rFonts w:ascii="Georgia" w:eastAsia="Times New Roman" w:hAnsi="Georgia" w:cs="Arial"/>
          <w:i/>
          <w:iCs/>
          <w:color w:val="2F2F2F"/>
          <w:spacing w:val="3"/>
          <w:sz w:val="27"/>
          <w:szCs w:val="27"/>
          <w:lang w:eastAsia="en-GB"/>
        </w:rPr>
        <w:t>Gilbert, </w:t>
      </w:r>
      <w:r w:rsidRPr="002D75AE">
        <w:rPr>
          <w:rFonts w:ascii="Georgia" w:eastAsia="Times New Roman" w:hAnsi="Georgia" w:cs="Arial"/>
          <w:color w:val="2F2F2F"/>
          <w:spacing w:val="3"/>
          <w:sz w:val="27"/>
          <w:szCs w:val="27"/>
          <w:lang w:eastAsia="en-GB"/>
        </w:rPr>
        <w:t>our supreme court recognized that, in the context of an apparent agency claim arising out of negligent emergency room care, the critical distinction is whether the patient relied upon the hospital for the provision of care or, rather, upon the services of a particular physician. </w:t>
      </w:r>
      <w:r w:rsidRPr="002D75AE">
        <w:rPr>
          <w:rFonts w:ascii="Georgia" w:eastAsia="Times New Roman" w:hAnsi="Georgia" w:cs="Arial"/>
          <w:i/>
          <w:iCs/>
          <w:color w:val="2F2F2F"/>
          <w:spacing w:val="3"/>
          <w:sz w:val="27"/>
          <w:szCs w:val="27"/>
          <w:lang w:eastAsia="en-GB"/>
        </w:rPr>
        <w:t>Gilbert, </w:t>
      </w:r>
      <w:r w:rsidRPr="002D75AE">
        <w:rPr>
          <w:rFonts w:ascii="Georgia" w:eastAsia="Times New Roman" w:hAnsi="Georgia" w:cs="Arial"/>
          <w:color w:val="007BFF"/>
          <w:spacing w:val="3"/>
          <w:sz w:val="27"/>
          <w:szCs w:val="27"/>
          <w:u w:val="single"/>
          <w:lang w:eastAsia="en-GB"/>
        </w:rPr>
        <w:t>156 Ill. 2d at 525</w:t>
      </w:r>
      <w:r w:rsidRPr="002D75AE">
        <w:rPr>
          <w:rFonts w:ascii="Georgia" w:eastAsia="Times New Roman" w:hAnsi="Georgia" w:cs="Arial"/>
          <w:color w:val="2F2F2F"/>
          <w:spacing w:val="3"/>
          <w:sz w:val="27"/>
          <w:szCs w:val="27"/>
          <w:lang w:eastAsia="en-GB"/>
        </w:rPr>
        <w:t>. Significantly, </w:t>
      </w:r>
      <w:r w:rsidRPr="002D75AE">
        <w:rPr>
          <w:rFonts w:ascii="Georgia" w:eastAsia="Times New Roman" w:hAnsi="Georgia" w:cs="Arial"/>
          <w:i/>
          <w:iCs/>
          <w:color w:val="2F2F2F"/>
          <w:spacing w:val="3"/>
          <w:sz w:val="27"/>
          <w:szCs w:val="27"/>
          <w:lang w:eastAsia="en-GB"/>
        </w:rPr>
        <w:t>Gilbert </w:t>
      </w:r>
      <w:r w:rsidRPr="002D75AE">
        <w:rPr>
          <w:rFonts w:ascii="Georgia" w:eastAsia="Times New Roman" w:hAnsi="Georgia" w:cs="Arial"/>
          <w:color w:val="2F2F2F"/>
          <w:spacing w:val="3"/>
          <w:sz w:val="27"/>
          <w:szCs w:val="27"/>
          <w:lang w:eastAsia="en-GB"/>
        </w:rPr>
        <w:t>does not hold that, regardless of the circumstances, the mere existence of a regular physician-patient relationship precludes any claim by the patient of reliance upon the hospital. Further, we decline to read such a holding into the </w:t>
      </w:r>
      <w:r w:rsidRPr="002D75AE">
        <w:rPr>
          <w:rFonts w:ascii="Georgia" w:eastAsia="Times New Roman" w:hAnsi="Georgia" w:cs="Arial"/>
          <w:i/>
          <w:iCs/>
          <w:color w:val="2F2F2F"/>
          <w:spacing w:val="3"/>
          <w:sz w:val="27"/>
          <w:szCs w:val="27"/>
          <w:lang w:eastAsia="en-GB"/>
        </w:rPr>
        <w:t>Gilbert </w:t>
      </w:r>
      <w:r w:rsidRPr="002D75AE">
        <w:rPr>
          <w:rFonts w:ascii="Georgia" w:eastAsia="Times New Roman" w:hAnsi="Georgia" w:cs="Arial"/>
          <w:color w:val="2F2F2F"/>
          <w:spacing w:val="3"/>
          <w:sz w:val="27"/>
          <w:szCs w:val="27"/>
          <w:lang w:eastAsia="en-GB"/>
        </w:rPr>
        <w:t>decision as we do not believe that </w:t>
      </w:r>
      <w:r w:rsidRPr="002D75AE">
        <w:rPr>
          <w:rFonts w:ascii="Georgia" w:eastAsia="Times New Roman" w:hAnsi="Georgia" w:cs="Arial"/>
          <w:i/>
          <w:iCs/>
          <w:color w:val="2F2F2F"/>
          <w:spacing w:val="3"/>
          <w:sz w:val="27"/>
          <w:szCs w:val="27"/>
          <w:lang w:eastAsia="en-GB"/>
        </w:rPr>
        <w:t>Gilbert </w:t>
      </w:r>
      <w:r w:rsidRPr="002D75AE">
        <w:rPr>
          <w:rFonts w:ascii="Georgia" w:eastAsia="Times New Roman" w:hAnsi="Georgia" w:cs="Arial"/>
          <w:color w:val="2F2F2F"/>
          <w:spacing w:val="3"/>
          <w:sz w:val="27"/>
          <w:szCs w:val="27"/>
          <w:lang w:eastAsia="en-GB"/>
        </w:rPr>
        <w:t>was intended to circumscribe all apparent agency claims in the medical area.</w:t>
      </w:r>
    </w:p>
    <w:p w14:paraId="794C0AF5"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Depending upon the proofs at trial, the existence of such a relationship may militate in favor of a finding by the trier of fact that the plaintiff failed to demonstrate reliance upon the hospital. However, for pleading purposes, plaintiffs allegation that decedent was a regular patient of Dr. Jabamoni is not so inconsistent with plaintiff’s claim of apparent agency as to require dismissal of plaintiffs cause of action. This is particularly true in light of the other indicia of apparent agency alleged in the complaint — that the outpatient center bore the "Loyola” name, that the outpatient center held itself out as a direct provider of health care services, that the outpatient center introduced Malanowski to Dr. Jabamoni, that Malanowski was treated by other physicians at the outpatient center, and that payment for services provided by Dr. Jabamoni was made directly to the outpatient center.</w:t>
      </w:r>
    </w:p>
    <w:p w14:paraId="794C0AF6"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Liberally construing the complaint in favor of plaintiff, and taking all well-pied allegations as true, we cannot agree that the mere fact that decedent was a regular patient of Dr. Jabamoni precludes any claim by plaintiff that the decedent reasonably relied upon Loyola for treatment. Accordingly, the trial court erred in dismissing counts VIII and IX.</w:t>
      </w:r>
    </w:p>
    <w:p w14:paraId="794C0AF7"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Section 2 — 1005 Dismissal of Direct Negligence Claims</w:t>
      </w:r>
    </w:p>
    <w:p w14:paraId="794C0AF8"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 xml:space="preserve">In counts III, VI and VII, plaintiff alleged that Loyola, as the owner and operator of the outpatient center, owed Malanowski a duty of ordinary and reasonable care to supervise all physicians who were rendering medical care at the center and that Loyola breached this duty, by failing to establish proper diagnostic procedures and protocols for the examination of breast masses. </w:t>
      </w:r>
      <w:r w:rsidRPr="004C3442">
        <w:rPr>
          <w:rFonts w:ascii="Georgia" w:eastAsia="Times New Roman" w:hAnsi="Georgia" w:cs="Arial"/>
          <w:color w:val="2F2F2F"/>
          <w:spacing w:val="3"/>
          <w:sz w:val="27"/>
          <w:szCs w:val="27"/>
          <w:highlight w:val="magenta"/>
          <w:lang w:eastAsia="en-GB"/>
        </w:rPr>
        <w:t>The trial court </w:t>
      </w:r>
      <w:hyperlink r:id="rId35" w:anchor="p729" w:history="1">
        <w:r w:rsidRPr="004C3442">
          <w:rPr>
            <w:rFonts w:ascii="Georgia" w:eastAsia="Times New Roman" w:hAnsi="Georgia" w:cs="Arial"/>
            <w:i/>
            <w:iCs/>
            <w:color w:val="979797"/>
            <w:spacing w:val="3"/>
            <w:highlight w:val="magenta"/>
            <w:u w:val="single"/>
            <w:lang w:eastAsia="en-GB"/>
          </w:rPr>
          <w:t>*729</w:t>
        </w:r>
      </w:hyperlink>
      <w:r w:rsidRPr="004C3442">
        <w:rPr>
          <w:rFonts w:ascii="Georgia" w:eastAsia="Times New Roman" w:hAnsi="Georgia" w:cs="Arial"/>
          <w:color w:val="2F2F2F"/>
          <w:spacing w:val="3"/>
          <w:sz w:val="27"/>
          <w:szCs w:val="27"/>
          <w:highlight w:val="magenta"/>
          <w:lang w:eastAsia="en-GB"/>
        </w:rPr>
        <w:t>determined that there was no relationship between Loyola and Malanowski sufficient to impose an independent duty and granted Loyola’s motion for summary judgment.</w:t>
      </w:r>
      <w:r w:rsidRPr="002D75AE">
        <w:rPr>
          <w:rFonts w:ascii="Georgia" w:eastAsia="Times New Roman" w:hAnsi="Georgia" w:cs="Arial"/>
          <w:color w:val="2F2F2F"/>
          <w:spacing w:val="3"/>
          <w:sz w:val="27"/>
          <w:szCs w:val="27"/>
          <w:lang w:eastAsia="en-GB"/>
        </w:rPr>
        <w:t xml:space="preserve"> </w:t>
      </w:r>
      <w:r w:rsidRPr="004C3442">
        <w:rPr>
          <w:rFonts w:ascii="Georgia" w:eastAsia="Times New Roman" w:hAnsi="Georgia" w:cs="Arial"/>
          <w:color w:val="2F2F2F"/>
          <w:spacing w:val="3"/>
          <w:sz w:val="27"/>
          <w:szCs w:val="27"/>
          <w:highlight w:val="red"/>
          <w:lang w:eastAsia="en-GB"/>
        </w:rPr>
        <w:t>We affirm.</w:t>
      </w:r>
    </w:p>
    <w:p w14:paraId="794C0AF9" w14:textId="0972431C"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A hospital’s role in a patient’s medical treatment is no longer confined merely to the furnishing of facilities and equipment. See </w:t>
      </w:r>
      <w:r w:rsidRPr="004C3442">
        <w:rPr>
          <w:rFonts w:ascii="Georgia" w:eastAsia="Times New Roman" w:hAnsi="Georgia" w:cs="Arial"/>
          <w:i/>
          <w:iCs/>
          <w:color w:val="2F2F2F"/>
          <w:spacing w:val="3"/>
          <w:sz w:val="27"/>
          <w:szCs w:val="27"/>
          <w:highlight w:val="cyan"/>
          <w:lang w:eastAsia="en-GB"/>
        </w:rPr>
        <w:t>Darling v. Charleston Community Memorial Hospital, </w:t>
      </w:r>
      <w:r w:rsidRPr="004C3442">
        <w:rPr>
          <w:rFonts w:ascii="Georgia" w:eastAsia="Times New Roman" w:hAnsi="Georgia" w:cs="Arial"/>
          <w:color w:val="007BFF"/>
          <w:spacing w:val="3"/>
          <w:sz w:val="27"/>
          <w:szCs w:val="27"/>
          <w:highlight w:val="cyan"/>
          <w:u w:val="single"/>
          <w:lang w:eastAsia="en-GB"/>
        </w:rPr>
        <w:t>33 Ill. 2d 326</w:t>
      </w:r>
      <w:r w:rsidRPr="004C3442">
        <w:rPr>
          <w:rFonts w:ascii="Georgia" w:eastAsia="Times New Roman" w:hAnsi="Georgia" w:cs="Arial"/>
          <w:color w:val="2F2F2F"/>
          <w:spacing w:val="3"/>
          <w:sz w:val="27"/>
          <w:szCs w:val="27"/>
          <w:highlight w:val="cyan"/>
          <w:lang w:eastAsia="en-GB"/>
        </w:rPr>
        <w:t>, 332, </w:t>
      </w:r>
      <w:hyperlink r:id="rId36" w:history="1">
        <w:r w:rsidRPr="004C3442">
          <w:rPr>
            <w:rFonts w:ascii="Georgia" w:eastAsia="Times New Roman" w:hAnsi="Georgia" w:cs="Arial"/>
            <w:color w:val="007BFF"/>
            <w:spacing w:val="3"/>
            <w:sz w:val="27"/>
            <w:szCs w:val="27"/>
            <w:highlight w:val="cyan"/>
            <w:u w:val="single"/>
            <w:lang w:eastAsia="en-GB"/>
          </w:rPr>
          <w:t>211 N.E.2d 523</w:t>
        </w:r>
      </w:hyperlink>
      <w:r w:rsidRPr="004C3442">
        <w:rPr>
          <w:rFonts w:ascii="Georgia" w:eastAsia="Times New Roman" w:hAnsi="Georgia" w:cs="Arial"/>
          <w:color w:val="2F2F2F"/>
          <w:spacing w:val="3"/>
          <w:sz w:val="27"/>
          <w:szCs w:val="27"/>
          <w:highlight w:val="cyan"/>
          <w:lang w:eastAsia="en-GB"/>
        </w:rPr>
        <w:t> (1965)</w:t>
      </w:r>
      <w:r w:rsidRPr="002D75AE">
        <w:rPr>
          <w:rFonts w:ascii="Georgia" w:eastAsia="Times New Roman" w:hAnsi="Georgia" w:cs="Arial"/>
          <w:color w:val="2F2F2F"/>
          <w:spacing w:val="3"/>
          <w:sz w:val="27"/>
          <w:szCs w:val="27"/>
          <w:lang w:eastAsia="en-GB"/>
        </w:rPr>
        <w:t>. Rather, hospitals today assume a much greater role in coordinating the total health care of patients, leading the public to rely on the hospital, itself, as the health care provider. The hospital’s expanded role brings with it increased corporate responsibilities. See generally M. Nathanson, </w:t>
      </w:r>
      <w:r w:rsidRPr="002D75AE">
        <w:rPr>
          <w:rFonts w:ascii="Georgia" w:eastAsia="Times New Roman" w:hAnsi="Georgia" w:cs="Arial"/>
          <w:i/>
          <w:iCs/>
          <w:color w:val="2F2F2F"/>
          <w:spacing w:val="3"/>
          <w:sz w:val="27"/>
          <w:szCs w:val="27"/>
          <w:lang w:eastAsia="en-GB"/>
        </w:rPr>
        <w:t>Hospital Corporate Negligence: Enforcing the Hospital’s Role of Administrator, </w:t>
      </w:r>
      <w:r w:rsidRPr="002D75AE">
        <w:rPr>
          <w:rFonts w:ascii="Georgia" w:eastAsia="Times New Roman" w:hAnsi="Georgia" w:cs="Arial"/>
          <w:color w:val="007BFF"/>
          <w:spacing w:val="3"/>
          <w:sz w:val="27"/>
          <w:szCs w:val="27"/>
          <w:u w:val="single"/>
          <w:lang w:eastAsia="en-GB"/>
        </w:rPr>
        <w:t>28 Tort &amp; Ins. L.J. 575</w:t>
      </w:r>
      <w:r w:rsidRPr="002D75AE">
        <w:rPr>
          <w:rFonts w:ascii="Georgia" w:eastAsia="Times New Roman" w:hAnsi="Georgia" w:cs="Arial"/>
          <w:color w:val="2F2F2F"/>
          <w:spacing w:val="3"/>
          <w:sz w:val="27"/>
          <w:szCs w:val="27"/>
          <w:lang w:eastAsia="en-GB"/>
        </w:rPr>
        <w:t> (1993); Note, </w:t>
      </w:r>
      <w:r w:rsidRPr="002D75AE">
        <w:rPr>
          <w:rFonts w:ascii="Georgia" w:eastAsia="Times New Roman" w:hAnsi="Georgia" w:cs="Arial"/>
          <w:i/>
          <w:iCs/>
          <w:color w:val="2F2F2F"/>
          <w:spacing w:val="3"/>
          <w:sz w:val="27"/>
          <w:szCs w:val="27"/>
          <w:lang w:eastAsia="en-GB"/>
        </w:rPr>
        <w:t>Hospital Corporate Liability: An Effective Solution to Controlling Private Physician Incompetence?, </w:t>
      </w:r>
      <w:hyperlink r:id="rId37" w:history="1">
        <w:r w:rsidRPr="002D75AE">
          <w:rPr>
            <w:rFonts w:ascii="Georgia" w:eastAsia="Times New Roman" w:hAnsi="Georgia" w:cs="Arial"/>
            <w:color w:val="007BFF"/>
            <w:spacing w:val="3"/>
            <w:sz w:val="27"/>
            <w:szCs w:val="27"/>
            <w:u w:val="single"/>
            <w:lang w:eastAsia="en-GB"/>
          </w:rPr>
          <w:t>32 Rutgers L. Rev. 342</w:t>
        </w:r>
      </w:hyperlink>
      <w:r w:rsidRPr="002D75AE">
        <w:rPr>
          <w:rFonts w:ascii="Georgia" w:eastAsia="Times New Roman" w:hAnsi="Georgia" w:cs="Arial"/>
          <w:color w:val="2F2F2F"/>
          <w:spacing w:val="3"/>
          <w:sz w:val="27"/>
          <w:szCs w:val="27"/>
          <w:lang w:eastAsia="en-GB"/>
        </w:rPr>
        <w:t> (1979). Consonant with the changing role of the hospital, Illinois, like many other jurisdictions, permits recovery in tort for injuries sustained by a patient under the doctrine of "hospital corporate negligence,” also simply referred to as "corporate liability.” This doctrine recognizes the existence of an independent duty owed directly by the hospital to the patient to review and supervise the medical care administered to the patient. Liability is predicated on the hospital’s own negligence, not the negligence of the physician. </w:t>
      </w:r>
      <w:r w:rsidRPr="004C3442">
        <w:rPr>
          <w:rFonts w:ascii="Georgia" w:eastAsia="Times New Roman" w:hAnsi="Georgia" w:cs="Arial"/>
          <w:i/>
          <w:iCs/>
          <w:color w:val="2F2F2F"/>
          <w:spacing w:val="3"/>
          <w:sz w:val="27"/>
          <w:szCs w:val="27"/>
          <w:highlight w:val="cyan"/>
          <w:lang w:eastAsia="en-GB"/>
        </w:rPr>
        <w:t>Darling, </w:t>
      </w:r>
      <w:r w:rsidRPr="004C3442">
        <w:rPr>
          <w:rFonts w:ascii="Georgia" w:eastAsia="Times New Roman" w:hAnsi="Georgia" w:cs="Arial"/>
          <w:color w:val="007BFF"/>
          <w:spacing w:val="3"/>
          <w:sz w:val="27"/>
          <w:szCs w:val="27"/>
          <w:highlight w:val="cyan"/>
          <w:u w:val="single"/>
          <w:lang w:eastAsia="en-GB"/>
        </w:rPr>
        <w:t>33 Ill. 2d at 332</w:t>
      </w:r>
      <w:r w:rsidRPr="004C3442">
        <w:rPr>
          <w:rFonts w:ascii="Georgia" w:eastAsia="Times New Roman" w:hAnsi="Georgia" w:cs="Arial"/>
          <w:color w:val="2F2F2F"/>
          <w:spacing w:val="3"/>
          <w:sz w:val="27"/>
          <w:szCs w:val="27"/>
          <w:highlight w:val="cyan"/>
          <w:lang w:eastAsia="en-GB"/>
        </w:rPr>
        <w:t>; </w:t>
      </w:r>
      <w:r w:rsidRPr="004C3442">
        <w:rPr>
          <w:rFonts w:ascii="Georgia" w:eastAsia="Times New Roman" w:hAnsi="Georgia" w:cs="Arial"/>
          <w:i/>
          <w:iCs/>
          <w:color w:val="2F2F2F"/>
          <w:spacing w:val="3"/>
          <w:sz w:val="27"/>
          <w:szCs w:val="27"/>
          <w:highlight w:val="cyan"/>
          <w:lang w:eastAsia="en-GB"/>
        </w:rPr>
        <w:t>Rohe v. Shivde, </w:t>
      </w:r>
      <w:hyperlink r:id="rId38" w:anchor="p198" w:history="1">
        <w:r w:rsidRPr="004C3442">
          <w:rPr>
            <w:rFonts w:ascii="Georgia" w:eastAsia="Times New Roman" w:hAnsi="Georgia" w:cs="Arial"/>
            <w:color w:val="007BFF"/>
            <w:spacing w:val="3"/>
            <w:sz w:val="27"/>
            <w:szCs w:val="27"/>
            <w:highlight w:val="cyan"/>
            <w:u w:val="single"/>
            <w:lang w:eastAsia="en-GB"/>
          </w:rPr>
          <w:t>203 Ill. App. 3d 181</w:t>
        </w:r>
      </w:hyperlink>
      <w:r w:rsidRPr="004C3442">
        <w:rPr>
          <w:rFonts w:ascii="Georgia" w:eastAsia="Times New Roman" w:hAnsi="Georgia" w:cs="Arial"/>
          <w:color w:val="2F2F2F"/>
          <w:spacing w:val="3"/>
          <w:sz w:val="27"/>
          <w:szCs w:val="27"/>
          <w:highlight w:val="cyan"/>
          <w:lang w:eastAsia="en-GB"/>
        </w:rPr>
        <w:t>, 198-99, </w:t>
      </w:r>
      <w:r w:rsidRPr="004C3442">
        <w:rPr>
          <w:rFonts w:ascii="Georgia" w:eastAsia="Times New Roman" w:hAnsi="Georgia" w:cs="Arial"/>
          <w:color w:val="007BFF"/>
          <w:spacing w:val="3"/>
          <w:sz w:val="27"/>
          <w:szCs w:val="27"/>
          <w:highlight w:val="cyan"/>
          <w:u w:val="single"/>
          <w:lang w:eastAsia="en-GB"/>
        </w:rPr>
        <w:t>560 N.E.2d 1113</w:t>
      </w:r>
      <w:r w:rsidRPr="004C3442">
        <w:rPr>
          <w:rFonts w:ascii="Georgia" w:eastAsia="Times New Roman" w:hAnsi="Georgia" w:cs="Arial"/>
          <w:color w:val="2F2F2F"/>
          <w:spacing w:val="3"/>
          <w:sz w:val="27"/>
          <w:szCs w:val="27"/>
          <w:highlight w:val="cyan"/>
          <w:lang w:eastAsia="en-GB"/>
        </w:rPr>
        <w:t> (1990); </w:t>
      </w:r>
      <w:r w:rsidRPr="004C3442">
        <w:rPr>
          <w:rFonts w:ascii="Georgia" w:eastAsia="Times New Roman" w:hAnsi="Georgia" w:cs="Arial"/>
          <w:i/>
          <w:iCs/>
          <w:color w:val="2F2F2F"/>
          <w:spacing w:val="3"/>
          <w:sz w:val="27"/>
          <w:szCs w:val="27"/>
          <w:highlight w:val="cyan"/>
          <w:lang w:eastAsia="en-GB"/>
        </w:rPr>
        <w:t>Andrews v. Northwestern Memorial Hospital, </w:t>
      </w:r>
      <w:hyperlink r:id="rId39" w:anchor="p493" w:history="1">
        <w:r w:rsidRPr="004C3442">
          <w:rPr>
            <w:rFonts w:ascii="Georgia" w:eastAsia="Times New Roman" w:hAnsi="Georgia" w:cs="Arial"/>
            <w:color w:val="007BFF"/>
            <w:spacing w:val="3"/>
            <w:sz w:val="27"/>
            <w:szCs w:val="27"/>
            <w:highlight w:val="cyan"/>
            <w:u w:val="single"/>
            <w:lang w:eastAsia="en-GB"/>
          </w:rPr>
          <w:t>184 Ill. App. 3d 486</w:t>
        </w:r>
      </w:hyperlink>
      <w:r w:rsidRPr="004C3442">
        <w:rPr>
          <w:rFonts w:ascii="Georgia" w:eastAsia="Times New Roman" w:hAnsi="Georgia" w:cs="Arial"/>
          <w:color w:val="2F2F2F"/>
          <w:spacing w:val="3"/>
          <w:sz w:val="27"/>
          <w:szCs w:val="27"/>
          <w:highlight w:val="cyan"/>
          <w:lang w:eastAsia="en-GB"/>
        </w:rPr>
        <w:t>, 493, </w:t>
      </w:r>
      <w:r w:rsidRPr="004C3442">
        <w:rPr>
          <w:rFonts w:ascii="Georgia" w:eastAsia="Times New Roman" w:hAnsi="Georgia" w:cs="Arial"/>
          <w:color w:val="007BFF"/>
          <w:spacing w:val="3"/>
          <w:sz w:val="27"/>
          <w:szCs w:val="27"/>
          <w:highlight w:val="cyan"/>
          <w:u w:val="single"/>
          <w:lang w:eastAsia="en-GB"/>
        </w:rPr>
        <w:t>540 N.E.2d 447</w:t>
      </w:r>
      <w:r w:rsidRPr="004C3442">
        <w:rPr>
          <w:rFonts w:ascii="Georgia" w:eastAsia="Times New Roman" w:hAnsi="Georgia" w:cs="Arial"/>
          <w:color w:val="2F2F2F"/>
          <w:spacing w:val="3"/>
          <w:sz w:val="27"/>
          <w:szCs w:val="27"/>
          <w:highlight w:val="cyan"/>
          <w:lang w:eastAsia="en-GB"/>
        </w:rPr>
        <w:t> (1989); </w:t>
      </w:r>
      <w:r w:rsidRPr="004C3442">
        <w:rPr>
          <w:rFonts w:ascii="Georgia" w:eastAsia="Times New Roman" w:hAnsi="Georgia" w:cs="Arial"/>
          <w:i/>
          <w:iCs/>
          <w:color w:val="2F2F2F"/>
          <w:spacing w:val="3"/>
          <w:sz w:val="27"/>
          <w:szCs w:val="27"/>
          <w:highlight w:val="cyan"/>
          <w:lang w:eastAsia="en-GB"/>
        </w:rPr>
        <w:t>Reynolds v. Mennonite Hospital, </w:t>
      </w:r>
      <w:hyperlink r:id="rId40" w:anchor="p578" w:history="1">
        <w:r w:rsidRPr="004C3442">
          <w:rPr>
            <w:rFonts w:ascii="Georgia" w:eastAsia="Times New Roman" w:hAnsi="Georgia" w:cs="Arial"/>
            <w:color w:val="007BFF"/>
            <w:spacing w:val="3"/>
            <w:sz w:val="27"/>
            <w:szCs w:val="27"/>
            <w:highlight w:val="cyan"/>
            <w:u w:val="single"/>
            <w:lang w:eastAsia="en-GB"/>
          </w:rPr>
          <w:t>168 Ill. App. 3d 575</w:t>
        </w:r>
      </w:hyperlink>
      <w:r w:rsidRPr="004C3442">
        <w:rPr>
          <w:rFonts w:ascii="Georgia" w:eastAsia="Times New Roman" w:hAnsi="Georgia" w:cs="Arial"/>
          <w:color w:val="2F2F2F"/>
          <w:spacing w:val="3"/>
          <w:sz w:val="27"/>
          <w:szCs w:val="27"/>
          <w:highlight w:val="cyan"/>
          <w:lang w:eastAsia="en-GB"/>
        </w:rPr>
        <w:t>, 578, </w:t>
      </w:r>
      <w:r w:rsidRPr="004C3442">
        <w:rPr>
          <w:rFonts w:ascii="Georgia" w:eastAsia="Times New Roman" w:hAnsi="Georgia" w:cs="Arial"/>
          <w:color w:val="007BFF"/>
          <w:spacing w:val="3"/>
          <w:sz w:val="27"/>
          <w:szCs w:val="27"/>
          <w:highlight w:val="cyan"/>
          <w:u w:val="single"/>
          <w:lang w:eastAsia="en-GB"/>
        </w:rPr>
        <w:t>522 N.E.2d 827</w:t>
      </w:r>
      <w:r w:rsidRPr="004C3442">
        <w:rPr>
          <w:rFonts w:ascii="Georgia" w:eastAsia="Times New Roman" w:hAnsi="Georgia" w:cs="Arial"/>
          <w:color w:val="2F2F2F"/>
          <w:spacing w:val="3"/>
          <w:sz w:val="27"/>
          <w:szCs w:val="27"/>
          <w:highlight w:val="cyan"/>
          <w:lang w:eastAsia="en-GB"/>
        </w:rPr>
        <w:t> (1988). See also </w:t>
      </w:r>
      <w:r w:rsidRPr="004C3442">
        <w:rPr>
          <w:rFonts w:ascii="Georgia" w:eastAsia="Times New Roman" w:hAnsi="Georgia" w:cs="Arial"/>
          <w:i/>
          <w:iCs/>
          <w:color w:val="2F2F2F"/>
          <w:spacing w:val="3"/>
          <w:sz w:val="27"/>
          <w:szCs w:val="27"/>
          <w:highlight w:val="cyan"/>
          <w:lang w:eastAsia="en-GB"/>
        </w:rPr>
        <w:t>Elam v. College Park Hospital, </w:t>
      </w:r>
      <w:hyperlink r:id="rId41" w:history="1">
        <w:r w:rsidRPr="004C3442">
          <w:rPr>
            <w:rFonts w:ascii="Georgia" w:eastAsia="Times New Roman" w:hAnsi="Georgia" w:cs="Arial"/>
            <w:color w:val="007BFF"/>
            <w:spacing w:val="3"/>
            <w:sz w:val="27"/>
            <w:szCs w:val="27"/>
            <w:highlight w:val="cyan"/>
            <w:u w:val="single"/>
            <w:lang w:eastAsia="en-GB"/>
          </w:rPr>
          <w:t>132 Cal. App. 3d 332</w:t>
        </w:r>
      </w:hyperlink>
      <w:r w:rsidRPr="004C3442">
        <w:rPr>
          <w:rFonts w:ascii="Georgia" w:eastAsia="Times New Roman" w:hAnsi="Georgia" w:cs="Arial"/>
          <w:color w:val="2F2F2F"/>
          <w:spacing w:val="3"/>
          <w:sz w:val="27"/>
          <w:szCs w:val="27"/>
          <w:highlight w:val="cyan"/>
          <w:lang w:eastAsia="en-GB"/>
        </w:rPr>
        <w:t>, </w:t>
      </w:r>
      <w:r w:rsidRPr="004C3442">
        <w:rPr>
          <w:rFonts w:ascii="Georgia" w:eastAsia="Times New Roman" w:hAnsi="Georgia" w:cs="Arial"/>
          <w:color w:val="007BFF"/>
          <w:spacing w:val="3"/>
          <w:sz w:val="27"/>
          <w:szCs w:val="27"/>
          <w:highlight w:val="cyan"/>
          <w:u w:val="single"/>
          <w:lang w:eastAsia="en-GB"/>
        </w:rPr>
        <w:t>183 Cal. Rptr. 156</w:t>
      </w:r>
      <w:r w:rsidRPr="004C3442">
        <w:rPr>
          <w:rFonts w:ascii="Georgia" w:eastAsia="Times New Roman" w:hAnsi="Georgia" w:cs="Arial"/>
          <w:color w:val="2F2F2F"/>
          <w:spacing w:val="3"/>
          <w:sz w:val="27"/>
          <w:szCs w:val="27"/>
          <w:highlight w:val="cyan"/>
          <w:lang w:eastAsia="en-GB"/>
        </w:rPr>
        <w:t> (1982); </w:t>
      </w:r>
      <w:r w:rsidRPr="004C3442">
        <w:rPr>
          <w:rFonts w:ascii="Georgia" w:eastAsia="Times New Roman" w:hAnsi="Georgia" w:cs="Arial"/>
          <w:i/>
          <w:iCs/>
          <w:color w:val="2F2F2F"/>
          <w:spacing w:val="3"/>
          <w:sz w:val="27"/>
          <w:szCs w:val="27"/>
          <w:highlight w:val="cyan"/>
          <w:lang w:eastAsia="en-GB"/>
        </w:rPr>
        <w:t>Insigna v. LaBella, </w:t>
      </w:r>
      <w:hyperlink r:id="rId42" w:history="1">
        <w:r w:rsidRPr="004C3442">
          <w:rPr>
            <w:rFonts w:ascii="Georgia" w:eastAsia="Times New Roman" w:hAnsi="Georgia" w:cs="Arial"/>
            <w:color w:val="007BFF"/>
            <w:spacing w:val="3"/>
            <w:sz w:val="27"/>
            <w:szCs w:val="27"/>
            <w:highlight w:val="cyan"/>
            <w:u w:val="single"/>
            <w:lang w:eastAsia="en-GB"/>
          </w:rPr>
          <w:t>543 So. 2d 209</w:t>
        </w:r>
      </w:hyperlink>
      <w:r w:rsidRPr="004C3442">
        <w:rPr>
          <w:rFonts w:ascii="Georgia" w:eastAsia="Times New Roman" w:hAnsi="Georgia" w:cs="Arial"/>
          <w:color w:val="2F2F2F"/>
          <w:spacing w:val="3"/>
          <w:sz w:val="27"/>
          <w:szCs w:val="27"/>
          <w:highlight w:val="cyan"/>
          <w:lang w:eastAsia="en-GB"/>
        </w:rPr>
        <w:t> (Fla. 1989); </w:t>
      </w:r>
      <w:r w:rsidRPr="004C3442">
        <w:rPr>
          <w:rFonts w:ascii="Georgia" w:eastAsia="Times New Roman" w:hAnsi="Georgia" w:cs="Arial"/>
          <w:i/>
          <w:iCs/>
          <w:color w:val="2F2F2F"/>
          <w:spacing w:val="3"/>
          <w:sz w:val="27"/>
          <w:szCs w:val="27"/>
          <w:highlight w:val="cyan"/>
          <w:lang w:eastAsia="en-GB"/>
        </w:rPr>
        <w:t>Oehler v. Humana, Inc., </w:t>
      </w:r>
      <w:r w:rsidRPr="004C3442">
        <w:rPr>
          <w:rFonts w:ascii="Georgia" w:eastAsia="Times New Roman" w:hAnsi="Georgia" w:cs="Arial"/>
          <w:color w:val="007BFF"/>
          <w:spacing w:val="3"/>
          <w:sz w:val="27"/>
          <w:szCs w:val="27"/>
          <w:highlight w:val="cyan"/>
          <w:u w:val="single"/>
          <w:lang w:eastAsia="en-GB"/>
        </w:rPr>
        <w:t>105 Nev. 348</w:t>
      </w:r>
      <w:r w:rsidRPr="004C3442">
        <w:rPr>
          <w:rFonts w:ascii="Georgia" w:eastAsia="Times New Roman" w:hAnsi="Georgia" w:cs="Arial"/>
          <w:color w:val="2F2F2F"/>
          <w:spacing w:val="3"/>
          <w:sz w:val="27"/>
          <w:szCs w:val="27"/>
          <w:highlight w:val="cyan"/>
          <w:lang w:eastAsia="en-GB"/>
        </w:rPr>
        <w:t>, </w:t>
      </w:r>
      <w:hyperlink r:id="rId43" w:history="1">
        <w:r w:rsidRPr="004C3442">
          <w:rPr>
            <w:rFonts w:ascii="Georgia" w:eastAsia="Times New Roman" w:hAnsi="Georgia" w:cs="Arial"/>
            <w:color w:val="007BFF"/>
            <w:spacing w:val="3"/>
            <w:sz w:val="27"/>
            <w:szCs w:val="27"/>
            <w:highlight w:val="cyan"/>
            <w:u w:val="single"/>
            <w:lang w:eastAsia="en-GB"/>
          </w:rPr>
          <w:t>775 P.2d 1271</w:t>
        </w:r>
      </w:hyperlink>
      <w:r w:rsidRPr="004C3442">
        <w:rPr>
          <w:rFonts w:ascii="Georgia" w:eastAsia="Times New Roman" w:hAnsi="Georgia" w:cs="Arial"/>
          <w:color w:val="2F2F2F"/>
          <w:spacing w:val="3"/>
          <w:sz w:val="27"/>
          <w:szCs w:val="27"/>
          <w:highlight w:val="cyan"/>
          <w:lang w:eastAsia="en-GB"/>
        </w:rPr>
        <w:t> (1989); </w:t>
      </w:r>
      <w:r w:rsidRPr="004C3442">
        <w:rPr>
          <w:rFonts w:ascii="Georgia" w:eastAsia="Times New Roman" w:hAnsi="Georgia" w:cs="Arial"/>
          <w:i/>
          <w:iCs/>
          <w:color w:val="2F2F2F"/>
          <w:spacing w:val="3"/>
          <w:sz w:val="27"/>
          <w:szCs w:val="27"/>
          <w:highlight w:val="cyan"/>
          <w:lang w:eastAsia="en-GB"/>
        </w:rPr>
        <w:t>Bost v. Riley, </w:t>
      </w:r>
      <w:r w:rsidRPr="004C3442">
        <w:rPr>
          <w:rFonts w:ascii="Georgia" w:eastAsia="Times New Roman" w:hAnsi="Georgia" w:cs="Arial"/>
          <w:color w:val="007BFF"/>
          <w:spacing w:val="3"/>
          <w:sz w:val="27"/>
          <w:szCs w:val="27"/>
          <w:highlight w:val="cyan"/>
          <w:u w:val="single"/>
          <w:lang w:eastAsia="en-GB"/>
        </w:rPr>
        <w:t>44 N.C. App. 638</w:t>
      </w:r>
      <w:r w:rsidRPr="004C3442">
        <w:rPr>
          <w:rFonts w:ascii="Georgia" w:eastAsia="Times New Roman" w:hAnsi="Georgia" w:cs="Arial"/>
          <w:color w:val="2F2F2F"/>
          <w:spacing w:val="3"/>
          <w:sz w:val="27"/>
          <w:szCs w:val="27"/>
          <w:highlight w:val="cyan"/>
          <w:lang w:eastAsia="en-GB"/>
        </w:rPr>
        <w:t>, </w:t>
      </w:r>
      <w:hyperlink r:id="rId44" w:history="1">
        <w:r w:rsidRPr="004C3442">
          <w:rPr>
            <w:rFonts w:ascii="Georgia" w:eastAsia="Times New Roman" w:hAnsi="Georgia" w:cs="Arial"/>
            <w:color w:val="007BFF"/>
            <w:spacing w:val="3"/>
            <w:sz w:val="27"/>
            <w:szCs w:val="27"/>
            <w:highlight w:val="cyan"/>
            <w:u w:val="single"/>
            <w:lang w:eastAsia="en-GB"/>
          </w:rPr>
          <w:t>262 S.E.2d 391</w:t>
        </w:r>
      </w:hyperlink>
      <w:r w:rsidRPr="004C3442">
        <w:rPr>
          <w:rFonts w:ascii="Georgia" w:eastAsia="Times New Roman" w:hAnsi="Georgia" w:cs="Arial"/>
          <w:color w:val="2F2F2F"/>
          <w:spacing w:val="3"/>
          <w:sz w:val="27"/>
          <w:szCs w:val="27"/>
          <w:highlight w:val="cyan"/>
          <w:lang w:eastAsia="en-GB"/>
        </w:rPr>
        <w:t> (1980); </w:t>
      </w:r>
      <w:r w:rsidRPr="004C3442">
        <w:rPr>
          <w:rFonts w:ascii="Georgia" w:eastAsia="Times New Roman" w:hAnsi="Georgia" w:cs="Arial"/>
          <w:i/>
          <w:iCs/>
          <w:color w:val="2F2F2F"/>
          <w:spacing w:val="3"/>
          <w:sz w:val="27"/>
          <w:szCs w:val="27"/>
          <w:highlight w:val="cyan"/>
          <w:lang w:eastAsia="en-GB"/>
        </w:rPr>
        <w:t>Strubhart v. Perry Memorial Hospital Trust Authority, </w:t>
      </w:r>
      <w:r w:rsidRPr="004C3442">
        <w:rPr>
          <w:rFonts w:ascii="Georgia" w:eastAsia="Times New Roman" w:hAnsi="Georgia" w:cs="Arial"/>
          <w:color w:val="007BFF"/>
          <w:spacing w:val="3"/>
          <w:sz w:val="27"/>
          <w:szCs w:val="27"/>
          <w:highlight w:val="cyan"/>
          <w:u w:val="single"/>
          <w:lang w:eastAsia="en-GB"/>
        </w:rPr>
        <w:t>903 P.2d 263</w:t>
      </w:r>
      <w:r w:rsidRPr="004C3442">
        <w:rPr>
          <w:rFonts w:ascii="Georgia" w:eastAsia="Times New Roman" w:hAnsi="Georgia" w:cs="Arial"/>
          <w:color w:val="2F2F2F"/>
          <w:spacing w:val="3"/>
          <w:sz w:val="27"/>
          <w:szCs w:val="27"/>
          <w:highlight w:val="cyan"/>
          <w:lang w:eastAsia="en-GB"/>
        </w:rPr>
        <w:t> (Okla. 1995); </w:t>
      </w:r>
      <w:r w:rsidRPr="004C3442">
        <w:rPr>
          <w:rFonts w:ascii="Georgia" w:eastAsia="Times New Roman" w:hAnsi="Georgia" w:cs="Arial"/>
          <w:i/>
          <w:iCs/>
          <w:color w:val="2F2F2F"/>
          <w:spacing w:val="3"/>
          <w:sz w:val="27"/>
          <w:szCs w:val="27"/>
          <w:highlight w:val="cyan"/>
          <w:lang w:eastAsia="en-GB"/>
        </w:rPr>
        <w:t>Thompson v. Nason Hospital, </w:t>
      </w:r>
      <w:hyperlink r:id="rId45" w:history="1">
        <w:r w:rsidRPr="004C3442">
          <w:rPr>
            <w:rFonts w:ascii="Georgia" w:eastAsia="Times New Roman" w:hAnsi="Georgia" w:cs="Arial"/>
            <w:color w:val="007BFF"/>
            <w:spacing w:val="3"/>
            <w:sz w:val="27"/>
            <w:szCs w:val="27"/>
            <w:highlight w:val="cyan"/>
            <w:u w:val="single"/>
            <w:lang w:eastAsia="en-GB"/>
          </w:rPr>
          <w:t>527 Pa. 330</w:t>
        </w:r>
      </w:hyperlink>
      <w:r w:rsidRPr="004C3442">
        <w:rPr>
          <w:rFonts w:ascii="Georgia" w:eastAsia="Times New Roman" w:hAnsi="Georgia" w:cs="Arial"/>
          <w:color w:val="2F2F2F"/>
          <w:spacing w:val="3"/>
          <w:sz w:val="27"/>
          <w:szCs w:val="27"/>
          <w:highlight w:val="cyan"/>
          <w:lang w:eastAsia="en-GB"/>
        </w:rPr>
        <w:t>, </w:t>
      </w:r>
      <w:r w:rsidRPr="004C3442">
        <w:rPr>
          <w:rFonts w:ascii="Georgia" w:eastAsia="Times New Roman" w:hAnsi="Georgia" w:cs="Arial"/>
          <w:color w:val="007BFF"/>
          <w:spacing w:val="3"/>
          <w:sz w:val="27"/>
          <w:szCs w:val="27"/>
          <w:highlight w:val="cyan"/>
          <w:u w:val="single"/>
          <w:lang w:eastAsia="en-GB"/>
        </w:rPr>
        <w:t>591 A.2d 703</w:t>
      </w:r>
      <w:r w:rsidRPr="004C3442">
        <w:rPr>
          <w:rFonts w:ascii="Georgia" w:eastAsia="Times New Roman" w:hAnsi="Georgia" w:cs="Arial"/>
          <w:color w:val="2F2F2F"/>
          <w:spacing w:val="3"/>
          <w:sz w:val="27"/>
          <w:szCs w:val="27"/>
          <w:highlight w:val="cyan"/>
          <w:lang w:eastAsia="en-GB"/>
        </w:rPr>
        <w:t> (1991); </w:t>
      </w:r>
      <w:r w:rsidRPr="004C3442">
        <w:rPr>
          <w:rFonts w:ascii="Georgia" w:eastAsia="Times New Roman" w:hAnsi="Georgia" w:cs="Arial"/>
          <w:i/>
          <w:iCs/>
          <w:color w:val="2F2F2F"/>
          <w:spacing w:val="3"/>
          <w:sz w:val="27"/>
          <w:szCs w:val="27"/>
          <w:highlight w:val="cyan"/>
          <w:lang w:eastAsia="en-GB"/>
        </w:rPr>
        <w:t>Rodrigues v. Miriam Hospital, </w:t>
      </w:r>
      <w:hyperlink r:id="rId46" w:history="1">
        <w:r w:rsidRPr="004C3442">
          <w:rPr>
            <w:rFonts w:ascii="Georgia" w:eastAsia="Times New Roman" w:hAnsi="Georgia" w:cs="Arial"/>
            <w:color w:val="007BFF"/>
            <w:spacing w:val="3"/>
            <w:sz w:val="27"/>
            <w:szCs w:val="27"/>
            <w:highlight w:val="cyan"/>
            <w:u w:val="single"/>
            <w:lang w:eastAsia="en-GB"/>
          </w:rPr>
          <w:t>623 A.2d 456</w:t>
        </w:r>
      </w:hyperlink>
      <w:r w:rsidRPr="004C3442">
        <w:rPr>
          <w:rFonts w:ascii="Georgia" w:eastAsia="Times New Roman" w:hAnsi="Georgia" w:cs="Arial"/>
          <w:color w:val="2F2F2F"/>
          <w:spacing w:val="3"/>
          <w:sz w:val="27"/>
          <w:szCs w:val="27"/>
          <w:highlight w:val="cyan"/>
          <w:lang w:eastAsia="en-GB"/>
        </w:rPr>
        <w:t> (R.I. 1993); </w:t>
      </w:r>
      <w:r w:rsidRPr="004C3442">
        <w:rPr>
          <w:rFonts w:ascii="Georgia" w:eastAsia="Times New Roman" w:hAnsi="Georgia" w:cs="Arial"/>
          <w:i/>
          <w:iCs/>
          <w:color w:val="2F2F2F"/>
          <w:spacing w:val="3"/>
          <w:sz w:val="27"/>
          <w:szCs w:val="27"/>
          <w:highlight w:val="cyan"/>
          <w:lang w:eastAsia="en-GB"/>
        </w:rPr>
        <w:t>Pedroza v. Bryant, </w:t>
      </w:r>
      <w:r w:rsidRPr="004C3442">
        <w:rPr>
          <w:rFonts w:ascii="Georgia" w:eastAsia="Times New Roman" w:hAnsi="Georgia" w:cs="Arial"/>
          <w:color w:val="007BFF"/>
          <w:spacing w:val="3"/>
          <w:sz w:val="27"/>
          <w:szCs w:val="27"/>
          <w:highlight w:val="cyan"/>
          <w:u w:val="single"/>
          <w:lang w:eastAsia="en-GB"/>
        </w:rPr>
        <w:t>101 Wash. 2d 226</w:t>
      </w:r>
      <w:r w:rsidRPr="004C3442">
        <w:rPr>
          <w:rFonts w:ascii="Georgia" w:eastAsia="Times New Roman" w:hAnsi="Georgia" w:cs="Arial"/>
          <w:color w:val="2F2F2F"/>
          <w:spacing w:val="3"/>
          <w:sz w:val="27"/>
          <w:szCs w:val="27"/>
          <w:highlight w:val="cyan"/>
          <w:lang w:eastAsia="en-GB"/>
        </w:rPr>
        <w:t>, </w:t>
      </w:r>
      <w:hyperlink r:id="rId47" w:history="1">
        <w:r w:rsidRPr="004C3442">
          <w:rPr>
            <w:rFonts w:ascii="Georgia" w:eastAsia="Times New Roman" w:hAnsi="Georgia" w:cs="Arial"/>
            <w:color w:val="007BFF"/>
            <w:spacing w:val="3"/>
            <w:sz w:val="27"/>
            <w:szCs w:val="27"/>
            <w:highlight w:val="cyan"/>
            <w:u w:val="single"/>
            <w:lang w:eastAsia="en-GB"/>
          </w:rPr>
          <w:t>677 P.2d 166</w:t>
        </w:r>
      </w:hyperlink>
      <w:r w:rsidRPr="004C3442">
        <w:rPr>
          <w:rFonts w:ascii="Georgia" w:eastAsia="Times New Roman" w:hAnsi="Georgia" w:cs="Arial"/>
          <w:color w:val="2F2F2F"/>
          <w:spacing w:val="3"/>
          <w:sz w:val="27"/>
          <w:szCs w:val="27"/>
          <w:highlight w:val="cyan"/>
          <w:lang w:eastAsia="en-GB"/>
        </w:rPr>
        <w:t> (1984); </w:t>
      </w:r>
      <w:r w:rsidRPr="004C3442">
        <w:rPr>
          <w:rFonts w:ascii="Georgia" w:eastAsia="Times New Roman" w:hAnsi="Georgia" w:cs="Arial"/>
          <w:i/>
          <w:iCs/>
          <w:color w:val="2F2F2F"/>
          <w:spacing w:val="3"/>
          <w:sz w:val="27"/>
          <w:szCs w:val="27"/>
          <w:highlight w:val="cyan"/>
          <w:lang w:eastAsia="en-GB"/>
        </w:rPr>
        <w:t>Johnson v. Misericordia Community Hospital, </w:t>
      </w:r>
      <w:r w:rsidRPr="004C3442">
        <w:rPr>
          <w:rFonts w:ascii="Georgia" w:eastAsia="Times New Roman" w:hAnsi="Georgia" w:cs="Arial"/>
          <w:color w:val="007BFF"/>
          <w:spacing w:val="3"/>
          <w:sz w:val="27"/>
          <w:szCs w:val="27"/>
          <w:highlight w:val="cyan"/>
          <w:u w:val="single"/>
          <w:lang w:eastAsia="en-GB"/>
        </w:rPr>
        <w:t>99 Wis. 2d 708</w:t>
      </w:r>
      <w:r w:rsidRPr="004C3442">
        <w:rPr>
          <w:rFonts w:ascii="Georgia" w:eastAsia="Times New Roman" w:hAnsi="Georgia" w:cs="Arial"/>
          <w:color w:val="2F2F2F"/>
          <w:spacing w:val="3"/>
          <w:sz w:val="27"/>
          <w:szCs w:val="27"/>
          <w:highlight w:val="cyan"/>
          <w:lang w:eastAsia="en-GB"/>
        </w:rPr>
        <w:t>, </w:t>
      </w:r>
      <w:hyperlink r:id="rId48" w:history="1">
        <w:r w:rsidRPr="004C3442">
          <w:rPr>
            <w:rFonts w:ascii="Georgia" w:eastAsia="Times New Roman" w:hAnsi="Georgia" w:cs="Arial"/>
            <w:color w:val="007BFF"/>
            <w:spacing w:val="3"/>
            <w:sz w:val="27"/>
            <w:szCs w:val="27"/>
            <w:highlight w:val="cyan"/>
            <w:u w:val="single"/>
            <w:lang w:eastAsia="en-GB"/>
          </w:rPr>
          <w:t>301 N.W.2d 156</w:t>
        </w:r>
      </w:hyperlink>
      <w:r w:rsidRPr="004C3442">
        <w:rPr>
          <w:rFonts w:ascii="Georgia" w:eastAsia="Times New Roman" w:hAnsi="Georgia" w:cs="Arial"/>
          <w:color w:val="2F2F2F"/>
          <w:spacing w:val="3"/>
          <w:sz w:val="27"/>
          <w:szCs w:val="27"/>
          <w:highlight w:val="cyan"/>
          <w:lang w:eastAsia="en-GB"/>
        </w:rPr>
        <w:t> (1981).</w:t>
      </w:r>
    </w:p>
    <w:p w14:paraId="794C0AFA" w14:textId="2D5C75F4"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A hospital’s duty to review and supervise treatment is administrative or managerial in nature. </w:t>
      </w:r>
      <w:r w:rsidRPr="004C3442">
        <w:rPr>
          <w:rFonts w:ascii="Georgia" w:eastAsia="Times New Roman" w:hAnsi="Georgia" w:cs="Arial"/>
          <w:i/>
          <w:iCs/>
          <w:color w:val="2F2F2F"/>
          <w:spacing w:val="3"/>
          <w:sz w:val="27"/>
          <w:szCs w:val="27"/>
          <w:highlight w:val="cyan"/>
          <w:lang w:eastAsia="en-GB"/>
        </w:rPr>
        <w:t>Advincula v. United Blood Services, </w:t>
      </w:r>
      <w:r w:rsidRPr="004C3442">
        <w:rPr>
          <w:rFonts w:ascii="Georgia" w:eastAsia="Times New Roman" w:hAnsi="Georgia" w:cs="Arial"/>
          <w:color w:val="007BFF"/>
          <w:spacing w:val="3"/>
          <w:sz w:val="27"/>
          <w:szCs w:val="27"/>
          <w:highlight w:val="cyan"/>
          <w:u w:val="single"/>
          <w:lang w:eastAsia="en-GB"/>
        </w:rPr>
        <w:t>176 Ill. 2d 1</w:t>
      </w:r>
      <w:r w:rsidRPr="004C3442">
        <w:rPr>
          <w:rFonts w:ascii="Georgia" w:eastAsia="Times New Roman" w:hAnsi="Georgia" w:cs="Arial"/>
          <w:color w:val="2F2F2F"/>
          <w:spacing w:val="3"/>
          <w:sz w:val="27"/>
          <w:szCs w:val="27"/>
          <w:highlight w:val="cyan"/>
          <w:lang w:eastAsia="en-GB"/>
        </w:rPr>
        <w:t>, 28, </w:t>
      </w:r>
      <w:hyperlink r:id="rId49" w:history="1">
        <w:r w:rsidRPr="004C3442">
          <w:rPr>
            <w:rFonts w:ascii="Georgia" w:eastAsia="Times New Roman" w:hAnsi="Georgia" w:cs="Arial"/>
            <w:color w:val="007BFF"/>
            <w:spacing w:val="3"/>
            <w:sz w:val="27"/>
            <w:szCs w:val="27"/>
            <w:highlight w:val="cyan"/>
            <w:u w:val="single"/>
            <w:lang w:eastAsia="en-GB"/>
          </w:rPr>
          <w:t>678 N.E.2d 1009</w:t>
        </w:r>
      </w:hyperlink>
      <w:r w:rsidRPr="004C3442">
        <w:rPr>
          <w:rFonts w:ascii="Georgia" w:eastAsia="Times New Roman" w:hAnsi="Georgia" w:cs="Arial"/>
          <w:color w:val="2F2F2F"/>
          <w:spacing w:val="3"/>
          <w:sz w:val="27"/>
          <w:szCs w:val="27"/>
          <w:highlight w:val="cyan"/>
          <w:lang w:eastAsia="en-GB"/>
        </w:rPr>
        <w:t> (1996).</w:t>
      </w:r>
      <w:r w:rsidRPr="002D75AE">
        <w:rPr>
          <w:rFonts w:ascii="Georgia" w:eastAsia="Times New Roman" w:hAnsi="Georgia" w:cs="Arial"/>
          <w:color w:val="2F2F2F"/>
          <w:spacing w:val="3"/>
          <w:sz w:val="27"/>
          <w:szCs w:val="27"/>
          <w:lang w:eastAsia="en-GB"/>
        </w:rPr>
        <w:t xml:space="preserve"> For example, a hospital has a duty to know the qualifications of the physicians who practice on its premises </w:t>
      </w:r>
      <w:r w:rsidRPr="002D75AE">
        <w:rPr>
          <w:rFonts w:ascii="Georgia" w:eastAsia="Times New Roman" w:hAnsi="Georgia" w:cs="Arial"/>
          <w:i/>
          <w:iCs/>
          <w:color w:val="2F2F2F"/>
          <w:spacing w:val="3"/>
          <w:sz w:val="27"/>
          <w:szCs w:val="27"/>
          <w:lang w:eastAsia="en-GB"/>
        </w:rPr>
        <w:t>(</w:t>
      </w:r>
      <w:r w:rsidRPr="004C3442">
        <w:rPr>
          <w:rFonts w:ascii="Georgia" w:eastAsia="Times New Roman" w:hAnsi="Georgia" w:cs="Arial"/>
          <w:i/>
          <w:iCs/>
          <w:color w:val="2F2F2F"/>
          <w:spacing w:val="3"/>
          <w:sz w:val="27"/>
          <w:szCs w:val="27"/>
          <w:highlight w:val="cyan"/>
          <w:lang w:eastAsia="en-GB"/>
        </w:rPr>
        <w:t>Reynolds, </w:t>
      </w:r>
      <w:r w:rsidRPr="004C3442">
        <w:rPr>
          <w:rFonts w:ascii="Georgia" w:eastAsia="Times New Roman" w:hAnsi="Georgia" w:cs="Arial"/>
          <w:color w:val="007BFF"/>
          <w:spacing w:val="3"/>
          <w:sz w:val="27"/>
          <w:szCs w:val="27"/>
          <w:highlight w:val="cyan"/>
          <w:u w:val="single"/>
          <w:lang w:eastAsia="en-GB"/>
        </w:rPr>
        <w:t>168 Ill. App. 3d at 578</w:t>
      </w:r>
      <w:r w:rsidRPr="002D75AE">
        <w:rPr>
          <w:rFonts w:ascii="Georgia" w:eastAsia="Times New Roman" w:hAnsi="Georgia" w:cs="Arial"/>
          <w:color w:val="2F2F2F"/>
          <w:spacing w:val="3"/>
          <w:sz w:val="27"/>
          <w:szCs w:val="27"/>
          <w:lang w:eastAsia="en-GB"/>
        </w:rPr>
        <w:t>), and to use reasonable care in maintaining medical records </w:t>
      </w:r>
      <w:r w:rsidRPr="002D75AE">
        <w:rPr>
          <w:rFonts w:ascii="Georgia" w:eastAsia="Times New Roman" w:hAnsi="Georgia" w:cs="Arial"/>
          <w:i/>
          <w:iCs/>
          <w:color w:val="2F2F2F"/>
          <w:spacing w:val="3"/>
          <w:sz w:val="27"/>
          <w:szCs w:val="27"/>
          <w:lang w:eastAsia="en-GB"/>
        </w:rPr>
        <w:t>(</w:t>
      </w:r>
      <w:r w:rsidRPr="004C3442">
        <w:rPr>
          <w:rFonts w:ascii="Georgia" w:eastAsia="Times New Roman" w:hAnsi="Georgia" w:cs="Arial"/>
          <w:i/>
          <w:iCs/>
          <w:color w:val="2F2F2F"/>
          <w:spacing w:val="3"/>
          <w:sz w:val="27"/>
          <w:szCs w:val="27"/>
          <w:highlight w:val="cyan"/>
          <w:lang w:eastAsia="en-GB"/>
        </w:rPr>
        <w:t>Fox v. Cohen, </w:t>
      </w:r>
      <w:hyperlink r:id="rId50" w:anchor="p750" w:history="1">
        <w:r w:rsidRPr="004C3442">
          <w:rPr>
            <w:rFonts w:ascii="Georgia" w:eastAsia="Times New Roman" w:hAnsi="Georgia" w:cs="Arial"/>
            <w:color w:val="007BFF"/>
            <w:spacing w:val="3"/>
            <w:sz w:val="27"/>
            <w:szCs w:val="27"/>
            <w:highlight w:val="cyan"/>
            <w:u w:val="single"/>
            <w:lang w:eastAsia="en-GB"/>
          </w:rPr>
          <w:t>84 Ill. App. 3d 744</w:t>
        </w:r>
      </w:hyperlink>
      <w:r w:rsidRPr="004C3442">
        <w:rPr>
          <w:rFonts w:ascii="Georgia" w:eastAsia="Times New Roman" w:hAnsi="Georgia" w:cs="Arial"/>
          <w:color w:val="2F2F2F"/>
          <w:spacing w:val="3"/>
          <w:sz w:val="27"/>
          <w:szCs w:val="27"/>
          <w:highlight w:val="cyan"/>
          <w:lang w:eastAsia="en-GB"/>
        </w:rPr>
        <w:t>, 750, </w:t>
      </w:r>
      <w:r w:rsidRPr="004C3442">
        <w:rPr>
          <w:rFonts w:ascii="Georgia" w:eastAsia="Times New Roman" w:hAnsi="Georgia" w:cs="Arial"/>
          <w:color w:val="007BFF"/>
          <w:spacing w:val="3"/>
          <w:sz w:val="27"/>
          <w:szCs w:val="27"/>
          <w:highlight w:val="cyan"/>
          <w:u w:val="single"/>
          <w:lang w:eastAsia="en-GB"/>
        </w:rPr>
        <w:t>406 N.E.2d 178</w:t>
      </w:r>
      <w:r w:rsidRPr="004C3442">
        <w:rPr>
          <w:rFonts w:ascii="Georgia" w:eastAsia="Times New Roman" w:hAnsi="Georgia" w:cs="Arial"/>
          <w:color w:val="2F2F2F"/>
          <w:spacing w:val="3"/>
          <w:sz w:val="27"/>
          <w:szCs w:val="27"/>
          <w:highlight w:val="cyan"/>
          <w:lang w:eastAsia="en-GB"/>
        </w:rPr>
        <w:t> (1980)</w:t>
      </w:r>
      <w:r w:rsidRPr="002D75AE">
        <w:rPr>
          <w:rFonts w:ascii="Georgia" w:eastAsia="Times New Roman" w:hAnsi="Georgia" w:cs="Arial"/>
          <w:color w:val="2F2F2F"/>
          <w:spacing w:val="3"/>
          <w:sz w:val="27"/>
          <w:szCs w:val="27"/>
          <w:lang w:eastAsia="en-GB"/>
        </w:rPr>
        <w:t>). A duty has also been found where, contrary to the hospital’s own bylaws, it failed to use reasonable ef</w:t>
      </w:r>
      <w:hyperlink r:id="rId51" w:anchor="p730" w:history="1">
        <w:r w:rsidRPr="002D75AE">
          <w:rPr>
            <w:rFonts w:ascii="Georgia" w:eastAsia="Times New Roman" w:hAnsi="Georgia" w:cs="Arial"/>
            <w:i/>
            <w:iCs/>
            <w:color w:val="979797"/>
            <w:spacing w:val="3"/>
            <w:u w:val="single"/>
            <w:lang w:eastAsia="en-GB"/>
          </w:rPr>
          <w:t>*730</w:t>
        </w:r>
      </w:hyperlink>
      <w:r w:rsidRPr="002D75AE">
        <w:rPr>
          <w:rFonts w:ascii="Georgia" w:eastAsia="Times New Roman" w:hAnsi="Georgia" w:cs="Arial"/>
          <w:color w:val="2F2F2F"/>
          <w:spacing w:val="3"/>
          <w:sz w:val="27"/>
          <w:szCs w:val="27"/>
          <w:lang w:eastAsia="en-GB"/>
        </w:rPr>
        <w:t>forts to assist physicians on its staff in obtaining consultations from other staff physicians. </w:t>
      </w:r>
      <w:r w:rsidRPr="004C3442">
        <w:rPr>
          <w:rFonts w:ascii="Georgia" w:eastAsia="Times New Roman" w:hAnsi="Georgia" w:cs="Arial"/>
          <w:i/>
          <w:iCs/>
          <w:color w:val="2F2F2F"/>
          <w:spacing w:val="3"/>
          <w:sz w:val="27"/>
          <w:szCs w:val="27"/>
          <w:highlight w:val="cyan"/>
          <w:lang w:eastAsia="en-GB"/>
        </w:rPr>
        <w:t>Johnson v. St. Bernard Hospital, </w:t>
      </w:r>
      <w:r w:rsidRPr="004C3442">
        <w:rPr>
          <w:rFonts w:ascii="Georgia" w:eastAsia="Times New Roman" w:hAnsi="Georgia" w:cs="Arial"/>
          <w:color w:val="007BFF"/>
          <w:spacing w:val="3"/>
          <w:sz w:val="27"/>
          <w:szCs w:val="27"/>
          <w:highlight w:val="cyan"/>
          <w:u w:val="single"/>
          <w:lang w:eastAsia="en-GB"/>
        </w:rPr>
        <w:t>79 Ill. App. 3d 709</w:t>
      </w:r>
      <w:r w:rsidRPr="004C3442">
        <w:rPr>
          <w:rFonts w:ascii="Georgia" w:eastAsia="Times New Roman" w:hAnsi="Georgia" w:cs="Arial"/>
          <w:color w:val="2F2F2F"/>
          <w:spacing w:val="3"/>
          <w:sz w:val="27"/>
          <w:szCs w:val="27"/>
          <w:highlight w:val="cyan"/>
          <w:lang w:eastAsia="en-GB"/>
        </w:rPr>
        <w:t>, 718, </w:t>
      </w:r>
      <w:hyperlink r:id="rId52" w:history="1">
        <w:r w:rsidRPr="004C3442">
          <w:rPr>
            <w:rFonts w:ascii="Georgia" w:eastAsia="Times New Roman" w:hAnsi="Georgia" w:cs="Arial"/>
            <w:color w:val="007BFF"/>
            <w:spacing w:val="3"/>
            <w:sz w:val="27"/>
            <w:szCs w:val="27"/>
            <w:highlight w:val="cyan"/>
            <w:u w:val="single"/>
            <w:lang w:eastAsia="en-GB"/>
          </w:rPr>
          <w:t>399 N.E.2d 198</w:t>
        </w:r>
      </w:hyperlink>
      <w:r w:rsidRPr="004C3442">
        <w:rPr>
          <w:rFonts w:ascii="Georgia" w:eastAsia="Times New Roman" w:hAnsi="Georgia" w:cs="Arial"/>
          <w:color w:val="2F2F2F"/>
          <w:spacing w:val="3"/>
          <w:sz w:val="27"/>
          <w:szCs w:val="27"/>
          <w:highlight w:val="cyan"/>
          <w:lang w:eastAsia="en-GB"/>
        </w:rPr>
        <w:t> (1979).</w:t>
      </w:r>
    </w:p>
    <w:p w14:paraId="794C0AFB" w14:textId="3204125A"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C3442">
        <w:rPr>
          <w:rFonts w:ascii="Georgia" w:eastAsia="Times New Roman" w:hAnsi="Georgia" w:cs="Arial"/>
          <w:color w:val="2F2F2F"/>
          <w:spacing w:val="3"/>
          <w:sz w:val="27"/>
          <w:szCs w:val="27"/>
          <w:lang w:eastAsia="en-GB"/>
        </w:rPr>
        <w:t xml:space="preserve">Plaintiff alleges that Loyola, as the owner and operator of the outpatient center, a medical facility open to the public for the general practice of medicine and other health specialties, owed Malanowski a duty of ordinary care to properly supervise all physicians who were rendering medical care at the outpatient center. While it is true that </w:t>
      </w:r>
      <w:r w:rsidRPr="004C3442">
        <w:rPr>
          <w:rFonts w:ascii="Georgia" w:eastAsia="Times New Roman" w:hAnsi="Georgia" w:cs="Arial"/>
          <w:color w:val="2F2F2F"/>
          <w:spacing w:val="3"/>
          <w:sz w:val="27"/>
          <w:szCs w:val="27"/>
          <w:highlight w:val="yellow"/>
          <w:lang w:eastAsia="en-GB"/>
        </w:rPr>
        <w:t>Loyola owns the outpatient center and provides administrative management</w:t>
      </w:r>
      <w:r w:rsidRPr="004C3442">
        <w:rPr>
          <w:rFonts w:ascii="Georgia" w:eastAsia="Times New Roman" w:hAnsi="Georgia" w:cs="Arial"/>
          <w:color w:val="2F2F2F"/>
          <w:spacing w:val="3"/>
          <w:sz w:val="27"/>
          <w:szCs w:val="27"/>
          <w:lang w:eastAsia="en-GB"/>
        </w:rPr>
        <w:t xml:space="preserve">, </w:t>
      </w:r>
      <w:r w:rsidRPr="004C3442">
        <w:rPr>
          <w:rFonts w:ascii="Georgia" w:eastAsia="Times New Roman" w:hAnsi="Georgia" w:cs="Arial"/>
          <w:color w:val="2F2F2F"/>
          <w:spacing w:val="3"/>
          <w:sz w:val="27"/>
          <w:szCs w:val="27"/>
          <w:highlight w:val="yellow"/>
          <w:lang w:eastAsia="en-GB"/>
        </w:rPr>
        <w:t>Loyola provides no clinical management.</w:t>
      </w:r>
      <w:r w:rsidRPr="004C3442">
        <w:rPr>
          <w:rFonts w:ascii="Georgia" w:eastAsia="Times New Roman" w:hAnsi="Georgia" w:cs="Arial"/>
          <w:color w:val="2F2F2F"/>
          <w:spacing w:val="3"/>
          <w:sz w:val="27"/>
          <w:szCs w:val="27"/>
          <w:lang w:eastAsia="en-GB"/>
        </w:rPr>
        <w:t xml:space="preserve"> </w:t>
      </w:r>
      <w:r w:rsidRPr="004C3442">
        <w:rPr>
          <w:rFonts w:ascii="Georgia" w:eastAsia="Times New Roman" w:hAnsi="Georgia" w:cs="Arial"/>
          <w:color w:val="2F2F2F"/>
          <w:spacing w:val="3"/>
          <w:sz w:val="27"/>
          <w:szCs w:val="27"/>
          <w:highlight w:val="yellow"/>
          <w:lang w:eastAsia="en-GB"/>
        </w:rPr>
        <w:t>Loyola leases the medical office space to physicians for their private practices.</w:t>
      </w:r>
      <w:r w:rsidRPr="004C3442">
        <w:rPr>
          <w:rFonts w:ascii="Georgia" w:eastAsia="Times New Roman" w:hAnsi="Georgia" w:cs="Arial"/>
          <w:color w:val="2F2F2F"/>
          <w:spacing w:val="3"/>
          <w:sz w:val="27"/>
          <w:szCs w:val="27"/>
          <w:lang w:eastAsia="en-GB"/>
        </w:rPr>
        <w:t xml:space="preserve"> Significantly, we are aware of no Illinois case, and plaintiff cites to none, which has found an independent duty to supervise treatment under such circumstances. Further, at least one jurisdiction has declined to extend a hospital’s corporate negligence to supervision of a physician’s office practice.</w:t>
      </w:r>
      <w:r w:rsidRPr="002D75AE">
        <w:rPr>
          <w:rFonts w:ascii="Georgia" w:eastAsia="Times New Roman" w:hAnsi="Georgia" w:cs="Arial"/>
          <w:color w:val="2F2F2F"/>
          <w:spacing w:val="3"/>
          <w:sz w:val="27"/>
          <w:szCs w:val="27"/>
          <w:lang w:eastAsia="en-GB"/>
        </w:rPr>
        <w:t> </w:t>
      </w:r>
      <w:r w:rsidRPr="004C3442">
        <w:rPr>
          <w:rFonts w:ascii="Georgia" w:eastAsia="Times New Roman" w:hAnsi="Georgia" w:cs="Arial"/>
          <w:i/>
          <w:iCs/>
          <w:color w:val="2F2F2F"/>
          <w:spacing w:val="3"/>
          <w:sz w:val="27"/>
          <w:szCs w:val="27"/>
          <w:highlight w:val="cyan"/>
          <w:lang w:eastAsia="en-GB"/>
        </w:rPr>
        <w:t>Pedroza v. Bryant, </w:t>
      </w:r>
      <w:r w:rsidRPr="004C3442">
        <w:rPr>
          <w:rFonts w:ascii="Georgia" w:eastAsia="Times New Roman" w:hAnsi="Georgia" w:cs="Arial"/>
          <w:color w:val="007BFF"/>
          <w:spacing w:val="3"/>
          <w:sz w:val="27"/>
          <w:szCs w:val="27"/>
          <w:highlight w:val="cyan"/>
          <w:u w:val="single"/>
          <w:lang w:eastAsia="en-GB"/>
        </w:rPr>
        <w:t>101 Wash. 2d 226</w:t>
      </w:r>
      <w:r w:rsidRPr="004C3442">
        <w:rPr>
          <w:rFonts w:ascii="Georgia" w:eastAsia="Times New Roman" w:hAnsi="Georgia" w:cs="Arial"/>
          <w:color w:val="2F2F2F"/>
          <w:spacing w:val="3"/>
          <w:sz w:val="27"/>
          <w:szCs w:val="27"/>
          <w:highlight w:val="cyan"/>
          <w:lang w:eastAsia="en-GB"/>
        </w:rPr>
        <w:t>, </w:t>
      </w:r>
      <w:hyperlink r:id="rId53" w:history="1">
        <w:r w:rsidRPr="004C3442">
          <w:rPr>
            <w:rFonts w:ascii="Georgia" w:eastAsia="Times New Roman" w:hAnsi="Georgia" w:cs="Arial"/>
            <w:color w:val="007BFF"/>
            <w:spacing w:val="3"/>
            <w:sz w:val="27"/>
            <w:szCs w:val="27"/>
            <w:highlight w:val="cyan"/>
            <w:u w:val="single"/>
            <w:lang w:eastAsia="en-GB"/>
          </w:rPr>
          <w:t>677 P.2d 166</w:t>
        </w:r>
      </w:hyperlink>
      <w:r w:rsidRPr="004C3442">
        <w:rPr>
          <w:rFonts w:ascii="Georgia" w:eastAsia="Times New Roman" w:hAnsi="Georgia" w:cs="Arial"/>
          <w:color w:val="2F2F2F"/>
          <w:spacing w:val="3"/>
          <w:sz w:val="27"/>
          <w:szCs w:val="27"/>
          <w:highlight w:val="cyan"/>
          <w:lang w:eastAsia="en-GB"/>
        </w:rPr>
        <w:t>.</w:t>
      </w:r>
      <w:r w:rsidRPr="002D75AE">
        <w:rPr>
          <w:rFonts w:ascii="Georgia" w:eastAsia="Times New Roman" w:hAnsi="Georgia" w:cs="Arial"/>
          <w:color w:val="2F2F2F"/>
          <w:spacing w:val="3"/>
          <w:sz w:val="27"/>
          <w:szCs w:val="27"/>
          <w:lang w:eastAsia="en-GB"/>
        </w:rPr>
        <w:t xml:space="preserve"> See also </w:t>
      </w:r>
      <w:r w:rsidRPr="004C3442">
        <w:rPr>
          <w:rFonts w:ascii="Georgia" w:eastAsia="Times New Roman" w:hAnsi="Georgia" w:cs="Arial"/>
          <w:i/>
          <w:iCs/>
          <w:color w:val="2F2F2F"/>
          <w:spacing w:val="3"/>
          <w:sz w:val="27"/>
          <w:szCs w:val="27"/>
          <w:highlight w:val="cyan"/>
          <w:lang w:eastAsia="en-GB"/>
        </w:rPr>
        <w:t>Insinga v. LaBella, </w:t>
      </w:r>
      <w:r w:rsidRPr="004C3442">
        <w:rPr>
          <w:rFonts w:ascii="Georgia" w:eastAsia="Times New Roman" w:hAnsi="Georgia" w:cs="Arial"/>
          <w:color w:val="007BFF"/>
          <w:spacing w:val="3"/>
          <w:sz w:val="27"/>
          <w:szCs w:val="27"/>
          <w:highlight w:val="cyan"/>
          <w:u w:val="single"/>
          <w:lang w:eastAsia="en-GB"/>
        </w:rPr>
        <w:t>543 So. 2d 209</w:t>
      </w:r>
      <w:r w:rsidRPr="002D75AE">
        <w:rPr>
          <w:rFonts w:ascii="Georgia" w:eastAsia="Times New Roman" w:hAnsi="Georgia" w:cs="Arial"/>
          <w:color w:val="2F2F2F"/>
          <w:spacing w:val="3"/>
          <w:sz w:val="27"/>
          <w:szCs w:val="27"/>
          <w:lang w:eastAsia="en-GB"/>
        </w:rPr>
        <w:t> (adopting the hospital corporate negligence doctrine articulated in </w:t>
      </w:r>
      <w:r w:rsidRPr="004C3442">
        <w:rPr>
          <w:rFonts w:ascii="Georgia" w:eastAsia="Times New Roman" w:hAnsi="Georgia" w:cs="Arial"/>
          <w:i/>
          <w:iCs/>
          <w:color w:val="2F2F2F"/>
          <w:spacing w:val="3"/>
          <w:sz w:val="27"/>
          <w:szCs w:val="27"/>
          <w:highlight w:val="cyan"/>
          <w:lang w:eastAsia="en-GB"/>
        </w:rPr>
        <w:t>Pedroza</w:t>
      </w:r>
      <w:r w:rsidRPr="002D75AE">
        <w:rPr>
          <w:rFonts w:ascii="Georgia" w:eastAsia="Times New Roman" w:hAnsi="Georgia" w:cs="Arial"/>
          <w:i/>
          <w:iCs/>
          <w:color w:val="2F2F2F"/>
          <w:spacing w:val="3"/>
          <w:sz w:val="27"/>
          <w:szCs w:val="27"/>
          <w:lang w:eastAsia="en-GB"/>
        </w:rPr>
        <w:t xml:space="preserve">); </w:t>
      </w:r>
      <w:r w:rsidRPr="004C3442">
        <w:rPr>
          <w:rFonts w:ascii="Georgia" w:eastAsia="Times New Roman" w:hAnsi="Georgia" w:cs="Arial"/>
          <w:i/>
          <w:iCs/>
          <w:color w:val="2F2F2F"/>
          <w:spacing w:val="3"/>
          <w:sz w:val="27"/>
          <w:szCs w:val="27"/>
          <w:highlight w:val="cyan"/>
          <w:lang w:eastAsia="en-GB"/>
        </w:rPr>
        <w:t>Lopez v. Central Plains Regional Hospital, </w:t>
      </w:r>
      <w:hyperlink r:id="rId54" w:history="1">
        <w:r w:rsidRPr="004C3442">
          <w:rPr>
            <w:rFonts w:ascii="Georgia" w:eastAsia="Times New Roman" w:hAnsi="Georgia" w:cs="Arial"/>
            <w:color w:val="007BFF"/>
            <w:spacing w:val="3"/>
            <w:sz w:val="27"/>
            <w:szCs w:val="27"/>
            <w:highlight w:val="cyan"/>
            <w:u w:val="single"/>
            <w:lang w:eastAsia="en-GB"/>
          </w:rPr>
          <w:t>859 S.W.2d 600</w:t>
        </w:r>
      </w:hyperlink>
      <w:r w:rsidRPr="002D75AE">
        <w:rPr>
          <w:rFonts w:ascii="Georgia" w:eastAsia="Times New Roman" w:hAnsi="Georgia" w:cs="Arial"/>
          <w:color w:val="2F2F2F"/>
          <w:spacing w:val="3"/>
          <w:sz w:val="27"/>
          <w:szCs w:val="27"/>
          <w:lang w:eastAsia="en-GB"/>
        </w:rPr>
        <w:t> (Tex. Ct. App. 1993) (hospital, which purportedly was negligent in granting hospital privileges to obstetrician, not liable for physician’s private performance occurring outside of the hospital).</w:t>
      </w:r>
    </w:p>
    <w:p w14:paraId="794C0AFC"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C3442">
        <w:rPr>
          <w:rFonts w:ascii="Georgia" w:eastAsia="Times New Roman" w:hAnsi="Georgia" w:cs="Arial"/>
          <w:color w:val="2F2F2F"/>
          <w:spacing w:val="3"/>
          <w:sz w:val="27"/>
          <w:szCs w:val="27"/>
          <w:highlight w:val="green"/>
          <w:lang w:eastAsia="en-GB"/>
        </w:rPr>
        <w:t>While Loyola clearly owes the patients who see its private physicians at the outpatient center a duty to use reasonable care in the maintenance of the facilities and equipment, we decline to find a further duty to supervise the office practices of Dr. Jabamoni and the other independent physician contractors who lease space from Loyola at the outpatient center. Loyola’s role in Malanowski’s medical treatment was confined essentially to the furnishing of facilities, equipment, and support staff. This is an insufficient basis on which to expand Loyola’s potential tort liability in the manner plaintiff urges.</w:t>
      </w:r>
    </w:p>
    <w:p w14:paraId="794C0AFD"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CONCLUSION</w:t>
      </w:r>
    </w:p>
    <w:p w14:paraId="794C0AFE"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 xml:space="preserve">For the reasons set forth above, </w:t>
      </w:r>
      <w:r w:rsidRPr="004C3442">
        <w:rPr>
          <w:rFonts w:ascii="Georgia" w:eastAsia="Times New Roman" w:hAnsi="Georgia" w:cs="Arial"/>
          <w:color w:val="2F2F2F"/>
          <w:spacing w:val="3"/>
          <w:sz w:val="27"/>
          <w:szCs w:val="27"/>
          <w:highlight w:val="red"/>
          <w:lang w:eastAsia="en-GB"/>
        </w:rPr>
        <w:t>we affirm the trial court’s judgment as to counts</w:t>
      </w:r>
      <w:r w:rsidRPr="002D75AE">
        <w:rPr>
          <w:rFonts w:ascii="Georgia" w:eastAsia="Times New Roman" w:hAnsi="Georgia" w:cs="Arial"/>
          <w:color w:val="2F2F2F"/>
          <w:spacing w:val="3"/>
          <w:sz w:val="27"/>
          <w:szCs w:val="27"/>
          <w:lang w:eastAsia="en-GB"/>
        </w:rPr>
        <w:t xml:space="preserve"> II, </w:t>
      </w:r>
      <w:r w:rsidRPr="004C3442">
        <w:rPr>
          <w:rFonts w:ascii="Georgia" w:eastAsia="Times New Roman" w:hAnsi="Georgia" w:cs="Arial"/>
          <w:color w:val="2F2F2F"/>
          <w:spacing w:val="3"/>
          <w:sz w:val="27"/>
          <w:szCs w:val="27"/>
          <w:highlight w:val="red"/>
          <w:lang w:eastAsia="en-GB"/>
        </w:rPr>
        <w:t>III</w:t>
      </w:r>
      <w:r w:rsidRPr="002D75AE">
        <w:rPr>
          <w:rFonts w:ascii="Georgia" w:eastAsia="Times New Roman" w:hAnsi="Georgia" w:cs="Arial"/>
          <w:color w:val="2F2F2F"/>
          <w:spacing w:val="3"/>
          <w:sz w:val="27"/>
          <w:szCs w:val="27"/>
          <w:lang w:eastAsia="en-GB"/>
        </w:rPr>
        <w:t xml:space="preserve">, </w:t>
      </w:r>
      <w:r w:rsidRPr="004C3442">
        <w:rPr>
          <w:rFonts w:ascii="Georgia" w:eastAsia="Times New Roman" w:hAnsi="Georgia" w:cs="Arial"/>
          <w:color w:val="2F2F2F"/>
          <w:spacing w:val="3"/>
          <w:sz w:val="27"/>
          <w:szCs w:val="27"/>
          <w:lang w:eastAsia="en-GB"/>
        </w:rPr>
        <w:t xml:space="preserve">V, </w:t>
      </w:r>
      <w:r w:rsidRPr="004C3442">
        <w:rPr>
          <w:rFonts w:ascii="Georgia" w:eastAsia="Times New Roman" w:hAnsi="Georgia" w:cs="Arial"/>
          <w:color w:val="2F2F2F"/>
          <w:spacing w:val="3"/>
          <w:sz w:val="27"/>
          <w:szCs w:val="27"/>
          <w:highlight w:val="red"/>
          <w:lang w:eastAsia="en-GB"/>
        </w:rPr>
        <w:t>VI and VII</w:t>
      </w:r>
      <w:r w:rsidRPr="002D75AE">
        <w:rPr>
          <w:rFonts w:ascii="Georgia" w:eastAsia="Times New Roman" w:hAnsi="Georgia" w:cs="Arial"/>
          <w:color w:val="2F2F2F"/>
          <w:spacing w:val="3"/>
          <w:sz w:val="27"/>
          <w:szCs w:val="27"/>
          <w:lang w:eastAsia="en-GB"/>
        </w:rPr>
        <w:t>, reverse the judgment as to counts VIII and IX, and remand for further proceedings consistent with this ruling.</w:t>
      </w:r>
    </w:p>
    <w:p w14:paraId="794C0AFF"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C3442">
        <w:rPr>
          <w:rFonts w:ascii="Georgia" w:eastAsia="Times New Roman" w:hAnsi="Georgia" w:cs="Arial"/>
          <w:color w:val="2F2F2F"/>
          <w:spacing w:val="3"/>
          <w:sz w:val="27"/>
          <w:szCs w:val="27"/>
          <w:highlight w:val="red"/>
          <w:lang w:eastAsia="en-GB"/>
        </w:rPr>
        <w:t>Affirmed</w:t>
      </w:r>
      <w:r w:rsidRPr="002D75AE">
        <w:rPr>
          <w:rFonts w:ascii="Georgia" w:eastAsia="Times New Roman" w:hAnsi="Georgia" w:cs="Arial"/>
          <w:color w:val="2F2F2F"/>
          <w:spacing w:val="3"/>
          <w:sz w:val="27"/>
          <w:szCs w:val="27"/>
          <w:lang w:eastAsia="en-GB"/>
        </w:rPr>
        <w:t xml:space="preserve"> in part and reversed in part; cause remanded.</w:t>
      </w:r>
    </w:p>
    <w:p w14:paraId="794C0B00" w14:textId="77777777" w:rsidR="002D75AE" w:rsidRPr="002D75AE" w:rsidRDefault="002D75AE" w:rsidP="002D75A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HOFFMAN and SOUTH, JJ., concur.</w:t>
      </w:r>
    </w:p>
    <w:p w14:paraId="794C0B01" w14:textId="0DA87F56" w:rsidR="002D75AE" w:rsidRPr="002D75AE" w:rsidRDefault="002D75AE" w:rsidP="002D75AE">
      <w:pPr>
        <w:shd w:val="clear" w:color="auto" w:fill="FFFFFF"/>
        <w:spacing w:after="0" w:line="240" w:lineRule="auto"/>
        <w:rPr>
          <w:rFonts w:ascii="Arial" w:eastAsia="Times New Roman" w:hAnsi="Arial" w:cs="Arial"/>
          <w:color w:val="2F2F2F"/>
          <w:spacing w:val="3"/>
          <w:sz w:val="27"/>
          <w:szCs w:val="27"/>
          <w:lang w:eastAsia="en-GB"/>
        </w:rPr>
      </w:pPr>
      <w:r w:rsidRPr="002D75AE">
        <w:rPr>
          <w:rFonts w:ascii="Georgia" w:eastAsia="Times New Roman" w:hAnsi="Georgia" w:cs="Arial"/>
          <w:b/>
          <w:bCs/>
          <w:color w:val="E878FF"/>
          <w:spacing w:val="3"/>
          <w:sz w:val="27"/>
          <w:szCs w:val="27"/>
          <w:u w:val="single"/>
          <w:lang w:eastAsia="en-GB"/>
        </w:rPr>
        <w:t>1</w:t>
      </w:r>
    </w:p>
    <w:p w14:paraId="794C0B02" w14:textId="226FDADE" w:rsidR="002D75AE" w:rsidRPr="002D75AE" w:rsidRDefault="002D75AE" w:rsidP="002D75AE">
      <w:pPr>
        <w:shd w:val="clear" w:color="auto" w:fill="FFFFFF"/>
        <w:spacing w:after="120" w:line="240" w:lineRule="auto"/>
        <w:rPr>
          <w:rFonts w:ascii="Georgia" w:eastAsia="Times New Roman" w:hAnsi="Georgia" w:cs="Arial"/>
          <w:color w:val="2F2F2F"/>
          <w:spacing w:val="3"/>
          <w:sz w:val="27"/>
          <w:szCs w:val="27"/>
          <w:lang w:eastAsia="en-GB"/>
        </w:rPr>
      </w:pPr>
      <w:r w:rsidRPr="002D75AE">
        <w:rPr>
          <w:rFonts w:ascii="Georgia" w:eastAsia="Times New Roman" w:hAnsi="Georgia" w:cs="Arial"/>
          <w:color w:val="2F2F2F"/>
          <w:spacing w:val="3"/>
          <w:sz w:val="27"/>
          <w:szCs w:val="27"/>
          <w:lang w:eastAsia="en-GB"/>
        </w:rPr>
        <w:t>For causes of action filed on or after March 9, 1995, the requirements for claims based upon apparent agency in medical malpractice actions is governed by statute. 735 ILCS 5/2 — 624 (West 1996); </w:t>
      </w:r>
      <w:r w:rsidRPr="002D75AE">
        <w:rPr>
          <w:rFonts w:ascii="Georgia" w:eastAsia="Times New Roman" w:hAnsi="Georgia" w:cs="Arial"/>
          <w:i/>
          <w:iCs/>
          <w:color w:val="2F2F2F"/>
          <w:spacing w:val="3"/>
          <w:sz w:val="27"/>
          <w:szCs w:val="27"/>
          <w:lang w:eastAsia="en-GB"/>
        </w:rPr>
        <w:t>Harraz v. Snyder, </w:t>
      </w:r>
      <w:hyperlink r:id="rId55" w:history="1">
        <w:r w:rsidRPr="002D75AE">
          <w:rPr>
            <w:rFonts w:ascii="Georgia" w:eastAsia="Times New Roman" w:hAnsi="Georgia" w:cs="Arial"/>
            <w:color w:val="007BFF"/>
            <w:spacing w:val="3"/>
            <w:sz w:val="27"/>
            <w:szCs w:val="27"/>
            <w:u w:val="single"/>
            <w:lang w:eastAsia="en-GB"/>
          </w:rPr>
          <w:t>283 Ill. App. 3d 254</w:t>
        </w:r>
      </w:hyperlink>
      <w:r w:rsidRPr="002D75AE">
        <w:rPr>
          <w:rFonts w:ascii="Georgia" w:eastAsia="Times New Roman" w:hAnsi="Georgia" w:cs="Arial"/>
          <w:color w:val="2F2F2F"/>
          <w:spacing w:val="3"/>
          <w:sz w:val="27"/>
          <w:szCs w:val="27"/>
          <w:lang w:eastAsia="en-GB"/>
        </w:rPr>
        <w:t>, </w:t>
      </w:r>
      <w:r w:rsidRPr="002D75AE">
        <w:rPr>
          <w:rFonts w:ascii="Georgia" w:eastAsia="Times New Roman" w:hAnsi="Georgia" w:cs="Arial"/>
          <w:color w:val="007BFF"/>
          <w:spacing w:val="3"/>
          <w:sz w:val="27"/>
          <w:szCs w:val="27"/>
          <w:u w:val="single"/>
          <w:lang w:eastAsia="en-GB"/>
        </w:rPr>
        <w:t>669 N.E.2d 911</w:t>
      </w:r>
      <w:r w:rsidRPr="002D75AE">
        <w:rPr>
          <w:rFonts w:ascii="Georgia" w:eastAsia="Times New Roman" w:hAnsi="Georgia" w:cs="Arial"/>
          <w:color w:val="2F2F2F"/>
          <w:spacing w:val="3"/>
          <w:sz w:val="27"/>
          <w:szCs w:val="27"/>
          <w:lang w:eastAsia="en-GB"/>
        </w:rPr>
        <w:t> (1996).</w:t>
      </w:r>
    </w:p>
    <w:p w14:paraId="794C0B03" w14:textId="77777777" w:rsidR="003C7770" w:rsidRDefault="003C7770"/>
    <w:p w14:paraId="794C0B04" w14:textId="77777777" w:rsidR="003B2543" w:rsidRPr="009456D4" w:rsidRDefault="003B2543" w:rsidP="003B254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94C0B05" w14:textId="77777777" w:rsidR="004C3442" w:rsidRPr="002D75AE" w:rsidRDefault="004C3442" w:rsidP="004C3442">
      <w:pPr>
        <w:spacing w:before="100" w:beforeAutospacing="1" w:after="225" w:line="240" w:lineRule="auto"/>
        <w:rPr>
          <w:rFonts w:ascii="Georgia" w:eastAsia="Times New Roman" w:hAnsi="Georgia" w:cs="Arial"/>
          <w:color w:val="2F2F2F"/>
          <w:spacing w:val="3"/>
          <w:sz w:val="27"/>
          <w:szCs w:val="27"/>
          <w:lang w:eastAsia="en-GB"/>
        </w:rPr>
      </w:pPr>
      <w:r w:rsidRPr="004C3442">
        <w:rPr>
          <w:rFonts w:ascii="Georgia" w:eastAsia="Times New Roman" w:hAnsi="Georgia" w:cs="Arial"/>
          <w:color w:val="2F2F2F"/>
          <w:spacing w:val="3"/>
          <w:sz w:val="27"/>
          <w:szCs w:val="27"/>
          <w:lang w:eastAsia="en-GB"/>
        </w:rPr>
        <w:t>Plaintiff sued as administrator for the estate of his deceased wife for negligence and wrongful death against Loyola University of Chicago</w:t>
      </w:r>
      <w:r>
        <w:rPr>
          <w:rFonts w:ascii="Georgia" w:eastAsia="Times New Roman" w:hAnsi="Georgia" w:cs="Arial"/>
          <w:color w:val="2F2F2F"/>
          <w:spacing w:val="3"/>
          <w:sz w:val="27"/>
          <w:szCs w:val="27"/>
          <w:lang w:eastAsia="en-GB"/>
        </w:rPr>
        <w:t xml:space="preserve"> (defendant) for negligence and wrongful death, claiming that a physician working at the defendant clinic </w:t>
      </w:r>
      <w:r w:rsidRPr="004C3442">
        <w:rPr>
          <w:rFonts w:ascii="Georgia" w:eastAsia="Times New Roman" w:hAnsi="Georgia" w:cs="Arial"/>
          <w:color w:val="2F2F2F"/>
          <w:spacing w:val="3"/>
          <w:sz w:val="27"/>
          <w:szCs w:val="27"/>
          <w:lang w:eastAsia="en-GB"/>
        </w:rPr>
        <w:t xml:space="preserve">negligently misdiagnosed his wife’s breast cancer. The trial court granted summary judgment to defendant. </w:t>
      </w:r>
      <w:r>
        <w:rPr>
          <w:rFonts w:ascii="Georgia" w:eastAsia="Times New Roman" w:hAnsi="Georgia" w:cs="Arial"/>
          <w:color w:val="2F2F2F"/>
          <w:spacing w:val="3"/>
          <w:sz w:val="27"/>
          <w:szCs w:val="27"/>
          <w:lang w:eastAsia="en-GB"/>
        </w:rPr>
        <w:t xml:space="preserve">The appellate court affirmed, holding that </w:t>
      </w:r>
      <w:r w:rsidRPr="004C3442">
        <w:rPr>
          <w:rFonts w:ascii="Georgia" w:eastAsia="Times New Roman" w:hAnsi="Georgia" w:cs="Arial"/>
          <w:color w:val="2F2F2F"/>
          <w:spacing w:val="3"/>
          <w:sz w:val="27"/>
          <w:szCs w:val="27"/>
          <w:lang w:eastAsia="en-GB"/>
        </w:rPr>
        <w:t xml:space="preserve">defendant </w:t>
      </w:r>
      <w:r>
        <w:rPr>
          <w:rFonts w:ascii="Georgia" w:eastAsia="Times New Roman" w:hAnsi="Georgia" w:cs="Arial"/>
          <w:color w:val="2F2F2F"/>
          <w:spacing w:val="3"/>
          <w:sz w:val="27"/>
          <w:szCs w:val="27"/>
          <w:lang w:eastAsia="en-GB"/>
        </w:rPr>
        <w:t xml:space="preserve">did not owe </w:t>
      </w:r>
      <w:r w:rsidRPr="004C3442">
        <w:rPr>
          <w:rFonts w:ascii="Georgia" w:eastAsia="Times New Roman" w:hAnsi="Georgia" w:cs="Arial"/>
          <w:color w:val="2F2F2F"/>
          <w:spacing w:val="3"/>
          <w:sz w:val="27"/>
          <w:szCs w:val="27"/>
          <w:lang w:eastAsia="en-GB"/>
        </w:rPr>
        <w:t xml:space="preserve">decedent a duty of </w:t>
      </w:r>
      <w:r w:rsidRPr="002D75AE">
        <w:rPr>
          <w:rFonts w:ascii="Georgia" w:eastAsia="Times New Roman" w:hAnsi="Georgia" w:cs="Arial"/>
          <w:color w:val="2F2F2F"/>
          <w:spacing w:val="3"/>
          <w:sz w:val="27"/>
          <w:szCs w:val="27"/>
          <w:lang w:eastAsia="en-GB"/>
        </w:rPr>
        <w:t>care to supervise all physicians who were rende</w:t>
      </w:r>
      <w:r>
        <w:rPr>
          <w:rFonts w:ascii="Georgia" w:eastAsia="Times New Roman" w:hAnsi="Georgia" w:cs="Arial"/>
          <w:color w:val="2F2F2F"/>
          <w:spacing w:val="3"/>
          <w:sz w:val="27"/>
          <w:szCs w:val="27"/>
          <w:lang w:eastAsia="en-GB"/>
        </w:rPr>
        <w:t>ring medical care at the center.</w:t>
      </w:r>
    </w:p>
    <w:p w14:paraId="794C0B06" w14:textId="77777777" w:rsidR="003B2543" w:rsidRDefault="003B2543"/>
    <w:sectPr w:rsidR="003B2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15731"/>
    <w:multiLevelType w:val="multilevel"/>
    <w:tmpl w:val="5864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918CF"/>
    <w:multiLevelType w:val="multilevel"/>
    <w:tmpl w:val="CF46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9133F"/>
    <w:multiLevelType w:val="multilevel"/>
    <w:tmpl w:val="2D0A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B3B37"/>
    <w:multiLevelType w:val="multilevel"/>
    <w:tmpl w:val="E598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F2478"/>
    <w:multiLevelType w:val="multilevel"/>
    <w:tmpl w:val="6B3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AB45F6"/>
    <w:multiLevelType w:val="multilevel"/>
    <w:tmpl w:val="4E0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057736">
    <w:abstractNumId w:val="0"/>
  </w:num>
  <w:num w:numId="2" w16cid:durableId="1237938273">
    <w:abstractNumId w:val="3"/>
  </w:num>
  <w:num w:numId="3" w16cid:durableId="1529756475">
    <w:abstractNumId w:val="4"/>
  </w:num>
  <w:num w:numId="4" w16cid:durableId="1053234726">
    <w:abstractNumId w:val="2"/>
  </w:num>
  <w:num w:numId="5" w16cid:durableId="1787037176">
    <w:abstractNumId w:val="1"/>
  </w:num>
  <w:num w:numId="6" w16cid:durableId="9297036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543"/>
    <w:rsid w:val="002D75AE"/>
    <w:rsid w:val="0036748D"/>
    <w:rsid w:val="003B2543"/>
    <w:rsid w:val="003C7770"/>
    <w:rsid w:val="004C3442"/>
    <w:rsid w:val="00570F22"/>
    <w:rsid w:val="00A37520"/>
    <w:rsid w:val="00CA7F03"/>
    <w:rsid w:val="00EA0F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94C0AC4"/>
  <w15:docId w15:val="{02507C1F-FD76-410F-B356-1470A78A0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25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B254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54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B2543"/>
    <w:rPr>
      <w:rFonts w:ascii="Times New Roman" w:eastAsia="Times New Roman" w:hAnsi="Times New Roman" w:cs="Times New Roman"/>
      <w:b/>
      <w:bCs/>
      <w:sz w:val="36"/>
      <w:szCs w:val="36"/>
      <w:lang w:eastAsia="en-GB"/>
    </w:rPr>
  </w:style>
  <w:style w:type="character" w:customStyle="1" w:styleId="decision-date">
    <w:name w:val="decision-date"/>
    <w:basedOn w:val="DefaultParagraphFont"/>
    <w:rsid w:val="003B2543"/>
  </w:style>
  <w:style w:type="character" w:customStyle="1" w:styleId="court-name">
    <w:name w:val="court-name"/>
    <w:basedOn w:val="DefaultParagraphFont"/>
    <w:rsid w:val="003B2543"/>
  </w:style>
  <w:style w:type="character" w:customStyle="1" w:styleId="docket-number">
    <w:name w:val="docket-number"/>
    <w:basedOn w:val="DefaultParagraphFont"/>
    <w:rsid w:val="003B2543"/>
  </w:style>
  <w:style w:type="character" w:styleId="Hyperlink">
    <w:name w:val="Hyperlink"/>
    <w:basedOn w:val="DefaultParagraphFont"/>
    <w:uiPriority w:val="99"/>
    <w:semiHidden/>
    <w:unhideWhenUsed/>
    <w:rsid w:val="003B2543"/>
    <w:rPr>
      <w:color w:val="0000FF"/>
      <w:u w:val="single"/>
    </w:rPr>
  </w:style>
  <w:style w:type="character" w:customStyle="1" w:styleId="case-name-v">
    <w:name w:val="case-name-v"/>
    <w:basedOn w:val="DefaultParagraphFont"/>
    <w:rsid w:val="003B2543"/>
  </w:style>
  <w:style w:type="paragraph" w:customStyle="1" w:styleId="court">
    <w:name w:val="court"/>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B2543"/>
    <w:rPr>
      <w:i/>
      <w:iCs/>
    </w:rPr>
  </w:style>
  <w:style w:type="paragraph" w:customStyle="1" w:styleId="otherdate">
    <w:name w:val="otherdate"/>
    <w:basedOn w:val="Normal"/>
    <w:rsid w:val="002D75A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720750">
      <w:bodyDiv w:val="1"/>
      <w:marLeft w:val="0"/>
      <w:marRight w:val="0"/>
      <w:marTop w:val="0"/>
      <w:marBottom w:val="0"/>
      <w:divBdr>
        <w:top w:val="none" w:sz="0" w:space="0" w:color="auto"/>
        <w:left w:val="none" w:sz="0" w:space="0" w:color="auto"/>
        <w:bottom w:val="none" w:sz="0" w:space="0" w:color="auto"/>
        <w:right w:val="none" w:sz="0" w:space="0" w:color="auto"/>
      </w:divBdr>
      <w:divsChild>
        <w:div w:id="964698595">
          <w:marLeft w:val="0"/>
          <w:marRight w:val="0"/>
          <w:marTop w:val="0"/>
          <w:marBottom w:val="0"/>
          <w:divBdr>
            <w:top w:val="none" w:sz="0" w:space="0" w:color="auto"/>
            <w:left w:val="none" w:sz="0" w:space="0" w:color="auto"/>
            <w:bottom w:val="none" w:sz="0" w:space="0" w:color="auto"/>
            <w:right w:val="none" w:sz="0" w:space="0" w:color="auto"/>
          </w:divBdr>
          <w:divsChild>
            <w:div w:id="1519351244">
              <w:marLeft w:val="0"/>
              <w:marRight w:val="0"/>
              <w:marTop w:val="0"/>
              <w:marBottom w:val="0"/>
              <w:divBdr>
                <w:top w:val="none" w:sz="0" w:space="0" w:color="auto"/>
                <w:left w:val="none" w:sz="0" w:space="0" w:color="auto"/>
                <w:bottom w:val="none" w:sz="0" w:space="0" w:color="auto"/>
                <w:right w:val="none" w:sz="0" w:space="0" w:color="auto"/>
              </w:divBdr>
              <w:divsChild>
                <w:div w:id="97601651">
                  <w:marLeft w:val="0"/>
                  <w:marRight w:val="0"/>
                  <w:marTop w:val="0"/>
                  <w:marBottom w:val="0"/>
                  <w:divBdr>
                    <w:top w:val="none" w:sz="0" w:space="0" w:color="auto"/>
                    <w:left w:val="none" w:sz="0" w:space="0" w:color="auto"/>
                    <w:bottom w:val="none" w:sz="0" w:space="0" w:color="auto"/>
                    <w:right w:val="none" w:sz="0" w:space="0" w:color="auto"/>
                  </w:divBdr>
                </w:div>
                <w:div w:id="2953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1155">
          <w:marLeft w:val="0"/>
          <w:marRight w:val="0"/>
          <w:marTop w:val="0"/>
          <w:marBottom w:val="0"/>
          <w:divBdr>
            <w:top w:val="none" w:sz="0" w:space="0" w:color="auto"/>
            <w:left w:val="none" w:sz="0" w:space="0" w:color="auto"/>
            <w:bottom w:val="none" w:sz="0" w:space="0" w:color="auto"/>
            <w:right w:val="none" w:sz="0" w:space="0" w:color="auto"/>
          </w:divBdr>
          <w:divsChild>
            <w:div w:id="1432160420">
              <w:marLeft w:val="0"/>
              <w:marRight w:val="0"/>
              <w:marTop w:val="0"/>
              <w:marBottom w:val="0"/>
              <w:divBdr>
                <w:top w:val="none" w:sz="0" w:space="0" w:color="auto"/>
                <w:left w:val="none" w:sz="0" w:space="0" w:color="auto"/>
                <w:bottom w:val="none" w:sz="0" w:space="0" w:color="auto"/>
                <w:right w:val="none" w:sz="0" w:space="0" w:color="auto"/>
              </w:divBdr>
              <w:divsChild>
                <w:div w:id="1384064308">
                  <w:marLeft w:val="0"/>
                  <w:marRight w:val="0"/>
                  <w:marTop w:val="0"/>
                  <w:marBottom w:val="0"/>
                  <w:divBdr>
                    <w:top w:val="none" w:sz="0" w:space="0" w:color="auto"/>
                    <w:left w:val="none" w:sz="0" w:space="0" w:color="auto"/>
                    <w:bottom w:val="none" w:sz="0" w:space="0" w:color="auto"/>
                    <w:right w:val="none" w:sz="0" w:space="0" w:color="auto"/>
                  </w:divBdr>
                  <w:divsChild>
                    <w:div w:id="1058165253">
                      <w:marLeft w:val="0"/>
                      <w:marRight w:val="0"/>
                      <w:marTop w:val="0"/>
                      <w:marBottom w:val="0"/>
                      <w:divBdr>
                        <w:top w:val="none" w:sz="0" w:space="0" w:color="auto"/>
                        <w:left w:val="none" w:sz="0" w:space="0" w:color="auto"/>
                        <w:bottom w:val="none" w:sz="0" w:space="0" w:color="auto"/>
                        <w:right w:val="none" w:sz="0" w:space="0" w:color="auto"/>
                      </w:divBdr>
                      <w:divsChild>
                        <w:div w:id="287048295">
                          <w:marLeft w:val="0"/>
                          <w:marRight w:val="0"/>
                          <w:marTop w:val="0"/>
                          <w:marBottom w:val="0"/>
                          <w:divBdr>
                            <w:top w:val="none" w:sz="0" w:space="0" w:color="auto"/>
                            <w:left w:val="none" w:sz="0" w:space="0" w:color="auto"/>
                            <w:bottom w:val="none" w:sz="0" w:space="0" w:color="auto"/>
                            <w:right w:val="none" w:sz="0" w:space="0" w:color="auto"/>
                          </w:divBdr>
                        </w:div>
                      </w:divsChild>
                    </w:div>
                    <w:div w:id="1228807931">
                      <w:marLeft w:val="0"/>
                      <w:marRight w:val="0"/>
                      <w:marTop w:val="0"/>
                      <w:marBottom w:val="0"/>
                      <w:divBdr>
                        <w:top w:val="none" w:sz="0" w:space="0" w:color="auto"/>
                        <w:left w:val="none" w:sz="0" w:space="0" w:color="auto"/>
                        <w:bottom w:val="none" w:sz="0" w:space="0" w:color="auto"/>
                        <w:right w:val="none" w:sz="0" w:space="0" w:color="auto"/>
                      </w:divBdr>
                      <w:divsChild>
                        <w:div w:id="726421074">
                          <w:marLeft w:val="0"/>
                          <w:marRight w:val="0"/>
                          <w:marTop w:val="0"/>
                          <w:marBottom w:val="0"/>
                          <w:divBdr>
                            <w:top w:val="none" w:sz="0" w:space="0" w:color="auto"/>
                            <w:left w:val="none" w:sz="0" w:space="0" w:color="auto"/>
                            <w:bottom w:val="none" w:sz="0" w:space="0" w:color="auto"/>
                            <w:right w:val="none" w:sz="0" w:space="0" w:color="auto"/>
                          </w:divBdr>
                        </w:div>
                      </w:divsChild>
                    </w:div>
                    <w:div w:id="1605186809">
                      <w:marLeft w:val="0"/>
                      <w:marRight w:val="0"/>
                      <w:marTop w:val="0"/>
                      <w:marBottom w:val="0"/>
                      <w:divBdr>
                        <w:top w:val="none" w:sz="0" w:space="0" w:color="auto"/>
                        <w:left w:val="none" w:sz="0" w:space="0" w:color="auto"/>
                        <w:bottom w:val="none" w:sz="0" w:space="0" w:color="auto"/>
                        <w:right w:val="none" w:sz="0" w:space="0" w:color="auto"/>
                      </w:divBdr>
                      <w:divsChild>
                        <w:div w:id="353001488">
                          <w:marLeft w:val="0"/>
                          <w:marRight w:val="0"/>
                          <w:marTop w:val="0"/>
                          <w:marBottom w:val="0"/>
                          <w:divBdr>
                            <w:top w:val="none" w:sz="0" w:space="0" w:color="auto"/>
                            <w:left w:val="none" w:sz="0" w:space="0" w:color="auto"/>
                            <w:bottom w:val="none" w:sz="0" w:space="0" w:color="auto"/>
                            <w:right w:val="none" w:sz="0" w:space="0" w:color="auto"/>
                          </w:divBdr>
                        </w:div>
                      </w:divsChild>
                    </w:div>
                    <w:div w:id="613286437">
                      <w:marLeft w:val="0"/>
                      <w:marRight w:val="0"/>
                      <w:marTop w:val="0"/>
                      <w:marBottom w:val="0"/>
                      <w:divBdr>
                        <w:top w:val="none" w:sz="0" w:space="0" w:color="auto"/>
                        <w:left w:val="none" w:sz="0" w:space="0" w:color="auto"/>
                        <w:bottom w:val="none" w:sz="0" w:space="0" w:color="auto"/>
                        <w:right w:val="none" w:sz="0" w:space="0" w:color="auto"/>
                      </w:divBdr>
                      <w:divsChild>
                        <w:div w:id="20885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86819">
          <w:marLeft w:val="0"/>
          <w:marRight w:val="0"/>
          <w:marTop w:val="0"/>
          <w:marBottom w:val="0"/>
          <w:divBdr>
            <w:top w:val="none" w:sz="0" w:space="0" w:color="auto"/>
            <w:left w:val="none" w:sz="0" w:space="0" w:color="auto"/>
            <w:bottom w:val="none" w:sz="0" w:space="0" w:color="auto"/>
            <w:right w:val="none" w:sz="0" w:space="0" w:color="auto"/>
          </w:divBdr>
          <w:divsChild>
            <w:div w:id="1687709049">
              <w:marLeft w:val="0"/>
              <w:marRight w:val="0"/>
              <w:marTop w:val="0"/>
              <w:marBottom w:val="0"/>
              <w:divBdr>
                <w:top w:val="none" w:sz="0" w:space="0" w:color="auto"/>
                <w:left w:val="none" w:sz="0" w:space="0" w:color="auto"/>
                <w:bottom w:val="none" w:sz="0" w:space="0" w:color="auto"/>
                <w:right w:val="none" w:sz="0" w:space="0" w:color="auto"/>
              </w:divBdr>
              <w:divsChild>
                <w:div w:id="1487818309">
                  <w:marLeft w:val="0"/>
                  <w:marRight w:val="0"/>
                  <w:marTop w:val="0"/>
                  <w:marBottom w:val="0"/>
                  <w:divBdr>
                    <w:top w:val="none" w:sz="0" w:space="0" w:color="auto"/>
                    <w:left w:val="none" w:sz="0" w:space="0" w:color="auto"/>
                    <w:bottom w:val="none" w:sz="0" w:space="0" w:color="auto"/>
                    <w:right w:val="none" w:sz="0" w:space="0" w:color="auto"/>
                  </w:divBdr>
                  <w:divsChild>
                    <w:div w:id="1627807369">
                      <w:marLeft w:val="1170"/>
                      <w:marRight w:val="0"/>
                      <w:marTop w:val="0"/>
                      <w:marBottom w:val="0"/>
                      <w:divBdr>
                        <w:top w:val="none" w:sz="0" w:space="0" w:color="auto"/>
                        <w:left w:val="none" w:sz="0" w:space="0" w:color="auto"/>
                        <w:bottom w:val="none" w:sz="0" w:space="0" w:color="auto"/>
                        <w:right w:val="none" w:sz="0" w:space="0" w:color="auto"/>
                      </w:divBdr>
                    </w:div>
                  </w:divsChild>
                </w:div>
                <w:div w:id="154574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287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3422154">
      <w:bodyDiv w:val="1"/>
      <w:marLeft w:val="0"/>
      <w:marRight w:val="0"/>
      <w:marTop w:val="0"/>
      <w:marBottom w:val="0"/>
      <w:divBdr>
        <w:top w:val="none" w:sz="0" w:space="0" w:color="auto"/>
        <w:left w:val="none" w:sz="0" w:space="0" w:color="auto"/>
        <w:bottom w:val="none" w:sz="0" w:space="0" w:color="auto"/>
        <w:right w:val="none" w:sz="0" w:space="0" w:color="auto"/>
      </w:divBdr>
      <w:divsChild>
        <w:div w:id="1596355776">
          <w:marLeft w:val="0"/>
          <w:marRight w:val="0"/>
          <w:marTop w:val="0"/>
          <w:marBottom w:val="0"/>
          <w:divBdr>
            <w:top w:val="none" w:sz="0" w:space="0" w:color="auto"/>
            <w:left w:val="none" w:sz="0" w:space="0" w:color="auto"/>
            <w:bottom w:val="none" w:sz="0" w:space="0" w:color="auto"/>
            <w:right w:val="none" w:sz="0" w:space="0" w:color="auto"/>
          </w:divBdr>
          <w:divsChild>
            <w:div w:id="670915469">
              <w:marLeft w:val="0"/>
              <w:marRight w:val="0"/>
              <w:marTop w:val="0"/>
              <w:marBottom w:val="0"/>
              <w:divBdr>
                <w:top w:val="none" w:sz="0" w:space="0" w:color="auto"/>
                <w:left w:val="none" w:sz="0" w:space="0" w:color="auto"/>
                <w:bottom w:val="none" w:sz="0" w:space="0" w:color="auto"/>
                <w:right w:val="none" w:sz="0" w:space="0" w:color="auto"/>
              </w:divBdr>
              <w:divsChild>
                <w:div w:id="1931111701">
                  <w:marLeft w:val="0"/>
                  <w:marRight w:val="0"/>
                  <w:marTop w:val="0"/>
                  <w:marBottom w:val="0"/>
                  <w:divBdr>
                    <w:top w:val="none" w:sz="0" w:space="0" w:color="auto"/>
                    <w:left w:val="none" w:sz="0" w:space="0" w:color="auto"/>
                    <w:bottom w:val="none" w:sz="0" w:space="0" w:color="auto"/>
                    <w:right w:val="none" w:sz="0" w:space="0" w:color="auto"/>
                  </w:divBdr>
                </w:div>
                <w:div w:id="19231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8026">
          <w:marLeft w:val="0"/>
          <w:marRight w:val="0"/>
          <w:marTop w:val="0"/>
          <w:marBottom w:val="0"/>
          <w:divBdr>
            <w:top w:val="none" w:sz="0" w:space="0" w:color="auto"/>
            <w:left w:val="none" w:sz="0" w:space="0" w:color="auto"/>
            <w:bottom w:val="none" w:sz="0" w:space="0" w:color="auto"/>
            <w:right w:val="none" w:sz="0" w:space="0" w:color="auto"/>
          </w:divBdr>
          <w:divsChild>
            <w:div w:id="1199320281">
              <w:marLeft w:val="0"/>
              <w:marRight w:val="0"/>
              <w:marTop w:val="0"/>
              <w:marBottom w:val="0"/>
              <w:divBdr>
                <w:top w:val="none" w:sz="0" w:space="0" w:color="auto"/>
                <w:left w:val="none" w:sz="0" w:space="0" w:color="auto"/>
                <w:bottom w:val="none" w:sz="0" w:space="0" w:color="auto"/>
                <w:right w:val="none" w:sz="0" w:space="0" w:color="auto"/>
              </w:divBdr>
              <w:divsChild>
                <w:div w:id="1046635515">
                  <w:marLeft w:val="0"/>
                  <w:marRight w:val="0"/>
                  <w:marTop w:val="0"/>
                  <w:marBottom w:val="0"/>
                  <w:divBdr>
                    <w:top w:val="none" w:sz="0" w:space="0" w:color="auto"/>
                    <w:left w:val="none" w:sz="0" w:space="0" w:color="auto"/>
                    <w:bottom w:val="none" w:sz="0" w:space="0" w:color="auto"/>
                    <w:right w:val="none" w:sz="0" w:space="0" w:color="auto"/>
                  </w:divBdr>
                  <w:divsChild>
                    <w:div w:id="1135028938">
                      <w:marLeft w:val="0"/>
                      <w:marRight w:val="0"/>
                      <w:marTop w:val="0"/>
                      <w:marBottom w:val="0"/>
                      <w:divBdr>
                        <w:top w:val="none" w:sz="0" w:space="0" w:color="auto"/>
                        <w:left w:val="none" w:sz="0" w:space="0" w:color="auto"/>
                        <w:bottom w:val="none" w:sz="0" w:space="0" w:color="auto"/>
                        <w:right w:val="none" w:sz="0" w:space="0" w:color="auto"/>
                      </w:divBdr>
                      <w:divsChild>
                        <w:div w:id="1620455139">
                          <w:marLeft w:val="0"/>
                          <w:marRight w:val="0"/>
                          <w:marTop w:val="0"/>
                          <w:marBottom w:val="0"/>
                          <w:divBdr>
                            <w:top w:val="none" w:sz="0" w:space="0" w:color="auto"/>
                            <w:left w:val="none" w:sz="0" w:space="0" w:color="auto"/>
                            <w:bottom w:val="none" w:sz="0" w:space="0" w:color="auto"/>
                            <w:right w:val="none" w:sz="0" w:space="0" w:color="auto"/>
                          </w:divBdr>
                        </w:div>
                      </w:divsChild>
                    </w:div>
                    <w:div w:id="683434857">
                      <w:marLeft w:val="0"/>
                      <w:marRight w:val="0"/>
                      <w:marTop w:val="0"/>
                      <w:marBottom w:val="0"/>
                      <w:divBdr>
                        <w:top w:val="none" w:sz="0" w:space="0" w:color="auto"/>
                        <w:left w:val="none" w:sz="0" w:space="0" w:color="auto"/>
                        <w:bottom w:val="none" w:sz="0" w:space="0" w:color="auto"/>
                        <w:right w:val="none" w:sz="0" w:space="0" w:color="auto"/>
                      </w:divBdr>
                      <w:divsChild>
                        <w:div w:id="447355026">
                          <w:marLeft w:val="0"/>
                          <w:marRight w:val="0"/>
                          <w:marTop w:val="0"/>
                          <w:marBottom w:val="0"/>
                          <w:divBdr>
                            <w:top w:val="none" w:sz="0" w:space="0" w:color="auto"/>
                            <w:left w:val="none" w:sz="0" w:space="0" w:color="auto"/>
                            <w:bottom w:val="none" w:sz="0" w:space="0" w:color="auto"/>
                            <w:right w:val="none" w:sz="0" w:space="0" w:color="auto"/>
                          </w:divBdr>
                        </w:div>
                      </w:divsChild>
                    </w:div>
                    <w:div w:id="1417707281">
                      <w:marLeft w:val="0"/>
                      <w:marRight w:val="0"/>
                      <w:marTop w:val="0"/>
                      <w:marBottom w:val="0"/>
                      <w:divBdr>
                        <w:top w:val="none" w:sz="0" w:space="0" w:color="auto"/>
                        <w:left w:val="none" w:sz="0" w:space="0" w:color="auto"/>
                        <w:bottom w:val="none" w:sz="0" w:space="0" w:color="auto"/>
                        <w:right w:val="none" w:sz="0" w:space="0" w:color="auto"/>
                      </w:divBdr>
                      <w:divsChild>
                        <w:div w:id="1507213365">
                          <w:marLeft w:val="0"/>
                          <w:marRight w:val="0"/>
                          <w:marTop w:val="0"/>
                          <w:marBottom w:val="0"/>
                          <w:divBdr>
                            <w:top w:val="none" w:sz="0" w:space="0" w:color="auto"/>
                            <w:left w:val="none" w:sz="0" w:space="0" w:color="auto"/>
                            <w:bottom w:val="none" w:sz="0" w:space="0" w:color="auto"/>
                            <w:right w:val="none" w:sz="0" w:space="0" w:color="auto"/>
                          </w:divBdr>
                        </w:div>
                      </w:divsChild>
                    </w:div>
                    <w:div w:id="1602059084">
                      <w:marLeft w:val="0"/>
                      <w:marRight w:val="0"/>
                      <w:marTop w:val="0"/>
                      <w:marBottom w:val="0"/>
                      <w:divBdr>
                        <w:top w:val="none" w:sz="0" w:space="0" w:color="auto"/>
                        <w:left w:val="none" w:sz="0" w:space="0" w:color="auto"/>
                        <w:bottom w:val="none" w:sz="0" w:space="0" w:color="auto"/>
                        <w:right w:val="none" w:sz="0" w:space="0" w:color="auto"/>
                      </w:divBdr>
                      <w:divsChild>
                        <w:div w:id="15145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04477">
          <w:marLeft w:val="0"/>
          <w:marRight w:val="0"/>
          <w:marTop w:val="0"/>
          <w:marBottom w:val="0"/>
          <w:divBdr>
            <w:top w:val="none" w:sz="0" w:space="0" w:color="auto"/>
            <w:left w:val="none" w:sz="0" w:space="0" w:color="auto"/>
            <w:bottom w:val="none" w:sz="0" w:space="0" w:color="auto"/>
            <w:right w:val="none" w:sz="0" w:space="0" w:color="auto"/>
          </w:divBdr>
          <w:divsChild>
            <w:div w:id="633871994">
              <w:marLeft w:val="0"/>
              <w:marRight w:val="0"/>
              <w:marTop w:val="0"/>
              <w:marBottom w:val="0"/>
              <w:divBdr>
                <w:top w:val="none" w:sz="0" w:space="0" w:color="auto"/>
                <w:left w:val="none" w:sz="0" w:space="0" w:color="auto"/>
                <w:bottom w:val="none" w:sz="0" w:space="0" w:color="auto"/>
                <w:right w:val="none" w:sz="0" w:space="0" w:color="auto"/>
              </w:divBdr>
              <w:divsChild>
                <w:div w:id="2086413765">
                  <w:marLeft w:val="0"/>
                  <w:marRight w:val="0"/>
                  <w:marTop w:val="0"/>
                  <w:marBottom w:val="0"/>
                  <w:divBdr>
                    <w:top w:val="none" w:sz="0" w:space="0" w:color="auto"/>
                    <w:left w:val="none" w:sz="0" w:space="0" w:color="auto"/>
                    <w:bottom w:val="none" w:sz="0" w:space="0" w:color="auto"/>
                    <w:right w:val="none" w:sz="0" w:space="0" w:color="auto"/>
                  </w:divBdr>
                  <w:divsChild>
                    <w:div w:id="1962026744">
                      <w:marLeft w:val="1170"/>
                      <w:marRight w:val="0"/>
                      <w:marTop w:val="0"/>
                      <w:marBottom w:val="0"/>
                      <w:divBdr>
                        <w:top w:val="none" w:sz="0" w:space="0" w:color="auto"/>
                        <w:left w:val="none" w:sz="0" w:space="0" w:color="auto"/>
                        <w:bottom w:val="none" w:sz="0" w:space="0" w:color="auto"/>
                        <w:right w:val="none" w:sz="0" w:space="0" w:color="auto"/>
                      </w:divBdr>
                    </w:div>
                  </w:divsChild>
                </w:div>
                <w:div w:id="9969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ill-app-3d/151/754/" TargetMode="External"/><Relationship Id="rId18" Type="http://schemas.openxmlformats.org/officeDocument/2006/relationships/hyperlink" Target="https://cite.case.law/ill-2d/154/90/" TargetMode="External"/><Relationship Id="rId26" Type="http://schemas.openxmlformats.org/officeDocument/2006/relationships/hyperlink" Target="https://cite.case.law/ill-app-3d/274/267/" TargetMode="External"/><Relationship Id="rId39" Type="http://schemas.openxmlformats.org/officeDocument/2006/relationships/hyperlink" Target="https://cite.case.law/ill-app-3d/184/486/" TargetMode="External"/><Relationship Id="rId21" Type="http://schemas.openxmlformats.org/officeDocument/2006/relationships/hyperlink" Target="https://cite.case.law/citations/?q=642%20N.E.2d%20715" TargetMode="External"/><Relationship Id="rId34" Type="http://schemas.openxmlformats.org/officeDocument/2006/relationships/hyperlink" Target="https://cite.case.law/ill-app-3d/293/720/" TargetMode="External"/><Relationship Id="rId42" Type="http://schemas.openxmlformats.org/officeDocument/2006/relationships/hyperlink" Target="https://cite.case.law/so-2d/543/209/" TargetMode="External"/><Relationship Id="rId47" Type="http://schemas.openxmlformats.org/officeDocument/2006/relationships/hyperlink" Target="https://cite.case.law/citations/?q=677%20P.2d%20166" TargetMode="External"/><Relationship Id="rId50" Type="http://schemas.openxmlformats.org/officeDocument/2006/relationships/hyperlink" Target="https://cite.case.law/ill-app-3d/84/744/" TargetMode="External"/><Relationship Id="rId55" Type="http://schemas.openxmlformats.org/officeDocument/2006/relationships/hyperlink" Target="https://cite.case.law/ill-app-3d/283/254/" TargetMode="External"/><Relationship Id="rId7" Type="http://schemas.openxmlformats.org/officeDocument/2006/relationships/hyperlink" Target="https://cite.case.law/ill-app-3d/293/720/" TargetMode="External"/><Relationship Id="rId2" Type="http://schemas.openxmlformats.org/officeDocument/2006/relationships/styles" Target="styles.xml"/><Relationship Id="rId16" Type="http://schemas.openxmlformats.org/officeDocument/2006/relationships/hyperlink" Target="https://cite.case.law/ill-app-3d/129/1050/" TargetMode="External"/><Relationship Id="rId29" Type="http://schemas.openxmlformats.org/officeDocument/2006/relationships/hyperlink" Target="https://cite.case.law/citations/?q=622%20N.E.2d%20788" TargetMode="External"/><Relationship Id="rId11" Type="http://schemas.openxmlformats.org/officeDocument/2006/relationships/hyperlink" Target="https://cite.case.law/citations/?q=657%20N.E.2d%201149" TargetMode="External"/><Relationship Id="rId24" Type="http://schemas.openxmlformats.org/officeDocument/2006/relationships/hyperlink" Target="https://cite.case.law/citations/?q=513%20N.E.2d%2065" TargetMode="External"/><Relationship Id="rId32" Type="http://schemas.openxmlformats.org/officeDocument/2006/relationships/hyperlink" Target="https://cite.case.law/wis-2d/144/188/" TargetMode="External"/><Relationship Id="rId37" Type="http://schemas.openxmlformats.org/officeDocument/2006/relationships/hyperlink" Target="https://cite.case.law/citations/?q=32%20Rutgers%20L.%20Rev.%20342" TargetMode="External"/><Relationship Id="rId40" Type="http://schemas.openxmlformats.org/officeDocument/2006/relationships/hyperlink" Target="https://cite.case.law/ill-app-3d/168/575/" TargetMode="External"/><Relationship Id="rId45" Type="http://schemas.openxmlformats.org/officeDocument/2006/relationships/hyperlink" Target="https://cite.case.law/pa/527/330/" TargetMode="External"/><Relationship Id="rId53" Type="http://schemas.openxmlformats.org/officeDocument/2006/relationships/hyperlink" Target="https://cite.case.law/citations/?q=677%20P.2d%20166" TargetMode="External"/><Relationship Id="rId5" Type="http://schemas.openxmlformats.org/officeDocument/2006/relationships/hyperlink" Target="https://cite.case.law/pdf/847526/Malanowski%20v.%20Jabamoni,%20293%20Ill.%20App.%203d%20720%20(1997).pdf" TargetMode="External"/><Relationship Id="rId19" Type="http://schemas.openxmlformats.org/officeDocument/2006/relationships/hyperlink" Target="https://cite.case.law/ill-app-3d/232/1013/" TargetMode="External"/><Relationship Id="rId4" Type="http://schemas.openxmlformats.org/officeDocument/2006/relationships/webSettings" Target="webSettings.xml"/><Relationship Id="rId9" Type="http://schemas.openxmlformats.org/officeDocument/2006/relationships/hyperlink" Target="https://cite.case.law/ill-app-3d/227/779/" TargetMode="External"/><Relationship Id="rId14" Type="http://schemas.openxmlformats.org/officeDocument/2006/relationships/hyperlink" Target="https://cite.case.law/citations/?q=603%20N.E.2d%201215" TargetMode="External"/><Relationship Id="rId22" Type="http://schemas.openxmlformats.org/officeDocument/2006/relationships/hyperlink" Target="https://cite.case.law/citations/?q=515%20N.E.2d%20775" TargetMode="External"/><Relationship Id="rId27" Type="http://schemas.openxmlformats.org/officeDocument/2006/relationships/hyperlink" Target="https://cite.case.law/ill-app-3d/275/1024/" TargetMode="External"/><Relationship Id="rId30" Type="http://schemas.openxmlformats.org/officeDocument/2006/relationships/hyperlink" Target="https://cite.case.law/ill-app-3d/293/720/" TargetMode="External"/><Relationship Id="rId35" Type="http://schemas.openxmlformats.org/officeDocument/2006/relationships/hyperlink" Target="https://cite.case.law/ill-app-3d/293/720/" TargetMode="External"/><Relationship Id="rId43" Type="http://schemas.openxmlformats.org/officeDocument/2006/relationships/hyperlink" Target="https://cite.case.law/nev/105/348/" TargetMode="External"/><Relationship Id="rId48" Type="http://schemas.openxmlformats.org/officeDocument/2006/relationships/hyperlink" Target="https://cite.case.law/wis-2d/99/708/" TargetMode="External"/><Relationship Id="rId56" Type="http://schemas.openxmlformats.org/officeDocument/2006/relationships/fontTable" Target="fontTable.xml"/><Relationship Id="rId8" Type="http://schemas.openxmlformats.org/officeDocument/2006/relationships/hyperlink" Target="https://cite.case.law/ill-app-3d/283/992/" TargetMode="External"/><Relationship Id="rId51" Type="http://schemas.openxmlformats.org/officeDocument/2006/relationships/hyperlink" Target="https://cite.case.law/ill-app-3d/293/720/" TargetMode="External"/><Relationship Id="rId3" Type="http://schemas.openxmlformats.org/officeDocument/2006/relationships/settings" Target="settings.xml"/><Relationship Id="rId12" Type="http://schemas.openxmlformats.org/officeDocument/2006/relationships/hyperlink" Target="https://cite.case.law/ill-app-3d/151/754/" TargetMode="External"/><Relationship Id="rId17" Type="http://schemas.openxmlformats.org/officeDocument/2006/relationships/hyperlink" Target="https://cite.case.law/ill-app-3d/271/478/" TargetMode="External"/><Relationship Id="rId25" Type="http://schemas.openxmlformats.org/officeDocument/2006/relationships/hyperlink" Target="https://cite.case.law/citations/?q=657%20N.E.2d%2028" TargetMode="External"/><Relationship Id="rId33" Type="http://schemas.openxmlformats.org/officeDocument/2006/relationships/hyperlink" Target="https://cite.case.law/ill-2d/156/511/" TargetMode="External"/><Relationship Id="rId38" Type="http://schemas.openxmlformats.org/officeDocument/2006/relationships/hyperlink" Target="https://cite.case.law/ill-app-3d/203/181/" TargetMode="External"/><Relationship Id="rId46" Type="http://schemas.openxmlformats.org/officeDocument/2006/relationships/hyperlink" Target="https://cite.case.law/a2d/623/456/" TargetMode="External"/><Relationship Id="rId20" Type="http://schemas.openxmlformats.org/officeDocument/2006/relationships/hyperlink" Target="https://cite.case.law/ill-app-3d/293/720/" TargetMode="External"/><Relationship Id="rId41" Type="http://schemas.openxmlformats.org/officeDocument/2006/relationships/hyperlink" Target="https://cite.case.law/cal-app-3d/132/332/" TargetMode="External"/><Relationship Id="rId54" Type="http://schemas.openxmlformats.org/officeDocument/2006/relationships/hyperlink" Target="https://cite.case.law/sw2d/859/600/" TargetMode="External"/><Relationship Id="rId1" Type="http://schemas.openxmlformats.org/officeDocument/2006/relationships/numbering" Target="numbering.xml"/><Relationship Id="rId6" Type="http://schemas.openxmlformats.org/officeDocument/2006/relationships/hyperlink" Target="https://cite.case.law/citations/?q=847526" TargetMode="External"/><Relationship Id="rId15" Type="http://schemas.openxmlformats.org/officeDocument/2006/relationships/hyperlink" Target="https://cite.case.law/ill-app-3d/255/439/" TargetMode="External"/><Relationship Id="rId23" Type="http://schemas.openxmlformats.org/officeDocument/2006/relationships/hyperlink" Target="https://cite.case.law/citations/?q=502%20N.E.2d%2023" TargetMode="External"/><Relationship Id="rId28" Type="http://schemas.openxmlformats.org/officeDocument/2006/relationships/hyperlink" Target="https://cite.case.law/citations/?q=648%20N.E.2d%201099" TargetMode="External"/><Relationship Id="rId36" Type="http://schemas.openxmlformats.org/officeDocument/2006/relationships/hyperlink" Target="https://cite.case.law/citations/?q=211%20N.E.2d%20523" TargetMode="External"/><Relationship Id="rId49" Type="http://schemas.openxmlformats.org/officeDocument/2006/relationships/hyperlink" Target="https://cite.case.law/citations/?q=678%20N.E.2d%201009" TargetMode="External"/><Relationship Id="rId57" Type="http://schemas.openxmlformats.org/officeDocument/2006/relationships/theme" Target="theme/theme1.xml"/><Relationship Id="rId10" Type="http://schemas.openxmlformats.org/officeDocument/2006/relationships/hyperlink" Target="https://cite.case.law/ill-app-3d/227/779/" TargetMode="External"/><Relationship Id="rId31" Type="http://schemas.openxmlformats.org/officeDocument/2006/relationships/hyperlink" Target="https://cite.case.law/wis-2d/144/188/" TargetMode="External"/><Relationship Id="rId44" Type="http://schemas.openxmlformats.org/officeDocument/2006/relationships/hyperlink" Target="https://cite.case.law/citations/?q=262%20S.E.2d%20391" TargetMode="External"/><Relationship Id="rId52" Type="http://schemas.openxmlformats.org/officeDocument/2006/relationships/hyperlink" Target="https://cite.case.law/citations/?q=399%20N.E.2d%20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4250</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2024-09-17T13:49:00Z</dcterms:created>
  <dcterms:modified xsi:type="dcterms:W3CDTF">2024-09-17T13:49:00Z</dcterms:modified>
</cp:coreProperties>
</file>