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8BC3" w14:textId="77777777" w:rsidR="00A67015" w:rsidRPr="00A67015" w:rsidRDefault="00A67015" w:rsidP="00A6701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A67015">
        <w:rPr>
          <w:rFonts w:ascii="Times New Roman" w:eastAsia="Times New Roman" w:hAnsi="Times New Roman" w:cs="Times New Roman"/>
          <w:b/>
          <w:bCs/>
          <w:color w:val="2F2F2F"/>
          <w:spacing w:val="3"/>
          <w:kern w:val="36"/>
          <w:sz w:val="31"/>
          <w:szCs w:val="31"/>
          <w:lang w:eastAsia="en-GB"/>
        </w:rPr>
        <w:t>Sanders v. City of Chicago, 306 Ill. App. 3d 356 (1999)</w:t>
      </w:r>
    </w:p>
    <w:p w14:paraId="41BA8BC4" w14:textId="77777777" w:rsidR="00A67015" w:rsidRPr="00A67015" w:rsidRDefault="00A67015" w:rsidP="00A67015">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A67015">
        <w:rPr>
          <w:rFonts w:ascii="Times New Roman" w:eastAsia="Times New Roman" w:hAnsi="Times New Roman" w:cs="Times New Roman"/>
          <w:color w:val="2F2F2F"/>
          <w:spacing w:val="3"/>
          <w:sz w:val="24"/>
          <w:szCs w:val="24"/>
          <w:lang w:eastAsia="en-GB"/>
        </w:rPr>
        <w:t>June 30, 1999 · Illinois Appellate Court · No. 1-98-0809</w:t>
      </w:r>
    </w:p>
    <w:p w14:paraId="41BA8BC5" w14:textId="77777777" w:rsidR="00A67015" w:rsidRPr="00A67015" w:rsidRDefault="00A67015" w:rsidP="00A67015">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A67015">
        <w:rPr>
          <w:rFonts w:ascii="Times New Roman" w:eastAsia="Times New Roman" w:hAnsi="Times New Roman" w:cs="Times New Roman"/>
          <w:color w:val="2F2F2F"/>
          <w:spacing w:val="3"/>
          <w:sz w:val="24"/>
          <w:szCs w:val="24"/>
          <w:lang w:eastAsia="en-GB"/>
        </w:rPr>
        <w:t>306 Ill. App. 3d 356</w:t>
      </w:r>
    </w:p>
    <w:p w14:paraId="41BA8BC6" w14:textId="77777777" w:rsidR="00A67015" w:rsidRPr="00A67015" w:rsidRDefault="00727D93" w:rsidP="00A67015">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41BA8C05">
          <v:rect id="_x0000_i1025" style="width:227.25pt;height:0" o:hrpct="0" o:hralign="center" o:hrstd="t" o:hr="t" fillcolor="#a0a0a0" stroked="f"/>
        </w:pict>
      </w:r>
    </w:p>
    <w:p w14:paraId="41BA8BC7" w14:textId="77777777" w:rsidR="00A67015" w:rsidRPr="00A67015" w:rsidRDefault="00A67015" w:rsidP="00A67015">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A67015">
        <w:rPr>
          <w:rFonts w:ascii="Arial" w:eastAsia="Times New Roman" w:hAnsi="Arial" w:cs="Arial"/>
          <w:color w:val="2F2F2F"/>
          <w:spacing w:val="3"/>
          <w:sz w:val="27"/>
          <w:szCs w:val="27"/>
          <w:lang w:eastAsia="en-GB"/>
        </w:rPr>
        <w:t>Case outline</w:t>
      </w:r>
    </w:p>
    <w:p w14:paraId="41BA8BC8" w14:textId="77777777" w:rsidR="00A67015" w:rsidRPr="00A67015" w:rsidRDefault="00A67015" w:rsidP="00A67015">
      <w:pPr>
        <w:numPr>
          <w:ilvl w:val="0"/>
          <w:numId w:val="1"/>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A67015">
        <w:rPr>
          <w:rFonts w:ascii="Arial" w:eastAsia="Times New Roman" w:hAnsi="Arial" w:cs="Arial"/>
          <w:color w:val="007BFF"/>
          <w:spacing w:val="3"/>
          <w:sz w:val="27"/>
          <w:szCs w:val="27"/>
          <w:lang w:eastAsia="en-GB"/>
        </w:rPr>
        <w:t>Majority</w:t>
      </w:r>
      <w:r w:rsidRPr="00A67015">
        <w:rPr>
          <w:rFonts w:ascii="Arial" w:eastAsia="Times New Roman" w:hAnsi="Arial" w:cs="Arial"/>
          <w:color w:val="2F2F2F"/>
          <w:spacing w:val="3"/>
          <w:sz w:val="27"/>
          <w:szCs w:val="27"/>
          <w:lang w:eastAsia="en-GB"/>
        </w:rPr>
        <w:t> — Presiding Justice O’brien</w:t>
      </w:r>
    </w:p>
    <w:p w14:paraId="41BA8BC9" w14:textId="77777777" w:rsidR="00A67015" w:rsidRPr="00A67015" w:rsidRDefault="00A67015" w:rsidP="00A67015">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A67015">
        <w:rPr>
          <w:rFonts w:ascii="Arial" w:eastAsia="Times New Roman" w:hAnsi="Arial" w:cs="Arial"/>
          <w:color w:val="2F2F2F"/>
          <w:spacing w:val="3"/>
          <w:sz w:val="27"/>
          <w:szCs w:val="27"/>
          <w:lang w:eastAsia="en-GB"/>
        </w:rPr>
        <w:t>Other formats</w:t>
      </w:r>
    </w:p>
    <w:p w14:paraId="41BA8BCA" w14:textId="77777777" w:rsidR="00A67015" w:rsidRPr="00A67015" w:rsidRDefault="00A67015" w:rsidP="00A67015">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A67015">
        <w:rPr>
          <w:rFonts w:ascii="Arial" w:eastAsia="Times New Roman" w:hAnsi="Arial" w:cs="Arial"/>
          <w:caps/>
          <w:color w:val="0075FF"/>
          <w:spacing w:val="3"/>
          <w:sz w:val="24"/>
          <w:szCs w:val="24"/>
          <w:bdr w:val="none" w:sz="0" w:space="0" w:color="auto" w:frame="1"/>
          <w:lang w:eastAsia="en-GB"/>
        </w:rPr>
        <w:t>PDF</w:t>
      </w:r>
    </w:p>
    <w:p w14:paraId="41BA8BCB" w14:textId="77777777" w:rsidR="00A67015" w:rsidRPr="00A67015" w:rsidRDefault="00A67015" w:rsidP="00A67015">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A67015">
        <w:rPr>
          <w:rFonts w:ascii="Arial" w:eastAsia="Times New Roman" w:hAnsi="Arial" w:cs="Arial"/>
          <w:caps/>
          <w:color w:val="0075FF"/>
          <w:spacing w:val="3"/>
          <w:sz w:val="24"/>
          <w:szCs w:val="24"/>
          <w:bdr w:val="none" w:sz="0" w:space="0" w:color="auto" w:frame="1"/>
          <w:lang w:eastAsia="en-GB"/>
        </w:rPr>
        <w:t>API</w:t>
      </w:r>
    </w:p>
    <w:p w14:paraId="41BA8BCC" w14:textId="77777777" w:rsidR="00A67015" w:rsidRPr="00A67015" w:rsidRDefault="00A67015" w:rsidP="00A67015">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A67015">
        <w:rPr>
          <w:rFonts w:ascii="Arial" w:eastAsia="Times New Roman" w:hAnsi="Arial" w:cs="Arial"/>
          <w:color w:val="2F2F2F"/>
          <w:spacing w:val="3"/>
          <w:sz w:val="27"/>
          <w:szCs w:val="27"/>
          <w:lang w:eastAsia="en-GB"/>
        </w:rPr>
        <w:t>Citing cases</w:t>
      </w:r>
    </w:p>
    <w:p w14:paraId="41BA8BCD" w14:textId="77777777" w:rsidR="00A67015" w:rsidRPr="00A67015" w:rsidRDefault="00A67015" w:rsidP="00A67015">
      <w:pPr>
        <w:shd w:val="clear" w:color="auto" w:fill="FFFFFF"/>
        <w:spacing w:after="0" w:line="240" w:lineRule="auto"/>
        <w:rPr>
          <w:rFonts w:ascii="Arial" w:eastAsia="Times New Roman" w:hAnsi="Arial" w:cs="Arial"/>
          <w:color w:val="2F2F2F"/>
          <w:spacing w:val="3"/>
          <w:sz w:val="27"/>
          <w:szCs w:val="27"/>
          <w:lang w:eastAsia="en-GB"/>
        </w:rPr>
      </w:pPr>
      <w:r w:rsidRPr="00A67015">
        <w:rPr>
          <w:rFonts w:ascii="Arial" w:eastAsia="Times New Roman" w:hAnsi="Arial" w:cs="Arial"/>
          <w:color w:val="007BFF"/>
          <w:spacing w:val="3"/>
          <w:sz w:val="27"/>
          <w:szCs w:val="27"/>
          <w:lang w:eastAsia="en-GB"/>
        </w:rPr>
        <w:t>7 cases cite to this case</w:t>
      </w:r>
      <w:r w:rsidRPr="00A67015">
        <w:rPr>
          <w:rFonts w:ascii="Arial" w:eastAsia="Times New Roman" w:hAnsi="Arial" w:cs="Arial"/>
          <w:color w:val="2F2F2F"/>
          <w:spacing w:val="3"/>
          <w:sz w:val="27"/>
          <w:szCs w:val="27"/>
          <w:lang w:eastAsia="en-GB"/>
        </w:rPr>
        <w:br/>
      </w:r>
      <w:r w:rsidRPr="00A67015">
        <w:rPr>
          <w:rFonts w:ascii="Arial" w:eastAsia="Times New Roman" w:hAnsi="Arial" w:cs="Arial"/>
          <w:color w:val="007BFF"/>
          <w:spacing w:val="3"/>
          <w:sz w:val="27"/>
          <w:szCs w:val="27"/>
          <w:lang w:eastAsia="en-GB"/>
        </w:rPr>
        <w:t>View citation history in trends</w:t>
      </w:r>
    </w:p>
    <w:p w14:paraId="41BA8BCE" w14:textId="77777777" w:rsidR="00A67015" w:rsidRPr="00A67015" w:rsidRDefault="00A67015" w:rsidP="00A67015">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A67015">
        <w:rPr>
          <w:rFonts w:ascii="Arial" w:eastAsia="Times New Roman" w:hAnsi="Arial" w:cs="Arial"/>
          <w:color w:val="2F2F2F"/>
          <w:spacing w:val="3"/>
          <w:sz w:val="27"/>
          <w:szCs w:val="27"/>
          <w:lang w:eastAsia="en-GB"/>
        </w:rPr>
        <w:t>Other databases</w:t>
      </w:r>
    </w:p>
    <w:p w14:paraId="41BA8BCF" w14:textId="77777777" w:rsidR="00A67015" w:rsidRPr="00A67015" w:rsidRDefault="00A67015" w:rsidP="00A67015">
      <w:pPr>
        <w:numPr>
          <w:ilvl w:val="0"/>
          <w:numId w:val="3"/>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A67015">
        <w:rPr>
          <w:rFonts w:ascii="Arial" w:eastAsia="Times New Roman" w:hAnsi="Arial" w:cs="Arial"/>
          <w:b/>
          <w:bCs/>
          <w:caps/>
          <w:color w:val="0075FF"/>
          <w:spacing w:val="3"/>
          <w:sz w:val="24"/>
          <w:szCs w:val="24"/>
          <w:bdr w:val="none" w:sz="0" w:space="0" w:color="auto" w:frame="1"/>
          <w:lang w:eastAsia="en-GB"/>
        </w:rPr>
        <w:t>COURTLISTENER</w:t>
      </w:r>
    </w:p>
    <w:p w14:paraId="41BA8BD0" w14:textId="77777777" w:rsidR="00A67015" w:rsidRPr="00A67015" w:rsidRDefault="00727D93" w:rsidP="00A67015">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41BA8C06">
          <v:rect id="_x0000_i1026" style="width:227.25pt;height:0" o:hrpct="0" o:hralign="center" o:hrstd="t" o:hr="t" fillcolor="#a0a0a0" stroked="f"/>
        </w:pict>
      </w:r>
    </w:p>
    <w:p w14:paraId="41BA8BD1" w14:textId="77777777" w:rsidR="00A67015" w:rsidRPr="00A67015" w:rsidRDefault="00A67015" w:rsidP="00A67015">
      <w:pPr>
        <w:shd w:val="clear" w:color="auto" w:fill="FFFFFF"/>
        <w:spacing w:after="0"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EULASTINE SANDERS, as Independent Adm'r of the Estate of Patricia Sanders, Deceased, Plaintiff-Appellant,</w:t>
      </w:r>
      <w:r w:rsidRPr="00A67015">
        <w:rPr>
          <w:rFonts w:ascii="Georgia" w:eastAsia="Times New Roman" w:hAnsi="Georgia" w:cs="Arial"/>
          <w:i/>
          <w:iCs/>
          <w:color w:val="2F2F2F"/>
          <w:spacing w:val="3"/>
          <w:sz w:val="27"/>
          <w:szCs w:val="27"/>
          <w:lang w:eastAsia="en-GB"/>
        </w:rPr>
        <w:t>v.</w:t>
      </w:r>
      <w:r w:rsidRPr="00A67015">
        <w:rPr>
          <w:rFonts w:ascii="Georgia" w:eastAsia="Times New Roman" w:hAnsi="Georgia" w:cs="Arial"/>
          <w:color w:val="2F2F2F"/>
          <w:spacing w:val="3"/>
          <w:sz w:val="27"/>
          <w:szCs w:val="27"/>
          <w:lang w:eastAsia="en-GB"/>
        </w:rPr>
        <w:t>THE CITY OF CHICAGO et al., Defendants-Appellees</w:t>
      </w:r>
    </w:p>
    <w:p w14:paraId="41BA8BD2" w14:textId="77777777" w:rsidR="00A67015" w:rsidRPr="00A67015" w:rsidRDefault="00A67015" w:rsidP="00A67015">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First District (1st Division)</w:t>
      </w:r>
    </w:p>
    <w:p w14:paraId="41BA8BD3" w14:textId="77777777" w:rsidR="00A67015" w:rsidRPr="00A67015" w:rsidRDefault="00A67015" w:rsidP="00A67015">
      <w:pPr>
        <w:shd w:val="clear" w:color="auto" w:fill="F7F7F9"/>
        <w:spacing w:before="100" w:beforeAutospacing="1" w:after="0"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i/>
          <w:iCs/>
          <w:color w:val="979797"/>
          <w:spacing w:val="3"/>
          <w:lang w:eastAsia="en-GB"/>
        </w:rPr>
        <w:t>*358</w:t>
      </w:r>
      <w:r w:rsidRPr="00A67015">
        <w:rPr>
          <w:rFonts w:ascii="Georgia" w:eastAsia="Times New Roman" w:hAnsi="Georgia" w:cs="Arial"/>
          <w:color w:val="2F2F2F"/>
          <w:spacing w:val="3"/>
          <w:sz w:val="27"/>
          <w:szCs w:val="27"/>
          <w:lang w:eastAsia="en-GB"/>
        </w:rPr>
        <w:t>Kostow &amp; Passen, Ltd., of Chicago (Gary Kostow and. Stephen M. Passen, of counsel), for appellant.</w:t>
      </w:r>
    </w:p>
    <w:p w14:paraId="41BA8BD4" w14:textId="77777777" w:rsidR="00A67015" w:rsidRPr="00A67015" w:rsidRDefault="00A67015" w:rsidP="00A67015">
      <w:pPr>
        <w:shd w:val="clear" w:color="auto" w:fill="F7F7F9"/>
        <w:spacing w:after="0"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Brian L. Crowe, Corporation Counsel of Chicago (Lawrence Rosenthal, Benna Ruth Solomon, and Joshua D. Davidson, Assistant Corporation Counsel, of counsel), for appellee.</w:t>
      </w:r>
    </w:p>
    <w:p w14:paraId="41BA8BD5"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A67015">
        <w:rPr>
          <w:rFonts w:ascii="Georgia" w:eastAsia="Times New Roman" w:hAnsi="Georgia" w:cs="Arial"/>
          <w:i/>
          <w:iCs/>
          <w:color w:val="979797"/>
          <w:spacing w:val="3"/>
          <w:lang w:eastAsia="en-GB"/>
        </w:rPr>
        <w:t>*359</w:t>
      </w:r>
      <w:r w:rsidRPr="00A67015">
        <w:rPr>
          <w:rFonts w:ascii="Georgia" w:eastAsia="Times New Roman" w:hAnsi="Georgia" w:cs="Arial"/>
          <w:color w:val="E878FF"/>
          <w:spacing w:val="3"/>
          <w:sz w:val="27"/>
          <w:szCs w:val="27"/>
          <w:lang w:eastAsia="en-GB"/>
        </w:rPr>
        <w:t>PRESIDING JUSTICE O’BRIEN</w:t>
      </w:r>
    </w:p>
    <w:p w14:paraId="41BA8BD6"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delivered the opinion of the court:</w:t>
      </w:r>
    </w:p>
    <w:p w14:paraId="41BA8BD7"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magenta"/>
          <w:lang w:eastAsia="en-GB"/>
        </w:rPr>
        <w:t>Plaintiff, Eulastine Sanders, brought an action on behalf of the estate of her deceased daughter</w:t>
      </w:r>
      <w:r w:rsidRPr="00A67015">
        <w:rPr>
          <w:rFonts w:ascii="Georgia" w:eastAsia="Times New Roman" w:hAnsi="Georgia" w:cs="Arial"/>
          <w:color w:val="2F2F2F"/>
          <w:spacing w:val="3"/>
          <w:sz w:val="27"/>
          <w:szCs w:val="27"/>
          <w:lang w:eastAsia="en-GB"/>
        </w:rPr>
        <w:t xml:space="preserve"> to recover damages allegedly caused by the negligence and willful and wanton conduct of defendants, Officer Charles Copps and the City of Chicago. </w:t>
      </w:r>
      <w:r w:rsidRPr="00CC51AB">
        <w:rPr>
          <w:rFonts w:ascii="Georgia" w:eastAsia="Times New Roman" w:hAnsi="Georgia" w:cs="Arial"/>
          <w:color w:val="2F2F2F"/>
          <w:spacing w:val="3"/>
          <w:sz w:val="27"/>
          <w:szCs w:val="27"/>
          <w:highlight w:val="magenta"/>
          <w:lang w:eastAsia="en-GB"/>
        </w:rPr>
        <w:t xml:space="preserve">Plaintiffs case was tried before a jury (trial I). At the close of all the evidence, the trial court directed a verdict for defendants on the negligence counts, and the jury returned a verdict for </w:t>
      </w:r>
      <w:r w:rsidRPr="00CC51AB">
        <w:rPr>
          <w:rFonts w:ascii="Georgia" w:eastAsia="Times New Roman" w:hAnsi="Georgia" w:cs="Arial"/>
          <w:color w:val="2F2F2F"/>
          <w:spacing w:val="3"/>
          <w:sz w:val="27"/>
          <w:szCs w:val="27"/>
          <w:highlight w:val="magenta"/>
          <w:lang w:eastAsia="en-GB"/>
        </w:rPr>
        <w:lastRenderedPageBreak/>
        <w:t>defendants on the willful and wanton counts. The trial court subsequently set aside the jury verdict and the directed verdict and granted plaintiffs motion for a new trial on both the negligence and willful and wanton counts. Thereafter, the trial court granted summary judgment for defendants on the negligence counts, and the case was tried before a jury on the willful and wanton counts (trial II). This jury, too, returned a verdict for defendants. Plaintiff appeals the trial court’s orders granting summary judgment for defendants on her negligence counts and denying her posttrial II motions for a new trial or judgment notwithstanding the verdict on her willful and wanton counts.</w:t>
      </w:r>
      <w:r w:rsidRPr="00A67015">
        <w:rPr>
          <w:rFonts w:ascii="Georgia" w:eastAsia="Times New Roman" w:hAnsi="Georgia" w:cs="Arial"/>
          <w:color w:val="2F2F2F"/>
          <w:spacing w:val="3"/>
          <w:sz w:val="27"/>
          <w:szCs w:val="27"/>
          <w:lang w:eastAsia="en-GB"/>
        </w:rPr>
        <w:t xml:space="preserve"> </w:t>
      </w:r>
      <w:r w:rsidRPr="00CC51AB">
        <w:rPr>
          <w:rFonts w:ascii="Georgia" w:eastAsia="Times New Roman" w:hAnsi="Georgia" w:cs="Arial"/>
          <w:color w:val="2F2F2F"/>
          <w:spacing w:val="3"/>
          <w:sz w:val="27"/>
          <w:szCs w:val="27"/>
          <w:highlight w:val="red"/>
          <w:lang w:eastAsia="en-GB"/>
        </w:rPr>
        <w:t>We reverse the trial court’s order granting summary judgment for defendants on plaintiffs negligence counts and remand for further proceedings. We affirm the trial court’s order denying plaintiff’s posttrial motion for a new trial or judgment notwithstanding the verdict on her willful and wanton counts.</w:t>
      </w:r>
    </w:p>
    <w:p w14:paraId="41BA8BD8"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yellow"/>
          <w:lang w:eastAsia="en-GB"/>
        </w:rPr>
        <w:t>This case arose out of a traffic accident on May 1, 1991. At 8 a.m. on that date, Officer Copps reported to work and received his beat assignment. At about 8:35 a.m, he left roll call and began patrolling. Soon thereafter, he heard an emergency call over his radio from Officers Kenny Watt and Patricia Black, who had been attacked at 223 West 72nd Street. That address is in another beat area.</w:t>
      </w:r>
    </w:p>
    <w:p w14:paraId="41BA8BD9"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yellow"/>
          <w:lang w:eastAsia="en-GB"/>
        </w:rPr>
        <w:t>Without requesting permission from his supervisors, Officer Copps left his beat and proceeded toward 223 West 72nd Street. Along the way, Officer Copps heard over his radio that the suspect had been chased into a hallway at 7227 South Stewart and that the suspect was cornered but not yet searched. The radio dispatcher then asked Officer Watt and Officer Black if they were getting enough help. Officer Black responded, “Yes, we do.” Officer Copps claims not to have heard Officer Black’s response.</w:t>
      </w:r>
    </w:p>
    <w:p w14:paraId="41BA8BDA"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yellow"/>
          <w:lang w:eastAsia="en-GB"/>
        </w:rPr>
        <w:t>Officer Copps proceeded east on 71st Street toward Stewart Street. As he approached the intersection of 71st and Stewart Street, he observed that the traffic was stopped in the eastbound lane. Officer Copps then entered the westbound lane of 71st Street and proceeded to drive eastbound in that lane.</w:t>
      </w:r>
    </w:p>
    <w:p w14:paraId="41BA8BDB"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yellow"/>
          <w:lang w:eastAsia="en-GB"/>
        </w:rPr>
        <w:t>Meanwhile, plaintiff was walking her three children, Patricia, </w:t>
      </w:r>
      <w:r w:rsidRPr="00CC51AB">
        <w:rPr>
          <w:rFonts w:ascii="Georgia" w:eastAsia="Times New Roman" w:hAnsi="Georgia" w:cs="Arial"/>
          <w:i/>
          <w:iCs/>
          <w:color w:val="979797"/>
          <w:spacing w:val="3"/>
          <w:highlight w:val="yellow"/>
          <w:lang w:eastAsia="en-GB"/>
        </w:rPr>
        <w:t>*360</w:t>
      </w:r>
      <w:r w:rsidRPr="00CC51AB">
        <w:rPr>
          <w:rFonts w:ascii="Georgia" w:eastAsia="Times New Roman" w:hAnsi="Georgia" w:cs="Arial"/>
          <w:color w:val="2F2F2F"/>
          <w:spacing w:val="3"/>
          <w:sz w:val="27"/>
          <w:szCs w:val="27"/>
          <w:highlight w:val="yellow"/>
          <w:lang w:eastAsia="en-GB"/>
        </w:rPr>
        <w:t xml:space="preserve">April, and Jerry, to school. Plaintiff and her children walked eastward on 71st Street halfway down the block toward Stewart, then turned and walked in a northerly direction across the eastbound traffic lane, crossing in front of a dump truck that was stopped in that lane. Before reaching the center lane dividing eastbound and westbound traffic, plaintiff looked to her right, in the direction from which she would expect to see approaching traffic. By the time she glanced back to her left, Officer Copps’ vehicle had </w:t>
      </w:r>
      <w:r w:rsidRPr="00CC51AB">
        <w:rPr>
          <w:rFonts w:ascii="Georgia" w:eastAsia="Times New Roman" w:hAnsi="Georgia" w:cs="Arial"/>
          <w:color w:val="2F2F2F"/>
          <w:spacing w:val="3"/>
          <w:sz w:val="27"/>
          <w:szCs w:val="27"/>
          <w:highlight w:val="yellow"/>
          <w:lang w:eastAsia="en-GB"/>
        </w:rPr>
        <w:lastRenderedPageBreak/>
        <w:t>struck Patricia in the westbound lane. Patricia suffered serious injuries and died on February 13, 1997.</w:t>
      </w:r>
    </w:p>
    <w:p w14:paraId="41BA8BDC"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magenta"/>
          <w:lang w:eastAsia="en-GB"/>
        </w:rPr>
        <w:t>Plaintiff filed a complaint alleging that defendants acted negligently and willfully and wantonly in connection with the car accident that killed Patricia. Defendants filed a-motion for summary judgment</w:t>
      </w:r>
      <w:r w:rsidRPr="00A67015">
        <w:rPr>
          <w:rFonts w:ascii="Georgia" w:eastAsia="Times New Roman" w:hAnsi="Georgia" w:cs="Arial"/>
          <w:color w:val="2F2F2F"/>
          <w:spacing w:val="3"/>
          <w:sz w:val="27"/>
          <w:szCs w:val="27"/>
          <w:lang w:eastAsia="en-GB"/>
        </w:rPr>
        <w:t xml:space="preserve">, arguing that sections 2 — 202 and 2 — 109 of the Local Governmental and Governmental Employees Tort Immunity Act (the Tort Immunity Act) (745 ILCS 10/2 — 202, 10/2 — 109 (West 1996)) immunized them from liability in negligence for acts and omissions in the execution and enforcement of any law. Defendants supported their motion with sworn testimony and exhibits purportedly demonstrating that defendant Officer Copps was responding to an emergency call, and thus was executing and enforcing the law, when the accident occurred. </w:t>
      </w:r>
      <w:r w:rsidRPr="00CC51AB">
        <w:rPr>
          <w:rFonts w:ascii="Georgia" w:eastAsia="Times New Roman" w:hAnsi="Georgia" w:cs="Arial"/>
          <w:color w:val="2F2F2F"/>
          <w:spacing w:val="3"/>
          <w:sz w:val="27"/>
          <w:szCs w:val="27"/>
          <w:highlight w:val="magenta"/>
          <w:lang w:eastAsia="en-GB"/>
        </w:rPr>
        <w:t>The trial court granted defendants’ motion for summary judgment. Thereafter, the jury found for defendants on the willful and wanton counts. Plaintiff filed this timely appeal.</w:t>
      </w:r>
    </w:p>
    <w:p w14:paraId="41BA8BDD"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Initially, defendants argue we should dismiss plaintiffs appeal pursuant to Supreme Court Rule 341(e)(7) (155 Ill. 2d R. 341(e)(7)) for failing to cite to the record that was before the trial court at the time of its summary judgment ruling. We disagree. At the time of its summary judgment ruling, the trial court had before it testimony from trial I. In her appellate brief arguing for reversal of the trial court’s order granting summary judgment, plaintiff cites to testimony from trial II. Defendants contend that plaintiff waived her argument by citing trial II testimony instead of trial I testimony. Defendants’ argument fails because the testimony at trial II was the same as that at trial I; therefore, this court has before it the same evidence, with appropriate citations, the trial judge had before her when she granted defendants’ motion for summary judgment. Accordingly, we deny defendants’ motion to dismiss plaintiffs appeal.</w:t>
      </w:r>
    </w:p>
    <w:p w14:paraId="41BA8BDE"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We now address plaintiffs argument that the trial court erred in granting defendants’ motion for summary judgment on plaintiffs negligence counts. Summary judgment is appropriate when, viewed in the light most favorable to the nonmoving party, the pleadings, depositions and admissions on file reveal that no genuine issues of material fact exist and that the moving party is entitled to judgment as a mat</w:t>
      </w:r>
      <w:r w:rsidRPr="00A67015">
        <w:rPr>
          <w:rFonts w:ascii="Georgia" w:eastAsia="Times New Roman" w:hAnsi="Georgia" w:cs="Arial"/>
          <w:i/>
          <w:iCs/>
          <w:color w:val="979797"/>
          <w:spacing w:val="3"/>
          <w:lang w:eastAsia="en-GB"/>
        </w:rPr>
        <w:t>*361</w:t>
      </w:r>
      <w:r w:rsidRPr="00A67015">
        <w:rPr>
          <w:rFonts w:ascii="Georgia" w:eastAsia="Times New Roman" w:hAnsi="Georgia" w:cs="Arial"/>
          <w:color w:val="2F2F2F"/>
          <w:spacing w:val="3"/>
          <w:sz w:val="27"/>
          <w:szCs w:val="27"/>
          <w:lang w:eastAsia="en-GB"/>
        </w:rPr>
        <w:t>ter of law. </w:t>
      </w:r>
      <w:r w:rsidRPr="00A67015">
        <w:rPr>
          <w:rFonts w:ascii="Georgia" w:eastAsia="Times New Roman" w:hAnsi="Georgia" w:cs="Arial"/>
          <w:i/>
          <w:iCs/>
          <w:color w:val="2F2F2F"/>
          <w:spacing w:val="3"/>
          <w:sz w:val="27"/>
          <w:szCs w:val="27"/>
          <w:lang w:eastAsia="en-GB"/>
        </w:rPr>
        <w:t>Ragan v. Columbia Mutual Insurance Co., </w:t>
      </w:r>
      <w:r w:rsidRPr="00A67015">
        <w:rPr>
          <w:rFonts w:ascii="Georgia" w:eastAsia="Times New Roman" w:hAnsi="Georgia" w:cs="Arial"/>
          <w:color w:val="007BFF"/>
          <w:spacing w:val="3"/>
          <w:sz w:val="27"/>
          <w:szCs w:val="27"/>
          <w:lang w:eastAsia="en-GB"/>
        </w:rPr>
        <w:t>183 Ill. 2d 342</w:t>
      </w:r>
      <w:r w:rsidRPr="00A67015">
        <w:rPr>
          <w:rFonts w:ascii="Georgia" w:eastAsia="Times New Roman" w:hAnsi="Georgia" w:cs="Arial"/>
          <w:color w:val="2F2F2F"/>
          <w:spacing w:val="3"/>
          <w:sz w:val="27"/>
          <w:szCs w:val="27"/>
          <w:lang w:eastAsia="en-GB"/>
        </w:rPr>
        <w:t xml:space="preserve">, 349 (1998). </w:t>
      </w:r>
      <w:r w:rsidRPr="00CC51AB">
        <w:rPr>
          <w:rFonts w:ascii="Georgia" w:eastAsia="Times New Roman" w:hAnsi="Georgia" w:cs="Arial"/>
          <w:color w:val="2F2F2F"/>
          <w:spacing w:val="3"/>
          <w:sz w:val="27"/>
          <w:szCs w:val="27"/>
          <w:highlight w:val="magenta"/>
          <w:lang w:eastAsia="en-GB"/>
        </w:rPr>
        <w:t>The standard of review in cases involving summary judgment is </w:t>
      </w:r>
      <w:r w:rsidRPr="00CC51AB">
        <w:rPr>
          <w:rFonts w:ascii="Georgia" w:eastAsia="Times New Roman" w:hAnsi="Georgia" w:cs="Arial"/>
          <w:i/>
          <w:iCs/>
          <w:color w:val="2F2F2F"/>
          <w:spacing w:val="3"/>
          <w:sz w:val="27"/>
          <w:szCs w:val="27"/>
          <w:highlight w:val="magenta"/>
          <w:lang w:eastAsia="en-GB"/>
        </w:rPr>
        <w:t>de novo.</w:t>
      </w:r>
      <w:r w:rsidRPr="00A67015">
        <w:rPr>
          <w:rFonts w:ascii="Georgia" w:eastAsia="Times New Roman" w:hAnsi="Georgia" w:cs="Arial"/>
          <w:i/>
          <w:iCs/>
          <w:color w:val="2F2F2F"/>
          <w:spacing w:val="3"/>
          <w:sz w:val="27"/>
          <w:szCs w:val="27"/>
          <w:lang w:eastAsia="en-GB"/>
        </w:rPr>
        <w:t xml:space="preserve"> Ragan, </w:t>
      </w:r>
      <w:r w:rsidRPr="00A67015">
        <w:rPr>
          <w:rFonts w:ascii="Georgia" w:eastAsia="Times New Roman" w:hAnsi="Georgia" w:cs="Arial"/>
          <w:color w:val="007BFF"/>
          <w:spacing w:val="3"/>
          <w:sz w:val="27"/>
          <w:szCs w:val="27"/>
          <w:lang w:eastAsia="en-GB"/>
        </w:rPr>
        <w:t>183 Ill. 2d at 349</w:t>
      </w:r>
      <w:r w:rsidRPr="00A67015">
        <w:rPr>
          <w:rFonts w:ascii="Georgia" w:eastAsia="Times New Roman" w:hAnsi="Georgia" w:cs="Arial"/>
          <w:color w:val="2F2F2F"/>
          <w:spacing w:val="3"/>
          <w:sz w:val="27"/>
          <w:szCs w:val="27"/>
          <w:lang w:eastAsia="en-GB"/>
        </w:rPr>
        <w:t>.</w:t>
      </w:r>
    </w:p>
    <w:p w14:paraId="41BA8BDF"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magenta"/>
          <w:lang w:eastAsia="en-GB"/>
        </w:rPr>
        <w:t>The trial court found as a matter of law that Officer Copps was executing and enforcing the law at the time of the accident and, thus, sections 2 — 109 and 2 — 202 of the Tort Immunity Act immunized defendants from liability in negligence.</w:t>
      </w:r>
      <w:r w:rsidRPr="00A67015">
        <w:rPr>
          <w:rFonts w:ascii="Georgia" w:eastAsia="Times New Roman" w:hAnsi="Georgia" w:cs="Arial"/>
          <w:color w:val="2F2F2F"/>
          <w:spacing w:val="3"/>
          <w:sz w:val="27"/>
          <w:szCs w:val="27"/>
          <w:lang w:eastAsia="en-GB"/>
        </w:rPr>
        <w:t xml:space="preserve"> </w:t>
      </w:r>
      <w:r w:rsidRPr="00CC51AB">
        <w:rPr>
          <w:rFonts w:ascii="Georgia" w:eastAsia="Times New Roman" w:hAnsi="Georgia" w:cs="Arial"/>
          <w:color w:val="2F2F2F"/>
          <w:spacing w:val="3"/>
          <w:sz w:val="27"/>
          <w:szCs w:val="27"/>
          <w:highlight w:val="cyan"/>
          <w:lang w:eastAsia="en-GB"/>
        </w:rPr>
        <w:t>Sections 2 — 109 and 2 — 202</w:t>
      </w:r>
      <w:r w:rsidRPr="00A67015">
        <w:rPr>
          <w:rFonts w:ascii="Georgia" w:eastAsia="Times New Roman" w:hAnsi="Georgia" w:cs="Arial"/>
          <w:color w:val="2F2F2F"/>
          <w:spacing w:val="3"/>
          <w:sz w:val="27"/>
          <w:szCs w:val="27"/>
          <w:lang w:eastAsia="en-GB"/>
        </w:rPr>
        <w:t xml:space="preserve"> provide:</w:t>
      </w:r>
    </w:p>
    <w:p w14:paraId="41BA8BE0" w14:textId="77777777" w:rsidR="00A67015" w:rsidRPr="00A67015" w:rsidRDefault="00A67015" w:rsidP="00A67015">
      <w:pPr>
        <w:shd w:val="clear" w:color="auto" w:fill="FFFFFF"/>
        <w:spacing w:after="100" w:line="240" w:lineRule="auto"/>
        <w:rPr>
          <w:rFonts w:ascii="Georgia" w:eastAsia="Times New Roman" w:hAnsi="Georgia" w:cs="Arial"/>
          <w:color w:val="004FB3"/>
          <w:spacing w:val="3"/>
          <w:sz w:val="27"/>
          <w:szCs w:val="27"/>
          <w:lang w:eastAsia="en-GB"/>
        </w:rPr>
      </w:pPr>
      <w:r w:rsidRPr="00CC51AB">
        <w:rPr>
          <w:rFonts w:ascii="Georgia" w:eastAsia="Times New Roman" w:hAnsi="Georgia" w:cs="Arial"/>
          <w:color w:val="004FB3"/>
          <w:spacing w:val="3"/>
          <w:sz w:val="27"/>
          <w:szCs w:val="27"/>
          <w:highlight w:val="cyan"/>
          <w:lang w:eastAsia="en-GB"/>
        </w:rPr>
        <w:t xml:space="preserve">“§ 2 — 109. A local public entity is not </w:t>
      </w:r>
      <w:r w:rsidR="00CC51AB">
        <w:rPr>
          <w:rFonts w:ascii="Georgia" w:eastAsia="Times New Roman" w:hAnsi="Georgia" w:cs="Arial"/>
          <w:color w:val="004FB3"/>
          <w:spacing w:val="3"/>
          <w:sz w:val="27"/>
          <w:szCs w:val="27"/>
          <w:highlight w:val="cyan"/>
          <w:lang w:eastAsia="en-GB"/>
        </w:rPr>
        <w:t>li</w:t>
      </w:r>
      <w:r w:rsidRPr="00CC51AB">
        <w:rPr>
          <w:rFonts w:ascii="Georgia" w:eastAsia="Times New Roman" w:hAnsi="Georgia" w:cs="Arial"/>
          <w:color w:val="004FB3"/>
          <w:spacing w:val="3"/>
          <w:sz w:val="27"/>
          <w:szCs w:val="27"/>
          <w:highlight w:val="cyan"/>
          <w:lang w:eastAsia="en-GB"/>
        </w:rPr>
        <w:t>able for an injury resulting from an act or omission of its employee where the employee is not liable.” 745 ILCS 10/2 — 109 (West 1996).</w:t>
      </w:r>
    </w:p>
    <w:p w14:paraId="41BA8BE1" w14:textId="77777777" w:rsidR="00A67015" w:rsidRPr="00A67015" w:rsidRDefault="00A67015" w:rsidP="00A67015">
      <w:pPr>
        <w:shd w:val="clear" w:color="auto" w:fill="FFFFFF"/>
        <w:spacing w:after="100" w:line="240" w:lineRule="auto"/>
        <w:rPr>
          <w:rFonts w:ascii="Georgia" w:eastAsia="Times New Roman" w:hAnsi="Georgia" w:cs="Arial"/>
          <w:color w:val="004FB3"/>
          <w:spacing w:val="3"/>
          <w:sz w:val="27"/>
          <w:szCs w:val="27"/>
          <w:lang w:eastAsia="en-GB"/>
        </w:rPr>
      </w:pPr>
      <w:r w:rsidRPr="00CC51AB">
        <w:rPr>
          <w:rFonts w:ascii="Georgia" w:eastAsia="Times New Roman" w:hAnsi="Georgia" w:cs="Arial"/>
          <w:color w:val="004FB3"/>
          <w:spacing w:val="3"/>
          <w:sz w:val="27"/>
          <w:szCs w:val="27"/>
          <w:highlight w:val="cyan"/>
          <w:lang w:eastAsia="en-GB"/>
        </w:rPr>
        <w:t>“§ 2 — 202. A public employee is not liable for his act or omission </w:t>
      </w:r>
      <w:r w:rsidRPr="00CC51AB">
        <w:rPr>
          <w:rFonts w:ascii="Georgia" w:eastAsia="Times New Roman" w:hAnsi="Georgia" w:cs="Arial"/>
          <w:i/>
          <w:iCs/>
          <w:color w:val="004FB3"/>
          <w:spacing w:val="3"/>
          <w:sz w:val="27"/>
          <w:szCs w:val="27"/>
          <w:highlight w:val="cyan"/>
          <w:lang w:eastAsia="en-GB"/>
        </w:rPr>
        <w:t>in the execution or enforcement of any law </w:t>
      </w:r>
      <w:r w:rsidRPr="00CC51AB">
        <w:rPr>
          <w:rFonts w:ascii="Georgia" w:eastAsia="Times New Roman" w:hAnsi="Georgia" w:cs="Arial"/>
          <w:color w:val="004FB3"/>
          <w:spacing w:val="3"/>
          <w:sz w:val="27"/>
          <w:szCs w:val="27"/>
          <w:highlight w:val="cyan"/>
          <w:lang w:eastAsia="en-GB"/>
        </w:rPr>
        <w:t>unless such act or omission constitutes willful and wanton conduct.”</w:t>
      </w:r>
      <w:r w:rsidRPr="00A67015">
        <w:rPr>
          <w:rFonts w:ascii="Georgia" w:eastAsia="Times New Roman" w:hAnsi="Georgia" w:cs="Arial"/>
          <w:color w:val="004FB3"/>
          <w:spacing w:val="3"/>
          <w:sz w:val="27"/>
          <w:szCs w:val="27"/>
          <w:lang w:eastAsia="en-GB"/>
        </w:rPr>
        <w:t xml:space="preserve"> (Emphasis added.) </w:t>
      </w:r>
      <w:r w:rsidRPr="00CC51AB">
        <w:rPr>
          <w:rFonts w:ascii="Georgia" w:eastAsia="Times New Roman" w:hAnsi="Georgia" w:cs="Arial"/>
          <w:color w:val="004FB3"/>
          <w:spacing w:val="3"/>
          <w:sz w:val="27"/>
          <w:szCs w:val="27"/>
          <w:highlight w:val="cyan"/>
          <w:lang w:eastAsia="en-GB"/>
        </w:rPr>
        <w:t>745 ILCS 10/2 — 202 (West 1996).</w:t>
      </w:r>
    </w:p>
    <w:p w14:paraId="41BA8BE2"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Whether a police officer is executing or enforcing the law is ordinarily a question of fact. </w:t>
      </w:r>
      <w:r w:rsidRPr="00CC51AB">
        <w:rPr>
          <w:rFonts w:ascii="Georgia" w:eastAsia="Times New Roman" w:hAnsi="Georgia" w:cs="Arial"/>
          <w:i/>
          <w:iCs/>
          <w:color w:val="2F2F2F"/>
          <w:spacing w:val="3"/>
          <w:sz w:val="27"/>
          <w:szCs w:val="27"/>
          <w:highlight w:val="cyan"/>
          <w:lang w:eastAsia="en-GB"/>
        </w:rPr>
        <w:t>Arnolt v. City of Highland Park, </w:t>
      </w:r>
      <w:r w:rsidRPr="00CC51AB">
        <w:rPr>
          <w:rFonts w:ascii="Georgia" w:eastAsia="Times New Roman" w:hAnsi="Georgia" w:cs="Arial"/>
          <w:color w:val="007BFF"/>
          <w:spacing w:val="3"/>
          <w:sz w:val="27"/>
          <w:szCs w:val="27"/>
          <w:highlight w:val="cyan"/>
          <w:lang w:eastAsia="en-GB"/>
        </w:rPr>
        <w:t>52 Ill. 2d 27</w:t>
      </w:r>
      <w:r w:rsidRPr="00CC51AB">
        <w:rPr>
          <w:rFonts w:ascii="Georgia" w:eastAsia="Times New Roman" w:hAnsi="Georgia" w:cs="Arial"/>
          <w:color w:val="2F2F2F"/>
          <w:spacing w:val="3"/>
          <w:sz w:val="27"/>
          <w:szCs w:val="27"/>
          <w:highlight w:val="cyan"/>
          <w:lang w:eastAsia="en-GB"/>
        </w:rPr>
        <w:t>, 35 (1972).</w:t>
      </w:r>
      <w:r w:rsidRPr="00A67015">
        <w:rPr>
          <w:rFonts w:ascii="Georgia" w:eastAsia="Times New Roman" w:hAnsi="Georgia" w:cs="Arial"/>
          <w:color w:val="2F2F2F"/>
          <w:spacing w:val="3"/>
          <w:sz w:val="27"/>
          <w:szCs w:val="27"/>
          <w:lang w:eastAsia="en-GB"/>
        </w:rPr>
        <w:t xml:space="preserve"> However, where the facts point to only one conclusion, the trial court may determine the issue as a matter of law. See </w:t>
      </w:r>
      <w:r w:rsidRPr="00CC51AB">
        <w:rPr>
          <w:rFonts w:ascii="Georgia" w:eastAsia="Times New Roman" w:hAnsi="Georgia" w:cs="Arial"/>
          <w:i/>
          <w:iCs/>
          <w:color w:val="2F2F2F"/>
          <w:spacing w:val="3"/>
          <w:sz w:val="27"/>
          <w:szCs w:val="27"/>
          <w:highlight w:val="cyan"/>
          <w:lang w:eastAsia="en-GB"/>
        </w:rPr>
        <w:t>Morton v. City of Chicago, </w:t>
      </w:r>
      <w:r w:rsidRPr="00CC51AB">
        <w:rPr>
          <w:rFonts w:ascii="Georgia" w:eastAsia="Times New Roman" w:hAnsi="Georgia" w:cs="Arial"/>
          <w:i/>
          <w:iCs/>
          <w:color w:val="007BFF"/>
          <w:spacing w:val="3"/>
          <w:sz w:val="27"/>
          <w:szCs w:val="27"/>
          <w:highlight w:val="cyan"/>
          <w:lang w:eastAsia="en-GB"/>
        </w:rPr>
        <w:t>286 </w:t>
      </w:r>
      <w:r w:rsidRPr="00CC51AB">
        <w:rPr>
          <w:rFonts w:ascii="Georgia" w:eastAsia="Times New Roman" w:hAnsi="Georgia" w:cs="Arial"/>
          <w:color w:val="007BFF"/>
          <w:spacing w:val="3"/>
          <w:sz w:val="27"/>
          <w:szCs w:val="27"/>
          <w:highlight w:val="cyan"/>
          <w:lang w:eastAsia="en-GB"/>
        </w:rPr>
        <w:t>Ill. App. 3d 444</w:t>
      </w:r>
      <w:r w:rsidRPr="00CC51AB">
        <w:rPr>
          <w:rFonts w:ascii="Georgia" w:eastAsia="Times New Roman" w:hAnsi="Georgia" w:cs="Arial"/>
          <w:color w:val="2F2F2F"/>
          <w:spacing w:val="3"/>
          <w:sz w:val="27"/>
          <w:szCs w:val="27"/>
          <w:highlight w:val="cyan"/>
          <w:lang w:eastAsia="en-GB"/>
        </w:rPr>
        <w:t>, 455 (1997).</w:t>
      </w:r>
    </w:p>
    <w:p w14:paraId="41BA8BE3" w14:textId="77777777" w:rsidR="00A67015" w:rsidRPr="00CC51AB"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highlight w:val="green"/>
          <w:lang w:eastAsia="en-GB"/>
        </w:rPr>
      </w:pPr>
      <w:r w:rsidRPr="00A67015">
        <w:rPr>
          <w:rFonts w:ascii="Georgia" w:eastAsia="Times New Roman" w:hAnsi="Georgia" w:cs="Arial"/>
          <w:color w:val="2F2F2F"/>
          <w:spacing w:val="3"/>
          <w:sz w:val="27"/>
          <w:szCs w:val="27"/>
          <w:lang w:eastAsia="en-GB"/>
        </w:rPr>
        <w:t>Defendants cite </w:t>
      </w:r>
      <w:r w:rsidRPr="00CC51AB">
        <w:rPr>
          <w:rFonts w:ascii="Georgia" w:eastAsia="Times New Roman" w:hAnsi="Georgia" w:cs="Arial"/>
          <w:i/>
          <w:iCs/>
          <w:color w:val="2F2F2F"/>
          <w:spacing w:val="3"/>
          <w:sz w:val="27"/>
          <w:szCs w:val="27"/>
          <w:lang w:eastAsia="en-GB"/>
        </w:rPr>
        <w:t>Morris v. City of Chicago, </w:t>
      </w:r>
      <w:r w:rsidRPr="00CC51AB">
        <w:rPr>
          <w:rFonts w:ascii="Georgia" w:eastAsia="Times New Roman" w:hAnsi="Georgia" w:cs="Arial"/>
          <w:color w:val="007BFF"/>
          <w:spacing w:val="3"/>
          <w:sz w:val="27"/>
          <w:szCs w:val="27"/>
          <w:lang w:eastAsia="en-GB"/>
        </w:rPr>
        <w:t>130 Ill. App. 3d 740</w:t>
      </w:r>
      <w:r w:rsidRPr="00CC51AB">
        <w:rPr>
          <w:rFonts w:ascii="Georgia" w:eastAsia="Times New Roman" w:hAnsi="Georgia" w:cs="Arial"/>
          <w:color w:val="2F2F2F"/>
          <w:spacing w:val="3"/>
          <w:sz w:val="27"/>
          <w:szCs w:val="27"/>
          <w:lang w:eastAsia="en-GB"/>
        </w:rPr>
        <w:t> (1985),</w:t>
      </w:r>
      <w:r w:rsidRPr="00A67015">
        <w:rPr>
          <w:rFonts w:ascii="Georgia" w:eastAsia="Times New Roman" w:hAnsi="Georgia" w:cs="Arial"/>
          <w:color w:val="2F2F2F"/>
          <w:spacing w:val="3"/>
          <w:sz w:val="27"/>
          <w:szCs w:val="27"/>
          <w:lang w:eastAsia="en-GB"/>
        </w:rPr>
        <w:t xml:space="preserve"> which held as a matter of law that a police officer responding to an emergency call is executing and enforcing the law within the meaning of </w:t>
      </w:r>
      <w:r w:rsidRPr="00CC51AB">
        <w:rPr>
          <w:rFonts w:ascii="Georgia" w:eastAsia="Times New Roman" w:hAnsi="Georgia" w:cs="Arial"/>
          <w:color w:val="2F2F2F"/>
          <w:spacing w:val="3"/>
          <w:sz w:val="27"/>
          <w:szCs w:val="27"/>
          <w:highlight w:val="cyan"/>
          <w:lang w:eastAsia="en-GB"/>
        </w:rPr>
        <w:t>section 2 — 202 of the Tort Immunity Act</w:t>
      </w:r>
      <w:r w:rsidRPr="00A67015">
        <w:rPr>
          <w:rFonts w:ascii="Georgia" w:eastAsia="Times New Roman" w:hAnsi="Georgia" w:cs="Arial"/>
          <w:color w:val="2F2F2F"/>
          <w:spacing w:val="3"/>
          <w:sz w:val="27"/>
          <w:szCs w:val="27"/>
          <w:lang w:eastAsia="en-GB"/>
        </w:rPr>
        <w:t>. See </w:t>
      </w:r>
      <w:r w:rsidRPr="00CC51AB">
        <w:rPr>
          <w:rFonts w:ascii="Georgia" w:eastAsia="Times New Roman" w:hAnsi="Georgia" w:cs="Arial"/>
          <w:i/>
          <w:iCs/>
          <w:color w:val="2F2F2F"/>
          <w:spacing w:val="3"/>
          <w:sz w:val="27"/>
          <w:szCs w:val="27"/>
          <w:lang w:eastAsia="en-GB"/>
        </w:rPr>
        <w:t>Morris, </w:t>
      </w:r>
      <w:r w:rsidRPr="00CC51AB">
        <w:rPr>
          <w:rFonts w:ascii="Georgia" w:eastAsia="Times New Roman" w:hAnsi="Georgia" w:cs="Arial"/>
          <w:color w:val="007BFF"/>
          <w:spacing w:val="3"/>
          <w:sz w:val="27"/>
          <w:szCs w:val="27"/>
          <w:lang w:eastAsia="en-GB"/>
        </w:rPr>
        <w:t>130 Ill. App. 3d</w:t>
      </w:r>
      <w:r w:rsidRPr="00A67015">
        <w:rPr>
          <w:rFonts w:ascii="Georgia" w:eastAsia="Times New Roman" w:hAnsi="Georgia" w:cs="Arial"/>
          <w:color w:val="007BFF"/>
          <w:spacing w:val="3"/>
          <w:sz w:val="27"/>
          <w:szCs w:val="27"/>
          <w:lang w:eastAsia="en-GB"/>
        </w:rPr>
        <w:t xml:space="preserve"> 740</w:t>
      </w:r>
      <w:r w:rsidRPr="00A67015">
        <w:rPr>
          <w:rFonts w:ascii="Georgia" w:eastAsia="Times New Roman" w:hAnsi="Georgia" w:cs="Arial"/>
          <w:color w:val="2F2F2F"/>
          <w:spacing w:val="3"/>
          <w:sz w:val="27"/>
          <w:szCs w:val="27"/>
          <w:lang w:eastAsia="en-GB"/>
        </w:rPr>
        <w:t xml:space="preserve"> (holding that a police officer responding to a radio call of a crime in progress was executing and enforcing the laws). </w:t>
      </w:r>
      <w:r w:rsidRPr="00CC51AB">
        <w:rPr>
          <w:rFonts w:ascii="Georgia" w:eastAsia="Times New Roman" w:hAnsi="Georgia" w:cs="Arial"/>
          <w:color w:val="2F2F2F"/>
          <w:spacing w:val="3"/>
          <w:sz w:val="27"/>
          <w:szCs w:val="27"/>
          <w:highlight w:val="green"/>
          <w:lang w:eastAsia="en-GB"/>
        </w:rPr>
        <w:t>Defendants argue that, like </w:t>
      </w:r>
      <w:r w:rsidRPr="00CC51AB">
        <w:rPr>
          <w:rFonts w:ascii="Georgia" w:eastAsia="Times New Roman" w:hAnsi="Georgia" w:cs="Arial"/>
          <w:i/>
          <w:iCs/>
          <w:color w:val="2F2F2F"/>
          <w:spacing w:val="3"/>
          <w:sz w:val="27"/>
          <w:szCs w:val="27"/>
          <w:highlight w:val="green"/>
          <w:lang w:eastAsia="en-GB"/>
        </w:rPr>
        <w:t>Morris, </w:t>
      </w:r>
      <w:r w:rsidRPr="00CC51AB">
        <w:rPr>
          <w:rFonts w:ascii="Georgia" w:eastAsia="Times New Roman" w:hAnsi="Georgia" w:cs="Arial"/>
          <w:color w:val="2F2F2F"/>
          <w:spacing w:val="3"/>
          <w:sz w:val="27"/>
          <w:szCs w:val="27"/>
          <w:highlight w:val="green"/>
          <w:lang w:eastAsia="en-GB"/>
        </w:rPr>
        <w:t xml:space="preserve">Officer Copps was responding to an emergency call for assistance from fellow Officers Watt and Black and therefore the trial court correctly determined as a matter of law that </w:t>
      </w:r>
      <w:r w:rsidRPr="00CC51AB">
        <w:rPr>
          <w:rFonts w:ascii="Georgia" w:eastAsia="Times New Roman" w:hAnsi="Georgia" w:cs="Arial"/>
          <w:color w:val="2F2F2F"/>
          <w:spacing w:val="3"/>
          <w:sz w:val="27"/>
          <w:szCs w:val="27"/>
          <w:highlight w:val="cyan"/>
          <w:lang w:eastAsia="en-GB"/>
        </w:rPr>
        <w:t xml:space="preserve">section 2 — 202 </w:t>
      </w:r>
      <w:r w:rsidRPr="00CC51AB">
        <w:rPr>
          <w:rFonts w:ascii="Georgia" w:eastAsia="Times New Roman" w:hAnsi="Georgia" w:cs="Arial"/>
          <w:color w:val="2F2F2F"/>
          <w:spacing w:val="3"/>
          <w:sz w:val="27"/>
          <w:szCs w:val="27"/>
          <w:highlight w:val="green"/>
          <w:lang w:eastAsia="en-GB"/>
        </w:rPr>
        <w:t>immunized Officer Copps from liability in negligence.</w:t>
      </w:r>
    </w:p>
    <w:p w14:paraId="41BA8BE4"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green"/>
          <w:lang w:eastAsia="en-GB"/>
        </w:rPr>
        <w:t>We would agree with defendants’ argument if the uncontradicted evidence showed that Officer Copps was responding to an emergency at the time of the accident. However, plaintiff presented evidence that about one minute prior to the accident, the police dispatcher asked Officer Watt and Officer Black whether they were getting enough assistance. Officer Black responded affirmatively. Plaintiff also presented evidence that Officer Black’s words constituted a “slow down,” meaning that the emergency was over and that a responding officer no longer had the right to disregard traffic rules.</w:t>
      </w:r>
    </w:p>
    <w:p w14:paraId="41BA8BE5"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green"/>
          <w:lang w:eastAsia="en-GB"/>
        </w:rPr>
        <w:t xml:space="preserve">Under these set of facts, a jury could find that, with the emergency over, Officer Copps was merely cruising around in his car at the time of the accident. Such conduct does not fall within </w:t>
      </w:r>
      <w:r w:rsidRPr="00CC51AB">
        <w:rPr>
          <w:rFonts w:ascii="Georgia" w:eastAsia="Times New Roman" w:hAnsi="Georgia" w:cs="Arial"/>
          <w:color w:val="2F2F2F"/>
          <w:spacing w:val="3"/>
          <w:sz w:val="27"/>
          <w:szCs w:val="27"/>
          <w:highlight w:val="cyan"/>
          <w:lang w:eastAsia="en-GB"/>
        </w:rPr>
        <w:t>section 2 — 202 </w:t>
      </w:r>
      <w:r w:rsidRPr="00CC51AB">
        <w:rPr>
          <w:rFonts w:ascii="Georgia" w:eastAsia="Times New Roman" w:hAnsi="Georgia" w:cs="Arial"/>
          <w:i/>
          <w:iCs/>
          <w:color w:val="979797"/>
          <w:spacing w:val="3"/>
          <w:highlight w:val="cyan"/>
          <w:lang w:eastAsia="en-GB"/>
        </w:rPr>
        <w:t>*362</w:t>
      </w:r>
      <w:r w:rsidRPr="00CC51AB">
        <w:rPr>
          <w:rFonts w:ascii="Georgia" w:eastAsia="Times New Roman" w:hAnsi="Georgia" w:cs="Arial"/>
          <w:color w:val="2F2F2F"/>
          <w:spacing w:val="3"/>
          <w:sz w:val="27"/>
          <w:szCs w:val="27"/>
          <w:highlight w:val="cyan"/>
          <w:lang w:eastAsia="en-GB"/>
        </w:rPr>
        <w:t>of the Tort Immunity Act.</w:t>
      </w:r>
      <w:r w:rsidRPr="00A67015">
        <w:rPr>
          <w:rFonts w:ascii="Georgia" w:eastAsia="Times New Roman" w:hAnsi="Georgia" w:cs="Arial"/>
          <w:color w:val="2F2F2F"/>
          <w:spacing w:val="3"/>
          <w:sz w:val="27"/>
          <w:szCs w:val="27"/>
          <w:lang w:eastAsia="en-GB"/>
        </w:rPr>
        <w:t xml:space="preserve"> See </w:t>
      </w:r>
      <w:r w:rsidRPr="00CC51AB">
        <w:rPr>
          <w:rFonts w:ascii="Georgia" w:eastAsia="Times New Roman" w:hAnsi="Georgia" w:cs="Arial"/>
          <w:i/>
          <w:iCs/>
          <w:color w:val="2F2F2F"/>
          <w:spacing w:val="3"/>
          <w:sz w:val="27"/>
          <w:szCs w:val="27"/>
          <w:highlight w:val="cyan"/>
          <w:lang w:eastAsia="en-GB"/>
        </w:rPr>
        <w:t>Leaks v. City of Chicago, </w:t>
      </w:r>
      <w:r w:rsidRPr="00CC51AB">
        <w:rPr>
          <w:rFonts w:ascii="Georgia" w:eastAsia="Times New Roman" w:hAnsi="Georgia" w:cs="Arial"/>
          <w:color w:val="007BFF"/>
          <w:spacing w:val="3"/>
          <w:sz w:val="27"/>
          <w:szCs w:val="27"/>
          <w:highlight w:val="cyan"/>
          <w:lang w:eastAsia="en-GB"/>
        </w:rPr>
        <w:t>238 Ill. App. 3d 12</w:t>
      </w:r>
      <w:r w:rsidRPr="00CC51AB">
        <w:rPr>
          <w:rFonts w:ascii="Georgia" w:eastAsia="Times New Roman" w:hAnsi="Georgia" w:cs="Arial"/>
          <w:color w:val="2F2F2F"/>
          <w:spacing w:val="3"/>
          <w:sz w:val="27"/>
          <w:szCs w:val="27"/>
          <w:highlight w:val="cyan"/>
          <w:lang w:eastAsia="en-GB"/>
        </w:rPr>
        <w:t> (1992)</w:t>
      </w:r>
      <w:r w:rsidRPr="00A67015">
        <w:rPr>
          <w:rFonts w:ascii="Georgia" w:eastAsia="Times New Roman" w:hAnsi="Georgia" w:cs="Arial"/>
          <w:color w:val="2F2F2F"/>
          <w:spacing w:val="3"/>
          <w:sz w:val="27"/>
          <w:szCs w:val="27"/>
          <w:lang w:eastAsia="en-GB"/>
        </w:rPr>
        <w:t xml:space="preserve"> (holding that immunity does not attach where the officer is engaged in routine patrol duty); </w:t>
      </w:r>
      <w:r w:rsidRPr="00CC51AB">
        <w:rPr>
          <w:rFonts w:ascii="Georgia" w:eastAsia="Times New Roman" w:hAnsi="Georgia" w:cs="Arial"/>
          <w:i/>
          <w:iCs/>
          <w:color w:val="2F2F2F"/>
          <w:spacing w:val="3"/>
          <w:sz w:val="27"/>
          <w:szCs w:val="27"/>
          <w:highlight w:val="cyan"/>
          <w:lang w:eastAsia="en-GB"/>
        </w:rPr>
        <w:t>Bruecks v. County of Lake, </w:t>
      </w:r>
      <w:r w:rsidRPr="00CC51AB">
        <w:rPr>
          <w:rFonts w:ascii="Georgia" w:eastAsia="Times New Roman" w:hAnsi="Georgia" w:cs="Arial"/>
          <w:color w:val="007BFF"/>
          <w:spacing w:val="3"/>
          <w:sz w:val="27"/>
          <w:szCs w:val="27"/>
          <w:highlight w:val="cyan"/>
          <w:lang w:eastAsia="en-GB"/>
        </w:rPr>
        <w:t>276 Ill. App. 3d 567</w:t>
      </w:r>
      <w:r w:rsidRPr="00CC51AB">
        <w:rPr>
          <w:rFonts w:ascii="Georgia" w:eastAsia="Times New Roman" w:hAnsi="Georgia" w:cs="Arial"/>
          <w:color w:val="2F2F2F"/>
          <w:spacing w:val="3"/>
          <w:sz w:val="27"/>
          <w:szCs w:val="27"/>
          <w:highlight w:val="cyan"/>
          <w:lang w:eastAsia="en-GB"/>
        </w:rPr>
        <w:t>, 568 (1995)</w:t>
      </w:r>
      <w:r w:rsidRPr="00A67015">
        <w:rPr>
          <w:rFonts w:ascii="Georgia" w:eastAsia="Times New Roman" w:hAnsi="Georgia" w:cs="Arial"/>
          <w:color w:val="2F2F2F"/>
          <w:spacing w:val="3"/>
          <w:sz w:val="27"/>
          <w:szCs w:val="27"/>
          <w:lang w:eastAsia="en-GB"/>
        </w:rPr>
        <w:t xml:space="preserve"> (citing </w:t>
      </w:r>
      <w:r w:rsidRPr="00A67015">
        <w:rPr>
          <w:rFonts w:ascii="Georgia" w:eastAsia="Times New Roman" w:hAnsi="Georgia" w:cs="Arial"/>
          <w:i/>
          <w:iCs/>
          <w:color w:val="2F2F2F"/>
          <w:spacing w:val="3"/>
          <w:sz w:val="27"/>
          <w:szCs w:val="27"/>
          <w:lang w:eastAsia="en-GB"/>
        </w:rPr>
        <w:t>Leaks).</w:t>
      </w:r>
    </w:p>
    <w:p w14:paraId="41BA8BE6"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green"/>
          <w:lang w:eastAsia="en-GB"/>
        </w:rPr>
        <w:t>Officer Copps argues that he never heard the dispatcher ask Officer Black whether she was receiving enough help and he also points to testimony indicating that the “slow down” was broadcast after his traffic accident. However, contrary evidence was presented </w:t>
      </w:r>
      <w:r w:rsidRPr="00CC51AB">
        <w:rPr>
          <w:rFonts w:ascii="Georgia" w:eastAsia="Times New Roman" w:hAnsi="Georgia" w:cs="Arial"/>
          <w:i/>
          <w:iCs/>
          <w:color w:val="2F2F2F"/>
          <w:spacing w:val="3"/>
          <w:sz w:val="27"/>
          <w:szCs w:val="27"/>
          <w:highlight w:val="green"/>
          <w:lang w:eastAsia="en-GB"/>
        </w:rPr>
        <w:t>(i.e., </w:t>
      </w:r>
      <w:r w:rsidRPr="00CC51AB">
        <w:rPr>
          <w:rFonts w:ascii="Georgia" w:eastAsia="Times New Roman" w:hAnsi="Georgia" w:cs="Arial"/>
          <w:color w:val="2F2F2F"/>
          <w:spacing w:val="3"/>
          <w:sz w:val="27"/>
          <w:szCs w:val="27"/>
          <w:highlight w:val="green"/>
          <w:lang w:eastAsia="en-GB"/>
        </w:rPr>
        <w:t>that the words constituting a “slow down” were broadcast over Officer Copps’ radio before the accident), thereby raising questions of fact inappropriate for resolution by summary judgment.</w:t>
      </w:r>
    </w:p>
    <w:p w14:paraId="41BA8BE7"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Our holding is not meant to establish a rule that an officer necessarily must be engaged in an emergency response in order for section 2 — 202 immunity to apply. Case law is clear that certain types of non-emergency conduct are immunized. For example, activities such as investigating a traffic accident </w:t>
      </w:r>
      <w:r w:rsidRPr="00A67015">
        <w:rPr>
          <w:rFonts w:ascii="Georgia" w:eastAsia="Times New Roman" w:hAnsi="Georgia" w:cs="Arial"/>
          <w:i/>
          <w:iCs/>
          <w:color w:val="2F2F2F"/>
          <w:spacing w:val="3"/>
          <w:sz w:val="27"/>
          <w:szCs w:val="27"/>
          <w:lang w:eastAsia="en-GB"/>
        </w:rPr>
        <w:t>(</w:t>
      </w:r>
      <w:r w:rsidRPr="00CC51AB">
        <w:rPr>
          <w:rFonts w:ascii="Georgia" w:eastAsia="Times New Roman" w:hAnsi="Georgia" w:cs="Arial"/>
          <w:i/>
          <w:iCs/>
          <w:color w:val="2F2F2F"/>
          <w:spacing w:val="3"/>
          <w:sz w:val="27"/>
          <w:szCs w:val="27"/>
          <w:highlight w:val="cyan"/>
          <w:lang w:eastAsia="en-GB"/>
        </w:rPr>
        <w:t>Fitzpatrick v. City of Chicago, </w:t>
      </w:r>
      <w:r w:rsidRPr="00CC51AB">
        <w:rPr>
          <w:rFonts w:ascii="Georgia" w:eastAsia="Times New Roman" w:hAnsi="Georgia" w:cs="Arial"/>
          <w:color w:val="007BFF"/>
          <w:spacing w:val="3"/>
          <w:sz w:val="27"/>
          <w:szCs w:val="27"/>
          <w:highlight w:val="cyan"/>
          <w:lang w:eastAsia="en-GB"/>
        </w:rPr>
        <w:t>112 Ill. 2d 211</w:t>
      </w:r>
      <w:r w:rsidRPr="00CC51AB">
        <w:rPr>
          <w:rFonts w:ascii="Georgia" w:eastAsia="Times New Roman" w:hAnsi="Georgia" w:cs="Arial"/>
          <w:color w:val="2F2F2F"/>
          <w:spacing w:val="3"/>
          <w:sz w:val="27"/>
          <w:szCs w:val="27"/>
          <w:highlight w:val="cyan"/>
          <w:lang w:eastAsia="en-GB"/>
        </w:rPr>
        <w:t> (1986)</w:t>
      </w:r>
      <w:r w:rsidRPr="00A67015">
        <w:rPr>
          <w:rFonts w:ascii="Georgia" w:eastAsia="Times New Roman" w:hAnsi="Georgia" w:cs="Arial"/>
          <w:color w:val="2F2F2F"/>
          <w:spacing w:val="3"/>
          <w:sz w:val="27"/>
          <w:szCs w:val="27"/>
          <w:lang w:eastAsia="en-GB"/>
        </w:rPr>
        <w:t>) and executing and enforcing traffic laws </w:t>
      </w:r>
      <w:r w:rsidRPr="00A67015">
        <w:rPr>
          <w:rFonts w:ascii="Georgia" w:eastAsia="Times New Roman" w:hAnsi="Georgia" w:cs="Arial"/>
          <w:i/>
          <w:iCs/>
          <w:color w:val="2F2F2F"/>
          <w:spacing w:val="3"/>
          <w:sz w:val="27"/>
          <w:szCs w:val="27"/>
          <w:lang w:eastAsia="en-GB"/>
        </w:rPr>
        <w:t>(</w:t>
      </w:r>
      <w:r w:rsidRPr="00CC51AB">
        <w:rPr>
          <w:rFonts w:ascii="Georgia" w:eastAsia="Times New Roman" w:hAnsi="Georgia" w:cs="Arial"/>
          <w:i/>
          <w:iCs/>
          <w:color w:val="2F2F2F"/>
          <w:spacing w:val="3"/>
          <w:sz w:val="27"/>
          <w:szCs w:val="27"/>
          <w:highlight w:val="cyan"/>
          <w:lang w:eastAsia="en-GB"/>
        </w:rPr>
        <w:t>Trepachko v. Village of Westhaven, </w:t>
      </w:r>
      <w:r w:rsidRPr="00CC51AB">
        <w:rPr>
          <w:rFonts w:ascii="Georgia" w:eastAsia="Times New Roman" w:hAnsi="Georgia" w:cs="Arial"/>
          <w:color w:val="007BFF"/>
          <w:spacing w:val="3"/>
          <w:sz w:val="27"/>
          <w:szCs w:val="27"/>
          <w:highlight w:val="cyan"/>
          <w:lang w:eastAsia="en-GB"/>
        </w:rPr>
        <w:t>184 Ill. App. 3d 241</w:t>
      </w:r>
      <w:r w:rsidRPr="00CC51AB">
        <w:rPr>
          <w:rFonts w:ascii="Georgia" w:eastAsia="Times New Roman" w:hAnsi="Georgia" w:cs="Arial"/>
          <w:color w:val="2F2F2F"/>
          <w:spacing w:val="3"/>
          <w:sz w:val="27"/>
          <w:szCs w:val="27"/>
          <w:highlight w:val="cyan"/>
          <w:lang w:eastAsia="en-GB"/>
        </w:rPr>
        <w:t> (1989)</w:t>
      </w:r>
      <w:r w:rsidRPr="00A67015">
        <w:rPr>
          <w:rFonts w:ascii="Georgia" w:eastAsia="Times New Roman" w:hAnsi="Georgia" w:cs="Arial"/>
          <w:color w:val="2F2F2F"/>
          <w:spacing w:val="3"/>
          <w:sz w:val="27"/>
          <w:szCs w:val="27"/>
          <w:lang w:eastAsia="en-GB"/>
        </w:rPr>
        <w:t xml:space="preserve">) are immunized. However, </w:t>
      </w:r>
      <w:r w:rsidRPr="00CC51AB">
        <w:rPr>
          <w:rFonts w:ascii="Georgia" w:eastAsia="Times New Roman" w:hAnsi="Georgia" w:cs="Arial"/>
          <w:color w:val="2F2F2F"/>
          <w:spacing w:val="3"/>
          <w:sz w:val="27"/>
          <w:szCs w:val="27"/>
          <w:highlight w:val="green"/>
          <w:lang w:eastAsia="en-GB"/>
        </w:rPr>
        <w:t>in the present case, the trier of fact could find that Officer Copps was engaged in routine patrol at the time of the accident, which is a type of conduct that has been held not to involve the execution or enforcement of any law and, thus, not to fall within section 2—202 immunity.</w:t>
      </w:r>
      <w:r w:rsidRPr="00A67015">
        <w:rPr>
          <w:rFonts w:ascii="Georgia" w:eastAsia="Times New Roman" w:hAnsi="Georgia" w:cs="Arial"/>
          <w:color w:val="2F2F2F"/>
          <w:spacing w:val="3"/>
          <w:sz w:val="27"/>
          <w:szCs w:val="27"/>
          <w:lang w:eastAsia="en-GB"/>
        </w:rPr>
        <w:t xml:space="preserve"> See </w:t>
      </w:r>
      <w:r w:rsidRPr="00CC51AB">
        <w:rPr>
          <w:rFonts w:ascii="Georgia" w:eastAsia="Times New Roman" w:hAnsi="Georgia" w:cs="Arial"/>
          <w:i/>
          <w:iCs/>
          <w:color w:val="2F2F2F"/>
          <w:spacing w:val="3"/>
          <w:sz w:val="27"/>
          <w:szCs w:val="27"/>
          <w:highlight w:val="cyan"/>
          <w:lang w:eastAsia="en-GB"/>
        </w:rPr>
        <w:t>Leaks, </w:t>
      </w:r>
      <w:r w:rsidRPr="00CC51AB">
        <w:rPr>
          <w:rFonts w:ascii="Georgia" w:eastAsia="Times New Roman" w:hAnsi="Georgia" w:cs="Arial"/>
          <w:color w:val="007BFF"/>
          <w:spacing w:val="3"/>
          <w:sz w:val="27"/>
          <w:szCs w:val="27"/>
          <w:highlight w:val="cyan"/>
          <w:lang w:eastAsia="en-GB"/>
        </w:rPr>
        <w:t>238 Ill. App. 3d 12</w:t>
      </w:r>
      <w:r w:rsidRPr="00CC51AB">
        <w:rPr>
          <w:rFonts w:ascii="Georgia" w:eastAsia="Times New Roman" w:hAnsi="Georgia" w:cs="Arial"/>
          <w:color w:val="2F2F2F"/>
          <w:spacing w:val="3"/>
          <w:sz w:val="27"/>
          <w:szCs w:val="27"/>
          <w:highlight w:val="cyan"/>
          <w:lang w:eastAsia="en-GB"/>
        </w:rPr>
        <w:t>; </w:t>
      </w:r>
      <w:r w:rsidRPr="00CC51AB">
        <w:rPr>
          <w:rFonts w:ascii="Georgia" w:eastAsia="Times New Roman" w:hAnsi="Georgia" w:cs="Arial"/>
          <w:i/>
          <w:iCs/>
          <w:color w:val="2F2F2F"/>
          <w:spacing w:val="3"/>
          <w:sz w:val="27"/>
          <w:szCs w:val="27"/>
          <w:highlight w:val="cyan"/>
          <w:lang w:eastAsia="en-GB"/>
        </w:rPr>
        <w:t>Bruecks, </w:t>
      </w:r>
      <w:r w:rsidRPr="00CC51AB">
        <w:rPr>
          <w:rFonts w:ascii="Georgia" w:eastAsia="Times New Roman" w:hAnsi="Georgia" w:cs="Arial"/>
          <w:color w:val="007BFF"/>
          <w:spacing w:val="3"/>
          <w:sz w:val="27"/>
          <w:szCs w:val="27"/>
          <w:highlight w:val="cyan"/>
          <w:lang w:eastAsia="en-GB"/>
        </w:rPr>
        <w:t>276 Ill. App. 3d 567</w:t>
      </w:r>
      <w:r w:rsidRPr="00CC51AB">
        <w:rPr>
          <w:rFonts w:ascii="Georgia" w:eastAsia="Times New Roman" w:hAnsi="Georgia" w:cs="Arial"/>
          <w:color w:val="2F2F2F"/>
          <w:spacing w:val="3"/>
          <w:sz w:val="27"/>
          <w:szCs w:val="27"/>
          <w:highlight w:val="cyan"/>
          <w:lang w:eastAsia="en-GB"/>
        </w:rPr>
        <w:t>.</w:t>
      </w:r>
      <w:r w:rsidRPr="00A67015">
        <w:rPr>
          <w:rFonts w:ascii="Georgia" w:eastAsia="Times New Roman" w:hAnsi="Georgia" w:cs="Arial"/>
          <w:color w:val="2F2F2F"/>
          <w:spacing w:val="3"/>
          <w:sz w:val="27"/>
          <w:szCs w:val="27"/>
          <w:lang w:eastAsia="en-GB"/>
        </w:rPr>
        <w:t xml:space="preserve"> </w:t>
      </w:r>
      <w:r w:rsidRPr="00CC51AB">
        <w:rPr>
          <w:rFonts w:ascii="Georgia" w:eastAsia="Times New Roman" w:hAnsi="Georgia" w:cs="Arial"/>
          <w:color w:val="2F2F2F"/>
          <w:spacing w:val="3"/>
          <w:sz w:val="27"/>
          <w:szCs w:val="27"/>
          <w:highlight w:val="red"/>
          <w:lang w:eastAsia="en-GB"/>
        </w:rPr>
        <w:t>Accordingly, we reverse the trial court’s order granting summary judgment for defendants on plaintiffs negligence counts and remand for further proceedings.</w:t>
      </w:r>
    </w:p>
    <w:p w14:paraId="41BA8BE8"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Next, we address an issue that may reemerge during such further proceedings. Plaintiff argues, in accordance with the holding in </w:t>
      </w:r>
      <w:r w:rsidRPr="00A67015">
        <w:rPr>
          <w:rFonts w:ascii="Georgia" w:eastAsia="Times New Roman" w:hAnsi="Georgia" w:cs="Arial"/>
          <w:i/>
          <w:iCs/>
          <w:color w:val="2F2F2F"/>
          <w:spacing w:val="3"/>
          <w:sz w:val="27"/>
          <w:szCs w:val="27"/>
          <w:lang w:eastAsia="en-GB"/>
        </w:rPr>
        <w:t>Bradshaw v. City of Metropolis, </w:t>
      </w:r>
      <w:r w:rsidRPr="00A67015">
        <w:rPr>
          <w:rFonts w:ascii="Georgia" w:eastAsia="Times New Roman" w:hAnsi="Georgia" w:cs="Arial"/>
          <w:color w:val="007BFF"/>
          <w:spacing w:val="3"/>
          <w:sz w:val="27"/>
          <w:szCs w:val="27"/>
          <w:lang w:eastAsia="en-GB"/>
        </w:rPr>
        <w:t>293 Ill. App. 3d 389</w:t>
      </w:r>
      <w:r w:rsidRPr="00A67015">
        <w:rPr>
          <w:rFonts w:ascii="Georgia" w:eastAsia="Times New Roman" w:hAnsi="Georgia" w:cs="Arial"/>
          <w:color w:val="2F2F2F"/>
          <w:spacing w:val="3"/>
          <w:sz w:val="27"/>
          <w:szCs w:val="27"/>
          <w:lang w:eastAsia="en-GB"/>
        </w:rPr>
        <w:t> (1997), that Officer Copps can be held liable for his negligent conduct, even if the accident occurred while he was executing and enforcing the law. In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2F2F2F"/>
          <w:spacing w:val="3"/>
          <w:sz w:val="27"/>
          <w:szCs w:val="27"/>
          <w:lang w:eastAsia="en-GB"/>
        </w:rPr>
        <w:t xml:space="preserve">the Appellate Court, Fifth District, noted a conflict between </w:t>
      </w:r>
      <w:r w:rsidRPr="00BC0CC7">
        <w:rPr>
          <w:rFonts w:ascii="Georgia" w:eastAsia="Times New Roman" w:hAnsi="Georgia" w:cs="Arial"/>
          <w:color w:val="2F2F2F"/>
          <w:spacing w:val="3"/>
          <w:sz w:val="27"/>
          <w:szCs w:val="27"/>
          <w:highlight w:val="cyan"/>
          <w:lang w:eastAsia="en-GB"/>
        </w:rPr>
        <w:t>section 2—202 of the Tort Immunity Act</w:t>
      </w:r>
      <w:r w:rsidRPr="00A67015">
        <w:rPr>
          <w:rFonts w:ascii="Georgia" w:eastAsia="Times New Roman" w:hAnsi="Georgia" w:cs="Arial"/>
          <w:color w:val="2F2F2F"/>
          <w:spacing w:val="3"/>
          <w:sz w:val="27"/>
          <w:szCs w:val="27"/>
          <w:lang w:eastAsia="en-GB"/>
        </w:rPr>
        <w:t xml:space="preserve"> and </w:t>
      </w:r>
      <w:r w:rsidRPr="00BC0CC7">
        <w:rPr>
          <w:rFonts w:ascii="Georgia" w:eastAsia="Times New Roman" w:hAnsi="Georgia" w:cs="Arial"/>
          <w:color w:val="2F2F2F"/>
          <w:spacing w:val="3"/>
          <w:sz w:val="27"/>
          <w:szCs w:val="27"/>
          <w:highlight w:val="cyan"/>
          <w:lang w:eastAsia="en-GB"/>
        </w:rPr>
        <w:t>sections 11—205 and 11—907 of the Illinois Vehicle Code (625 ILCS 5/11—205, 11—907 (1996))</w:t>
      </w:r>
      <w:r w:rsidRPr="00A67015">
        <w:rPr>
          <w:rFonts w:ascii="Georgia" w:eastAsia="Times New Roman" w:hAnsi="Georgia" w:cs="Arial"/>
          <w:color w:val="2F2F2F"/>
          <w:spacing w:val="3"/>
          <w:sz w:val="27"/>
          <w:szCs w:val="27"/>
          <w:lang w:eastAsia="en-GB"/>
        </w:rPr>
        <w:t>.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007BFF"/>
          <w:spacing w:val="3"/>
          <w:sz w:val="27"/>
          <w:szCs w:val="27"/>
          <w:lang w:eastAsia="en-GB"/>
        </w:rPr>
        <w:t>293 Ill. App. 3d at 392-93</w:t>
      </w:r>
      <w:r w:rsidRPr="00A67015">
        <w:rPr>
          <w:rFonts w:ascii="Georgia" w:eastAsia="Times New Roman" w:hAnsi="Georgia" w:cs="Arial"/>
          <w:color w:val="2F2F2F"/>
          <w:spacing w:val="3"/>
          <w:sz w:val="27"/>
          <w:szCs w:val="27"/>
          <w:lang w:eastAsia="en-GB"/>
        </w:rPr>
        <w:t>. The court noted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007BFF"/>
          <w:spacing w:val="3"/>
          <w:sz w:val="27"/>
          <w:szCs w:val="27"/>
          <w:lang w:eastAsia="en-GB"/>
        </w:rPr>
        <w:t>293 Ill. App. 3d at 392-93</w:t>
      </w:r>
      <w:r w:rsidRPr="00A67015">
        <w:rPr>
          <w:rFonts w:ascii="Georgia" w:eastAsia="Times New Roman" w:hAnsi="Georgia" w:cs="Arial"/>
          <w:color w:val="2F2F2F"/>
          <w:spacing w:val="3"/>
          <w:sz w:val="27"/>
          <w:szCs w:val="27"/>
          <w:lang w:eastAsia="en-GB"/>
        </w:rPr>
        <w:t xml:space="preserve">) that </w:t>
      </w:r>
      <w:r w:rsidRPr="00BC0CC7">
        <w:rPr>
          <w:rFonts w:ascii="Georgia" w:eastAsia="Times New Roman" w:hAnsi="Georgia" w:cs="Arial"/>
          <w:color w:val="2F2F2F"/>
          <w:spacing w:val="3"/>
          <w:sz w:val="27"/>
          <w:szCs w:val="27"/>
          <w:highlight w:val="cyan"/>
          <w:lang w:eastAsia="en-GB"/>
        </w:rPr>
        <w:t xml:space="preserve">section 2—202 of the Tort Immunity Act </w:t>
      </w:r>
      <w:r w:rsidRPr="00BC0CC7">
        <w:rPr>
          <w:rFonts w:ascii="Georgia" w:eastAsia="Times New Roman" w:hAnsi="Georgia" w:cs="Arial"/>
          <w:color w:val="2F2F2F"/>
          <w:spacing w:val="3"/>
          <w:sz w:val="27"/>
          <w:szCs w:val="27"/>
          <w:lang w:eastAsia="en-GB"/>
        </w:rPr>
        <w:t>i</w:t>
      </w:r>
      <w:r w:rsidRPr="00A67015">
        <w:rPr>
          <w:rFonts w:ascii="Georgia" w:eastAsia="Times New Roman" w:hAnsi="Georgia" w:cs="Arial"/>
          <w:color w:val="2F2F2F"/>
          <w:spacing w:val="3"/>
          <w:sz w:val="27"/>
          <w:szCs w:val="27"/>
          <w:lang w:eastAsia="en-GB"/>
        </w:rPr>
        <w:t xml:space="preserve">mmunizes public employees from liability in negligence for acts and omissions in the execution and enforcement of any law (see </w:t>
      </w:r>
      <w:r w:rsidRPr="00BC0CC7">
        <w:rPr>
          <w:rFonts w:ascii="Georgia" w:eastAsia="Times New Roman" w:hAnsi="Georgia" w:cs="Arial"/>
          <w:color w:val="2F2F2F"/>
          <w:spacing w:val="3"/>
          <w:sz w:val="27"/>
          <w:szCs w:val="27"/>
          <w:highlight w:val="cyan"/>
          <w:lang w:eastAsia="en-GB"/>
        </w:rPr>
        <w:t>745 ILCS 10/2—202 (West 1996)</w:t>
      </w:r>
      <w:r w:rsidRPr="00A67015">
        <w:rPr>
          <w:rFonts w:ascii="Georgia" w:eastAsia="Times New Roman" w:hAnsi="Georgia" w:cs="Arial"/>
          <w:color w:val="2F2F2F"/>
          <w:spacing w:val="3"/>
          <w:sz w:val="27"/>
          <w:szCs w:val="27"/>
          <w:lang w:eastAsia="en-GB"/>
        </w:rPr>
        <w:t xml:space="preserve">); by contrast, </w:t>
      </w:r>
      <w:r w:rsidRPr="00BC0CC7">
        <w:rPr>
          <w:rFonts w:ascii="Georgia" w:eastAsia="Times New Roman" w:hAnsi="Georgia" w:cs="Arial"/>
          <w:color w:val="2F2F2F"/>
          <w:spacing w:val="3"/>
          <w:sz w:val="27"/>
          <w:szCs w:val="27"/>
          <w:highlight w:val="cyan"/>
          <w:lang w:eastAsia="en-GB"/>
        </w:rPr>
        <w:t>sections 11—205 and 11—907 of the Illinois Vehicle Code</w:t>
      </w:r>
      <w:r w:rsidRPr="00A67015">
        <w:rPr>
          <w:rFonts w:ascii="Georgia" w:eastAsia="Times New Roman" w:hAnsi="Georgia" w:cs="Arial"/>
          <w:color w:val="2F2F2F"/>
          <w:spacing w:val="3"/>
          <w:sz w:val="27"/>
          <w:szCs w:val="27"/>
          <w:lang w:eastAsia="en-GB"/>
        </w:rPr>
        <w:t xml:space="preserve"> impose a duty on drivers of emergency vehicles, public and private, to refrain from negligence. See </w:t>
      </w:r>
      <w:r w:rsidRPr="00BC0CC7">
        <w:rPr>
          <w:rFonts w:ascii="Georgia" w:eastAsia="Times New Roman" w:hAnsi="Georgia" w:cs="Arial"/>
          <w:color w:val="2F2F2F"/>
          <w:spacing w:val="3"/>
          <w:sz w:val="27"/>
          <w:szCs w:val="27"/>
          <w:highlight w:val="cyan"/>
          <w:lang w:eastAsia="en-GB"/>
        </w:rPr>
        <w:t>625 ILCS 5/11—205(e), 11—907(b) (West 1996)</w:t>
      </w:r>
      <w:r w:rsidRPr="00A67015">
        <w:rPr>
          <w:rFonts w:ascii="Georgia" w:eastAsia="Times New Roman" w:hAnsi="Georgia" w:cs="Arial"/>
          <w:color w:val="2F2F2F"/>
          <w:spacing w:val="3"/>
          <w:sz w:val="27"/>
          <w:szCs w:val="27"/>
          <w:lang w:eastAsia="en-GB"/>
        </w:rPr>
        <w:t>. The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2F2F2F"/>
          <w:spacing w:val="3"/>
          <w:sz w:val="27"/>
          <w:szCs w:val="27"/>
          <w:lang w:eastAsia="en-GB"/>
        </w:rPr>
        <w:t>court determined that the Illinois Vehicle Code is a specific statute establish</w:t>
      </w:r>
      <w:r w:rsidRPr="00A67015">
        <w:rPr>
          <w:rFonts w:ascii="Georgia" w:eastAsia="Times New Roman" w:hAnsi="Georgia" w:cs="Arial"/>
          <w:i/>
          <w:iCs/>
          <w:color w:val="979797"/>
          <w:spacing w:val="3"/>
          <w:lang w:eastAsia="en-GB"/>
        </w:rPr>
        <w:t>*363</w:t>
      </w:r>
      <w:r w:rsidRPr="00A67015">
        <w:rPr>
          <w:rFonts w:ascii="Georgia" w:eastAsia="Times New Roman" w:hAnsi="Georgia" w:cs="Arial"/>
          <w:color w:val="2F2F2F"/>
          <w:spacing w:val="3"/>
          <w:sz w:val="27"/>
          <w:szCs w:val="27"/>
          <w:lang w:eastAsia="en-GB"/>
        </w:rPr>
        <w:t>ing a duty and standard of care governing the operation of emergency vehicles by police officers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007BFF"/>
          <w:spacing w:val="3"/>
          <w:sz w:val="27"/>
          <w:szCs w:val="27"/>
          <w:lang w:eastAsia="en-GB"/>
        </w:rPr>
        <w:t>293 Ill. App. 3d at 395</w:t>
      </w:r>
      <w:r w:rsidRPr="00A67015">
        <w:rPr>
          <w:rFonts w:ascii="Georgia" w:eastAsia="Times New Roman" w:hAnsi="Georgia" w:cs="Arial"/>
          <w:color w:val="2F2F2F"/>
          <w:spacing w:val="3"/>
          <w:sz w:val="27"/>
          <w:szCs w:val="27"/>
          <w:lang w:eastAsia="en-GB"/>
        </w:rPr>
        <w:t>) and, as such, it prevails over the Tort Immunity Act, which the court found to be a general statute (Bradshaw, </w:t>
      </w:r>
      <w:r w:rsidRPr="00A67015">
        <w:rPr>
          <w:rFonts w:ascii="Georgia" w:eastAsia="Times New Roman" w:hAnsi="Georgia" w:cs="Arial"/>
          <w:color w:val="007BFF"/>
          <w:spacing w:val="3"/>
          <w:sz w:val="27"/>
          <w:szCs w:val="27"/>
          <w:lang w:eastAsia="en-GB"/>
        </w:rPr>
        <w:t>293 Ill. App. 3d at 393</w:t>
      </w:r>
      <w:r w:rsidRPr="00A67015">
        <w:rPr>
          <w:rFonts w:ascii="Georgia" w:eastAsia="Times New Roman" w:hAnsi="Georgia" w:cs="Arial"/>
          <w:color w:val="2F2F2F"/>
          <w:spacing w:val="3"/>
          <w:sz w:val="27"/>
          <w:szCs w:val="27"/>
          <w:lang w:eastAsia="en-GB"/>
        </w:rPr>
        <w:t>). Therefore, the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2F2F2F"/>
          <w:spacing w:val="3"/>
          <w:sz w:val="27"/>
          <w:szCs w:val="27"/>
          <w:lang w:eastAsia="en-GB"/>
        </w:rPr>
        <w:t>court held that </w:t>
      </w:r>
      <w:r w:rsidRPr="00A67015">
        <w:rPr>
          <w:rFonts w:ascii="Georgia" w:eastAsia="Times New Roman" w:hAnsi="Georgia" w:cs="Arial"/>
          <w:i/>
          <w:iCs/>
          <w:color w:val="2F2F2F"/>
          <w:spacing w:val="3"/>
          <w:sz w:val="27"/>
          <w:szCs w:val="27"/>
          <w:lang w:eastAsia="en-GB"/>
        </w:rPr>
        <w:t>“a </w:t>
      </w:r>
      <w:r w:rsidRPr="00A67015">
        <w:rPr>
          <w:rFonts w:ascii="Georgia" w:eastAsia="Times New Roman" w:hAnsi="Georgia" w:cs="Arial"/>
          <w:color w:val="2F2F2F"/>
          <w:spacing w:val="3"/>
          <w:sz w:val="27"/>
          <w:szCs w:val="27"/>
          <w:lang w:eastAsia="en-GB"/>
        </w:rPr>
        <w:t>driver of an emergency vehicle can be held liable for negligence arising out of the breach of the duty to use due care in the operation of an emergency vehicle.” </w:t>
      </w:r>
      <w:r w:rsidRPr="00BC0CC7">
        <w:rPr>
          <w:rFonts w:ascii="Georgia" w:eastAsia="Times New Roman" w:hAnsi="Georgia" w:cs="Arial"/>
          <w:i/>
          <w:iCs/>
          <w:color w:val="2F2F2F"/>
          <w:spacing w:val="3"/>
          <w:sz w:val="27"/>
          <w:szCs w:val="27"/>
          <w:lang w:eastAsia="en-GB"/>
        </w:rPr>
        <w:t>Bradshaw, </w:t>
      </w:r>
      <w:r w:rsidRPr="00BC0CC7">
        <w:rPr>
          <w:rFonts w:ascii="Georgia" w:eastAsia="Times New Roman" w:hAnsi="Georgia" w:cs="Arial"/>
          <w:color w:val="007BFF"/>
          <w:spacing w:val="3"/>
          <w:sz w:val="27"/>
          <w:szCs w:val="27"/>
          <w:lang w:eastAsia="en-GB"/>
        </w:rPr>
        <w:t>293 Ill. App. 3d at 395</w:t>
      </w:r>
      <w:r w:rsidRPr="00BC0CC7">
        <w:rPr>
          <w:rFonts w:ascii="Georgia" w:eastAsia="Times New Roman" w:hAnsi="Georgia" w:cs="Arial"/>
          <w:color w:val="2F2F2F"/>
          <w:spacing w:val="3"/>
          <w:sz w:val="27"/>
          <w:szCs w:val="27"/>
          <w:lang w:eastAsia="en-GB"/>
        </w:rPr>
        <w:t>.</w:t>
      </w:r>
    </w:p>
    <w:p w14:paraId="41BA8BE9"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Plaintiff asks us to adopt </w:t>
      </w:r>
      <w:r w:rsidRPr="00BC0CC7">
        <w:rPr>
          <w:rFonts w:ascii="Georgia" w:eastAsia="Times New Roman" w:hAnsi="Georgia" w:cs="Arial"/>
          <w:i/>
          <w:iCs/>
          <w:color w:val="2F2F2F"/>
          <w:spacing w:val="3"/>
          <w:sz w:val="27"/>
          <w:szCs w:val="27"/>
          <w:lang w:eastAsia="en-GB"/>
        </w:rPr>
        <w:t>Bradshaw’s</w:t>
      </w:r>
      <w:r w:rsidRPr="00A67015">
        <w:rPr>
          <w:rFonts w:ascii="Georgia" w:eastAsia="Times New Roman" w:hAnsi="Georgia" w:cs="Arial"/>
          <w:i/>
          <w:iCs/>
          <w:color w:val="2F2F2F"/>
          <w:spacing w:val="3"/>
          <w:sz w:val="27"/>
          <w:szCs w:val="27"/>
          <w:lang w:eastAsia="en-GB"/>
        </w:rPr>
        <w:t> </w:t>
      </w:r>
      <w:r w:rsidRPr="00A67015">
        <w:rPr>
          <w:rFonts w:ascii="Georgia" w:eastAsia="Times New Roman" w:hAnsi="Georgia" w:cs="Arial"/>
          <w:color w:val="2F2F2F"/>
          <w:spacing w:val="3"/>
          <w:sz w:val="27"/>
          <w:szCs w:val="27"/>
          <w:lang w:eastAsia="en-GB"/>
        </w:rPr>
        <w:t>reasoning and hold that defendants may be held liable for their negligent conduct in the operation of the emergency vehicle at the time of the accident regardless of whether that conduct was in the execution and enforcement of any law. We decline to do so and instead adopt the holding of </w:t>
      </w:r>
      <w:r w:rsidRPr="00BC0CC7">
        <w:rPr>
          <w:rFonts w:ascii="Georgia" w:eastAsia="Times New Roman" w:hAnsi="Georgia" w:cs="Arial"/>
          <w:i/>
          <w:iCs/>
          <w:color w:val="2F2F2F"/>
          <w:spacing w:val="3"/>
          <w:sz w:val="27"/>
          <w:szCs w:val="27"/>
          <w:highlight w:val="cyan"/>
          <w:lang w:eastAsia="en-GB"/>
        </w:rPr>
        <w:t>Carter v. Du Page County Sheriff, </w:t>
      </w:r>
      <w:r w:rsidRPr="00BC0CC7">
        <w:rPr>
          <w:rFonts w:ascii="Georgia" w:eastAsia="Times New Roman" w:hAnsi="Georgia" w:cs="Arial"/>
          <w:color w:val="007BFF"/>
          <w:spacing w:val="3"/>
          <w:sz w:val="27"/>
          <w:szCs w:val="27"/>
          <w:highlight w:val="cyan"/>
          <w:lang w:eastAsia="en-GB"/>
        </w:rPr>
        <w:t>304 Ill. App. 3d 443</w:t>
      </w:r>
      <w:r w:rsidRPr="00BC0CC7">
        <w:rPr>
          <w:rFonts w:ascii="Georgia" w:eastAsia="Times New Roman" w:hAnsi="Georgia" w:cs="Arial"/>
          <w:color w:val="2F2F2F"/>
          <w:spacing w:val="3"/>
          <w:sz w:val="27"/>
          <w:szCs w:val="27"/>
          <w:highlight w:val="cyan"/>
          <w:lang w:eastAsia="en-GB"/>
        </w:rPr>
        <w:t> (1999).</w:t>
      </w:r>
    </w:p>
    <w:p w14:paraId="41BA8BEA"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In </w:t>
      </w:r>
      <w:r w:rsidRPr="00A67015">
        <w:rPr>
          <w:rFonts w:ascii="Georgia" w:eastAsia="Times New Roman" w:hAnsi="Georgia" w:cs="Arial"/>
          <w:i/>
          <w:iCs/>
          <w:color w:val="2F2F2F"/>
          <w:spacing w:val="3"/>
          <w:sz w:val="27"/>
          <w:szCs w:val="27"/>
          <w:lang w:eastAsia="en-GB"/>
        </w:rPr>
        <w:t>Carter, </w:t>
      </w:r>
      <w:r w:rsidRPr="00A67015">
        <w:rPr>
          <w:rFonts w:ascii="Georgia" w:eastAsia="Times New Roman" w:hAnsi="Georgia" w:cs="Arial"/>
          <w:color w:val="2F2F2F"/>
          <w:spacing w:val="3"/>
          <w:sz w:val="27"/>
          <w:szCs w:val="27"/>
          <w:lang w:eastAsia="en-GB"/>
        </w:rPr>
        <w:t>the Appellate Court, Second District, concluded, in contrast to </w:t>
      </w:r>
      <w:r w:rsidRPr="00A67015">
        <w:rPr>
          <w:rFonts w:ascii="Georgia" w:eastAsia="Times New Roman" w:hAnsi="Georgia" w:cs="Arial"/>
          <w:i/>
          <w:iCs/>
          <w:color w:val="2F2F2F"/>
          <w:spacing w:val="3"/>
          <w:sz w:val="27"/>
          <w:szCs w:val="27"/>
          <w:lang w:eastAsia="en-GB"/>
        </w:rPr>
        <w:t>Bradshaw, </w:t>
      </w:r>
      <w:r w:rsidRPr="00A67015">
        <w:rPr>
          <w:rFonts w:ascii="Georgia" w:eastAsia="Times New Roman" w:hAnsi="Georgia" w:cs="Arial"/>
          <w:color w:val="2F2F2F"/>
          <w:spacing w:val="3"/>
          <w:sz w:val="27"/>
          <w:szCs w:val="27"/>
          <w:lang w:eastAsia="en-GB"/>
        </w:rPr>
        <w:t>that it need not decide whether sections 11—205 and 11—907 of the Illinois Vehicle Code are more specific and therefore prevail over section 2—202 of the Tort Immunity Act. </w:t>
      </w:r>
      <w:r w:rsidRPr="00BC0CC7">
        <w:rPr>
          <w:rFonts w:ascii="Georgia" w:eastAsia="Times New Roman" w:hAnsi="Georgia" w:cs="Arial"/>
          <w:i/>
          <w:iCs/>
          <w:color w:val="2F2F2F"/>
          <w:spacing w:val="3"/>
          <w:sz w:val="27"/>
          <w:szCs w:val="27"/>
          <w:highlight w:val="cyan"/>
          <w:lang w:eastAsia="en-GB"/>
        </w:rPr>
        <w:t>Carter, </w:t>
      </w:r>
      <w:r w:rsidRPr="00BC0CC7">
        <w:rPr>
          <w:rFonts w:ascii="Georgia" w:eastAsia="Times New Roman" w:hAnsi="Georgia" w:cs="Arial"/>
          <w:color w:val="007BFF"/>
          <w:spacing w:val="3"/>
          <w:sz w:val="27"/>
          <w:szCs w:val="27"/>
          <w:highlight w:val="cyan"/>
          <w:lang w:eastAsia="en-GB"/>
        </w:rPr>
        <w:t>304 Ill. App. 3d at 450</w:t>
      </w:r>
      <w:r w:rsidRPr="00A67015">
        <w:rPr>
          <w:rFonts w:ascii="Georgia" w:eastAsia="Times New Roman" w:hAnsi="Georgia" w:cs="Arial"/>
          <w:color w:val="2F2F2F"/>
          <w:spacing w:val="3"/>
          <w:sz w:val="27"/>
          <w:szCs w:val="27"/>
          <w:lang w:eastAsia="en-GB"/>
        </w:rPr>
        <w:t>. Instead, </w:t>
      </w:r>
      <w:r w:rsidRPr="00BC0CC7">
        <w:rPr>
          <w:rFonts w:ascii="Georgia" w:eastAsia="Times New Roman" w:hAnsi="Georgia" w:cs="Arial"/>
          <w:i/>
          <w:iCs/>
          <w:color w:val="2F2F2F"/>
          <w:spacing w:val="3"/>
          <w:sz w:val="27"/>
          <w:szCs w:val="27"/>
          <w:highlight w:val="cyan"/>
          <w:lang w:eastAsia="en-GB"/>
        </w:rPr>
        <w:t>Carter</w:t>
      </w:r>
      <w:r w:rsidRPr="00A67015">
        <w:rPr>
          <w:rFonts w:ascii="Georgia" w:eastAsia="Times New Roman" w:hAnsi="Georgia" w:cs="Arial"/>
          <w:i/>
          <w:iCs/>
          <w:color w:val="2F2F2F"/>
          <w:spacing w:val="3"/>
          <w:sz w:val="27"/>
          <w:szCs w:val="27"/>
          <w:lang w:eastAsia="en-GB"/>
        </w:rPr>
        <w:t> </w:t>
      </w:r>
      <w:r w:rsidRPr="00A67015">
        <w:rPr>
          <w:rFonts w:ascii="Georgia" w:eastAsia="Times New Roman" w:hAnsi="Georgia" w:cs="Arial"/>
          <w:color w:val="2F2F2F"/>
          <w:spacing w:val="3"/>
          <w:sz w:val="27"/>
          <w:szCs w:val="27"/>
          <w:lang w:eastAsia="en-GB"/>
        </w:rPr>
        <w:t>held that each of the statutes stands in its own sphere and serves different purposes. </w:t>
      </w:r>
      <w:r w:rsidRPr="00BC0CC7">
        <w:rPr>
          <w:rFonts w:ascii="Georgia" w:eastAsia="Times New Roman" w:hAnsi="Georgia" w:cs="Arial"/>
          <w:i/>
          <w:iCs/>
          <w:color w:val="2F2F2F"/>
          <w:spacing w:val="3"/>
          <w:sz w:val="27"/>
          <w:szCs w:val="27"/>
          <w:highlight w:val="cyan"/>
          <w:lang w:eastAsia="en-GB"/>
        </w:rPr>
        <w:t>Carter, </w:t>
      </w:r>
      <w:r w:rsidRPr="00BC0CC7">
        <w:rPr>
          <w:rFonts w:ascii="Georgia" w:eastAsia="Times New Roman" w:hAnsi="Georgia" w:cs="Arial"/>
          <w:color w:val="007BFF"/>
          <w:spacing w:val="3"/>
          <w:sz w:val="27"/>
          <w:szCs w:val="27"/>
          <w:highlight w:val="cyan"/>
          <w:lang w:eastAsia="en-GB"/>
        </w:rPr>
        <w:t>304 Ill. App. 3d at 450</w:t>
      </w:r>
      <w:r w:rsidRPr="00A67015">
        <w:rPr>
          <w:rFonts w:ascii="Georgia" w:eastAsia="Times New Roman" w:hAnsi="Georgia" w:cs="Arial"/>
          <w:color w:val="2F2F2F"/>
          <w:spacing w:val="3"/>
          <w:sz w:val="27"/>
          <w:szCs w:val="27"/>
          <w:lang w:eastAsia="en-GB"/>
        </w:rPr>
        <w:t>. The court reconciled the two statutes by noting that the legislature had chosen to grant broader immunity to a public employee engaged in the execution or enforcement of any law than to a private employee or to a public employee not engaged in the execution or enforcement of any law. </w:t>
      </w:r>
      <w:r w:rsidRPr="00BC0CC7">
        <w:rPr>
          <w:rFonts w:ascii="Georgia" w:eastAsia="Times New Roman" w:hAnsi="Georgia" w:cs="Arial"/>
          <w:i/>
          <w:iCs/>
          <w:color w:val="2F2F2F"/>
          <w:spacing w:val="3"/>
          <w:sz w:val="27"/>
          <w:szCs w:val="27"/>
          <w:highlight w:val="cyan"/>
          <w:lang w:eastAsia="en-GB"/>
        </w:rPr>
        <w:t>Carder, </w:t>
      </w:r>
      <w:r w:rsidRPr="00BC0CC7">
        <w:rPr>
          <w:rFonts w:ascii="Georgia" w:eastAsia="Times New Roman" w:hAnsi="Georgia" w:cs="Arial"/>
          <w:color w:val="007BFF"/>
          <w:spacing w:val="3"/>
          <w:sz w:val="27"/>
          <w:szCs w:val="27"/>
          <w:highlight w:val="cyan"/>
          <w:lang w:eastAsia="en-GB"/>
        </w:rPr>
        <w:t>304 Ill. App. 3d at 450</w:t>
      </w:r>
      <w:r w:rsidRPr="00BC0CC7">
        <w:rPr>
          <w:rFonts w:ascii="Georgia" w:eastAsia="Times New Roman" w:hAnsi="Georgia" w:cs="Arial"/>
          <w:color w:val="2F2F2F"/>
          <w:spacing w:val="3"/>
          <w:sz w:val="27"/>
          <w:szCs w:val="27"/>
          <w:highlight w:val="cyan"/>
          <w:lang w:eastAsia="en-GB"/>
        </w:rPr>
        <w:t>.</w:t>
      </w:r>
    </w:p>
    <w:p w14:paraId="41BA8BEB"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C51AB">
        <w:rPr>
          <w:rFonts w:ascii="Georgia" w:eastAsia="Times New Roman" w:hAnsi="Georgia" w:cs="Arial"/>
          <w:color w:val="2F2F2F"/>
          <w:spacing w:val="3"/>
          <w:sz w:val="27"/>
          <w:szCs w:val="27"/>
          <w:highlight w:val="green"/>
          <w:lang w:eastAsia="en-GB"/>
        </w:rPr>
        <w:t xml:space="preserve">We adopt </w:t>
      </w:r>
      <w:r w:rsidRPr="00CC51AB">
        <w:rPr>
          <w:rFonts w:ascii="Georgia" w:eastAsia="Times New Roman" w:hAnsi="Georgia" w:cs="Arial"/>
          <w:color w:val="2F2F2F"/>
          <w:spacing w:val="3"/>
          <w:sz w:val="27"/>
          <w:szCs w:val="27"/>
          <w:highlight w:val="cyan"/>
          <w:lang w:eastAsia="en-GB"/>
        </w:rPr>
        <w:t xml:space="preserve">Carter’s </w:t>
      </w:r>
      <w:r w:rsidRPr="00CC51AB">
        <w:rPr>
          <w:rFonts w:ascii="Georgia" w:eastAsia="Times New Roman" w:hAnsi="Georgia" w:cs="Arial"/>
          <w:color w:val="2F2F2F"/>
          <w:spacing w:val="3"/>
          <w:sz w:val="27"/>
          <w:szCs w:val="27"/>
          <w:highlight w:val="green"/>
          <w:lang w:eastAsia="en-GB"/>
        </w:rPr>
        <w:t>holding that sec</w:t>
      </w:r>
      <w:r w:rsidRPr="00CC51AB">
        <w:rPr>
          <w:rFonts w:ascii="Georgia" w:eastAsia="Times New Roman" w:hAnsi="Georgia" w:cs="Arial"/>
          <w:color w:val="2F2F2F"/>
          <w:spacing w:val="3"/>
          <w:sz w:val="27"/>
          <w:szCs w:val="27"/>
          <w:highlight w:val="cyan"/>
          <w:lang w:eastAsia="en-GB"/>
        </w:rPr>
        <w:t>tions 11—205 and 11—907 of the Illinois Vehicle Code</w:t>
      </w:r>
      <w:r w:rsidRPr="00CC51AB">
        <w:rPr>
          <w:rFonts w:ascii="Georgia" w:eastAsia="Times New Roman" w:hAnsi="Georgia" w:cs="Arial"/>
          <w:color w:val="2F2F2F"/>
          <w:spacing w:val="3"/>
          <w:sz w:val="27"/>
          <w:szCs w:val="27"/>
          <w:highlight w:val="green"/>
          <w:lang w:eastAsia="en-GB"/>
        </w:rPr>
        <w:t xml:space="preserve"> do not abrogate </w:t>
      </w:r>
      <w:r w:rsidRPr="00CC51AB">
        <w:rPr>
          <w:rFonts w:ascii="Georgia" w:eastAsia="Times New Roman" w:hAnsi="Georgia" w:cs="Arial"/>
          <w:color w:val="2F2F2F"/>
          <w:spacing w:val="3"/>
          <w:sz w:val="27"/>
          <w:szCs w:val="27"/>
          <w:highlight w:val="cyan"/>
          <w:lang w:eastAsia="en-GB"/>
        </w:rPr>
        <w:t>section 2—202 of the Tort Immunity Act</w:t>
      </w:r>
      <w:r w:rsidRPr="00CC51AB">
        <w:rPr>
          <w:rFonts w:ascii="Georgia" w:eastAsia="Times New Roman" w:hAnsi="Georgia" w:cs="Arial"/>
          <w:color w:val="2F2F2F"/>
          <w:spacing w:val="3"/>
          <w:sz w:val="27"/>
          <w:szCs w:val="27"/>
          <w:highlight w:val="green"/>
          <w:lang w:eastAsia="en-GB"/>
        </w:rPr>
        <w:t>. Accordingly, on remand, defendants may not be held liable in negligence if the trier of fact determines that Officer Copps was executing or enforcing the law at the time of the accident.</w:t>
      </w:r>
    </w:p>
    <w:p w14:paraId="41BA8BEC"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Next, we address plaintiffs contentions of error at her trial on her willful and wanton counts.</w:t>
      </w:r>
    </w:p>
    <w:p w14:paraId="41BA8BED"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 xml:space="preserve">Plaintiff argues the trial court erred by giving </w:t>
      </w:r>
      <w:r w:rsidRPr="00BC0CC7">
        <w:rPr>
          <w:rFonts w:ascii="Georgia" w:eastAsia="Times New Roman" w:hAnsi="Georgia" w:cs="Arial"/>
          <w:color w:val="2F2F2F"/>
          <w:spacing w:val="3"/>
          <w:sz w:val="27"/>
          <w:szCs w:val="27"/>
          <w:highlight w:val="green"/>
          <w:lang w:eastAsia="en-GB"/>
        </w:rPr>
        <w:t>jury instruction No. 4,</w:t>
      </w:r>
      <w:r w:rsidRPr="00A67015">
        <w:rPr>
          <w:rFonts w:ascii="Georgia" w:eastAsia="Times New Roman" w:hAnsi="Georgia" w:cs="Arial"/>
          <w:color w:val="2F2F2F"/>
          <w:spacing w:val="3"/>
          <w:sz w:val="27"/>
          <w:szCs w:val="27"/>
          <w:lang w:eastAsia="en-GB"/>
        </w:rPr>
        <w:t xml:space="preserve"> which </w:t>
      </w:r>
      <w:r w:rsidRPr="00BC0CC7">
        <w:rPr>
          <w:rFonts w:ascii="Georgia" w:eastAsia="Times New Roman" w:hAnsi="Georgia" w:cs="Arial"/>
          <w:color w:val="2F2F2F"/>
          <w:spacing w:val="3"/>
          <w:sz w:val="27"/>
          <w:szCs w:val="27"/>
          <w:highlight w:val="green"/>
          <w:lang w:eastAsia="en-GB"/>
        </w:rPr>
        <w:t>instructed the jury that in determining plaintiffs contributory negligence, they could consider whether plaintiff violated a municipal ordinance providing that “[n]o pedestrian shall cross a roadway other than in a crosswalk or any through street.”</w:t>
      </w:r>
      <w:r w:rsidRPr="00A67015">
        <w:rPr>
          <w:rFonts w:ascii="Georgia" w:eastAsia="Times New Roman" w:hAnsi="Georgia" w:cs="Arial"/>
          <w:color w:val="2F2F2F"/>
          <w:spacing w:val="3"/>
          <w:sz w:val="27"/>
          <w:szCs w:val="27"/>
          <w:lang w:eastAsia="en-GB"/>
        </w:rPr>
        <w:t xml:space="preserve"> </w:t>
      </w:r>
      <w:r w:rsidRPr="00BC0CC7">
        <w:rPr>
          <w:rFonts w:ascii="Georgia" w:eastAsia="Times New Roman" w:hAnsi="Georgia" w:cs="Arial"/>
          <w:color w:val="2F2F2F"/>
          <w:spacing w:val="3"/>
          <w:sz w:val="27"/>
          <w:szCs w:val="27"/>
          <w:highlight w:val="cyan"/>
          <w:lang w:eastAsia="en-GB"/>
        </w:rPr>
        <w:t>Chicago Municipal Code § 9 — 60 — 020 (1990).</w:t>
      </w:r>
      <w:r w:rsidRPr="00A67015">
        <w:rPr>
          <w:rFonts w:ascii="Georgia" w:eastAsia="Times New Roman" w:hAnsi="Georgia" w:cs="Arial"/>
          <w:color w:val="2F2F2F"/>
          <w:spacing w:val="3"/>
          <w:sz w:val="27"/>
          <w:szCs w:val="27"/>
          <w:lang w:eastAsia="en-GB"/>
        </w:rPr>
        <w:t xml:space="preserve"> We find no error. An instruction is justified if it is supported by some evidence in the record, and the trial court has discretion in deciding which issues are raised by the evidence. See </w:t>
      </w:r>
      <w:r w:rsidRPr="00BC0CC7">
        <w:rPr>
          <w:rFonts w:ascii="Georgia" w:eastAsia="Times New Roman" w:hAnsi="Georgia" w:cs="Arial"/>
          <w:i/>
          <w:iCs/>
          <w:color w:val="2F2F2F"/>
          <w:spacing w:val="3"/>
          <w:sz w:val="27"/>
          <w:szCs w:val="27"/>
          <w:highlight w:val="cyan"/>
          <w:lang w:eastAsia="en-GB"/>
        </w:rPr>
        <w:t>Branum v. Slezak Construction Co., </w:t>
      </w:r>
      <w:r w:rsidRPr="00BC0CC7">
        <w:rPr>
          <w:rFonts w:ascii="Georgia" w:eastAsia="Times New Roman" w:hAnsi="Georgia" w:cs="Arial"/>
          <w:color w:val="007BFF"/>
          <w:spacing w:val="3"/>
          <w:sz w:val="27"/>
          <w:szCs w:val="27"/>
          <w:highlight w:val="cyan"/>
          <w:lang w:eastAsia="en-GB"/>
        </w:rPr>
        <w:t>289 Ill. App. 3d 948</w:t>
      </w:r>
      <w:r w:rsidRPr="00BC0CC7">
        <w:rPr>
          <w:rFonts w:ascii="Georgia" w:eastAsia="Times New Roman" w:hAnsi="Georgia" w:cs="Arial"/>
          <w:color w:val="2F2F2F"/>
          <w:spacing w:val="3"/>
          <w:sz w:val="27"/>
          <w:szCs w:val="27"/>
          <w:highlight w:val="cyan"/>
          <w:lang w:eastAsia="en-GB"/>
        </w:rPr>
        <w:t>, 957 (1997).</w:t>
      </w:r>
      <w:r w:rsidRPr="00A67015">
        <w:rPr>
          <w:rFonts w:ascii="Georgia" w:eastAsia="Times New Roman" w:hAnsi="Georgia" w:cs="Arial"/>
          <w:color w:val="2F2F2F"/>
          <w:spacing w:val="3"/>
          <w:sz w:val="27"/>
          <w:szCs w:val="27"/>
          <w:lang w:eastAsia="en-GB"/>
        </w:rPr>
        <w:t xml:space="preserve"> </w:t>
      </w:r>
      <w:r w:rsidRPr="00BC0CC7">
        <w:rPr>
          <w:rFonts w:ascii="Georgia" w:eastAsia="Times New Roman" w:hAnsi="Georgia" w:cs="Arial"/>
          <w:color w:val="2F2F2F"/>
          <w:spacing w:val="3"/>
          <w:sz w:val="27"/>
          <w:szCs w:val="27"/>
          <w:highlight w:val="green"/>
          <w:lang w:eastAsia="en-GB"/>
        </w:rPr>
        <w:t>In the present case, the evidence at trial established that plaintiff and her children did not cross the street at the crosswalk; in </w:t>
      </w:r>
      <w:r w:rsidRPr="00BC0CC7">
        <w:rPr>
          <w:rFonts w:ascii="Georgia" w:eastAsia="Times New Roman" w:hAnsi="Georgia" w:cs="Arial"/>
          <w:i/>
          <w:iCs/>
          <w:color w:val="979797"/>
          <w:spacing w:val="3"/>
          <w:highlight w:val="green"/>
          <w:lang w:eastAsia="en-GB"/>
        </w:rPr>
        <w:t>*364</w:t>
      </w:r>
      <w:r w:rsidRPr="00BC0CC7">
        <w:rPr>
          <w:rFonts w:ascii="Georgia" w:eastAsia="Times New Roman" w:hAnsi="Georgia" w:cs="Arial"/>
          <w:color w:val="2F2F2F"/>
          <w:spacing w:val="3"/>
          <w:sz w:val="27"/>
          <w:szCs w:val="27"/>
          <w:highlight w:val="green"/>
          <w:lang w:eastAsia="en-GB"/>
        </w:rPr>
        <w:t>fact, plaintiff admitted that she and her children crossed the street at mid-block. That evidence was sufficient to support instruction No. 4.</w:t>
      </w:r>
    </w:p>
    <w:p w14:paraId="41BA8BEE"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Plaintiff argues that the instruction was improper because, as a matter of law, she cannot be found contributorily negligent since Officer Copps was travelling eastbound in the westbound lane at the time of the accident. In support, plaintiff cites </w:t>
      </w:r>
      <w:r w:rsidRPr="00A67015">
        <w:rPr>
          <w:rFonts w:ascii="Georgia" w:eastAsia="Times New Roman" w:hAnsi="Georgia" w:cs="Arial"/>
          <w:i/>
          <w:iCs/>
          <w:color w:val="2F2F2F"/>
          <w:spacing w:val="3"/>
          <w:sz w:val="27"/>
          <w:szCs w:val="27"/>
          <w:lang w:eastAsia="en-GB"/>
        </w:rPr>
        <w:t>Williams v. Yellow Cab Co., </w:t>
      </w:r>
      <w:r w:rsidRPr="00A67015">
        <w:rPr>
          <w:rFonts w:ascii="Georgia" w:eastAsia="Times New Roman" w:hAnsi="Georgia" w:cs="Arial"/>
          <w:color w:val="007BFF"/>
          <w:spacing w:val="3"/>
          <w:sz w:val="27"/>
          <w:szCs w:val="27"/>
          <w:lang w:eastAsia="en-GB"/>
        </w:rPr>
        <w:t>11 Ill. App. 2d 112</w:t>
      </w:r>
      <w:r w:rsidRPr="00A67015">
        <w:rPr>
          <w:rFonts w:ascii="Georgia" w:eastAsia="Times New Roman" w:hAnsi="Georgia" w:cs="Arial"/>
          <w:color w:val="2F2F2F"/>
          <w:spacing w:val="3"/>
          <w:sz w:val="27"/>
          <w:szCs w:val="27"/>
          <w:lang w:eastAsia="en-GB"/>
        </w:rPr>
        <w:t xml:space="preserve">, 117 (1956), which held that a pedestrian has no obligation when crossing a street to look in a direction other than the direction from which cars are supposed to be travelling. </w:t>
      </w:r>
      <w:r w:rsidRPr="00BC0CC7">
        <w:rPr>
          <w:rFonts w:ascii="Georgia" w:eastAsia="Times New Roman" w:hAnsi="Georgia" w:cs="Arial"/>
          <w:color w:val="2F2F2F"/>
          <w:spacing w:val="3"/>
          <w:sz w:val="27"/>
          <w:szCs w:val="27"/>
          <w:highlight w:val="green"/>
          <w:lang w:eastAsia="en-GB"/>
        </w:rPr>
        <w:t>We agree that plaintiff had no obligation to look for traffic coming the wrong way down the street; however, that does not absolve her as a matter of law from any contributory negligence. The evidence here supports a finding that even though Officer Copps was going the wrong way down the street, he still may have seen plaintiff and may have avoided the accident if she and her children had been crossing at the marked crosswalk instead of crossing in the middle of the street from in front of a large dump truck. Therefore, the evidence of plaintiffs failure to cross at the crosswalk supports the trial court’s decision to give instruction No. 4, the contributory negligence instruction.</w:t>
      </w:r>
    </w:p>
    <w:p w14:paraId="41BA8BEF"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Plaintiff argues in her reply brief that the trial court should have in</w:t>
      </w:r>
      <w:r w:rsidR="00BC0CC7">
        <w:rPr>
          <w:rFonts w:ascii="Georgia" w:eastAsia="Times New Roman" w:hAnsi="Georgia" w:cs="Arial"/>
          <w:color w:val="2F2F2F"/>
          <w:spacing w:val="3"/>
          <w:sz w:val="27"/>
          <w:szCs w:val="27"/>
          <w:lang w:eastAsia="en-GB"/>
        </w:rPr>
        <w:t>structed the jury only that “[e]</w:t>
      </w:r>
      <w:r w:rsidRPr="00A67015">
        <w:rPr>
          <w:rFonts w:ascii="Georgia" w:eastAsia="Times New Roman" w:hAnsi="Georgia" w:cs="Arial"/>
          <w:color w:val="2F2F2F"/>
          <w:spacing w:val="3"/>
          <w:sz w:val="27"/>
          <w:szCs w:val="27"/>
          <w:lang w:eastAsia="en-GB"/>
        </w:rPr>
        <w:t xml:space="preserve">very pedestrian crossing a roadway at any point other than within a marked crosswalk or within an intersection shall yield the right-of-way to all vehicles upon the roadway.” We disagree, as that instruction does not inform the jury </w:t>
      </w:r>
      <w:r w:rsidRPr="00BC0CC7">
        <w:rPr>
          <w:rFonts w:ascii="Georgia" w:eastAsia="Times New Roman" w:hAnsi="Georgia" w:cs="Arial"/>
          <w:color w:val="2F2F2F"/>
          <w:spacing w:val="3"/>
          <w:sz w:val="27"/>
          <w:szCs w:val="27"/>
          <w:lang w:eastAsia="en-GB"/>
        </w:rPr>
        <w:t xml:space="preserve">that </w:t>
      </w:r>
      <w:r w:rsidRPr="00BC0CC7">
        <w:rPr>
          <w:rFonts w:ascii="Georgia" w:eastAsia="Times New Roman" w:hAnsi="Georgia" w:cs="Arial"/>
          <w:color w:val="2F2F2F"/>
          <w:spacing w:val="3"/>
          <w:sz w:val="27"/>
          <w:szCs w:val="27"/>
          <w:highlight w:val="yellow"/>
          <w:lang w:eastAsia="en-GB"/>
        </w:rPr>
        <w:t>plaintiff violated the Chicago Municipal Code by crossing outside the crosswalk</w:t>
      </w:r>
      <w:r w:rsidRPr="00A67015">
        <w:rPr>
          <w:rFonts w:ascii="Georgia" w:eastAsia="Times New Roman" w:hAnsi="Georgia" w:cs="Arial"/>
          <w:color w:val="2F2F2F"/>
          <w:spacing w:val="3"/>
          <w:sz w:val="27"/>
          <w:szCs w:val="27"/>
          <w:lang w:eastAsia="en-GB"/>
        </w:rPr>
        <w:t>.</w:t>
      </w:r>
    </w:p>
    <w:p w14:paraId="41BA8BF0"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Next, plaintiff argues the trial court erred by failing to give plaintiffs instruction No. 17, a non-Illinois Pattern Jury Instruction defining willful and wanton conduct as a course of action where the acts have been less than intentional.</w:t>
      </w:r>
    </w:p>
    <w:p w14:paraId="41BA8BF1"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The decision to grant or deny a jury instruction is within the trial court’s discretion. </w:t>
      </w:r>
      <w:r w:rsidRPr="00A67015">
        <w:rPr>
          <w:rFonts w:ascii="Georgia" w:eastAsia="Times New Roman" w:hAnsi="Georgia" w:cs="Arial"/>
          <w:i/>
          <w:iCs/>
          <w:color w:val="2F2F2F"/>
          <w:spacing w:val="3"/>
          <w:sz w:val="27"/>
          <w:szCs w:val="27"/>
          <w:lang w:eastAsia="en-GB"/>
        </w:rPr>
        <w:t>Carey v. J.R. Lazzara, Inc., </w:t>
      </w:r>
      <w:r w:rsidRPr="00A67015">
        <w:rPr>
          <w:rFonts w:ascii="Georgia" w:eastAsia="Times New Roman" w:hAnsi="Georgia" w:cs="Arial"/>
          <w:color w:val="007BFF"/>
          <w:spacing w:val="3"/>
          <w:sz w:val="27"/>
          <w:szCs w:val="27"/>
          <w:lang w:eastAsia="en-GB"/>
        </w:rPr>
        <w:t>277 Ill. App. 3d 902</w:t>
      </w:r>
      <w:r w:rsidRPr="00A67015">
        <w:rPr>
          <w:rFonts w:ascii="Georgia" w:eastAsia="Times New Roman" w:hAnsi="Georgia" w:cs="Arial"/>
          <w:color w:val="2F2F2F"/>
          <w:spacing w:val="3"/>
          <w:sz w:val="27"/>
          <w:szCs w:val="27"/>
          <w:lang w:eastAsia="en-GB"/>
        </w:rPr>
        <w:t>, 906 (1996). The standard for determining whether the trial court abused its discretion is whether, taken as a whole, the instructions fully, fairly and comprehensively informed the jury of the relevant legal principles. </w:t>
      </w:r>
      <w:r w:rsidRPr="00A67015">
        <w:rPr>
          <w:rFonts w:ascii="Georgia" w:eastAsia="Times New Roman" w:hAnsi="Georgia" w:cs="Arial"/>
          <w:i/>
          <w:iCs/>
          <w:color w:val="2F2F2F"/>
          <w:spacing w:val="3"/>
          <w:sz w:val="27"/>
          <w:szCs w:val="27"/>
          <w:lang w:eastAsia="en-GB"/>
        </w:rPr>
        <w:t>Carey, </w:t>
      </w:r>
      <w:r w:rsidRPr="00A67015">
        <w:rPr>
          <w:rFonts w:ascii="Georgia" w:eastAsia="Times New Roman" w:hAnsi="Georgia" w:cs="Arial"/>
          <w:color w:val="007BFF"/>
          <w:spacing w:val="3"/>
          <w:sz w:val="27"/>
          <w:szCs w:val="27"/>
          <w:lang w:eastAsia="en-GB"/>
        </w:rPr>
        <w:t>277 Ill. App. 3d at 906</w:t>
      </w:r>
      <w:r w:rsidRPr="00A67015">
        <w:rPr>
          <w:rFonts w:ascii="Georgia" w:eastAsia="Times New Roman" w:hAnsi="Georgia" w:cs="Arial"/>
          <w:color w:val="2F2F2F"/>
          <w:spacing w:val="3"/>
          <w:sz w:val="27"/>
          <w:szCs w:val="27"/>
          <w:lang w:eastAsia="en-GB"/>
        </w:rPr>
        <w:t>. Under Supreme Court Rule 239(a), a presumption exists that a trial court should use Illinois Pattern Instructions when applicable, “giving due consideration to the facts and the prevailing law.” 177 Ill. 2d R. 239(a); </w:t>
      </w:r>
      <w:r w:rsidRPr="00A67015">
        <w:rPr>
          <w:rFonts w:ascii="Georgia" w:eastAsia="Times New Roman" w:hAnsi="Georgia" w:cs="Arial"/>
          <w:i/>
          <w:iCs/>
          <w:color w:val="2F2F2F"/>
          <w:spacing w:val="3"/>
          <w:sz w:val="27"/>
          <w:szCs w:val="27"/>
          <w:lang w:eastAsia="en-GB"/>
        </w:rPr>
        <w:t>Carey, </w:t>
      </w:r>
      <w:r w:rsidRPr="00A67015">
        <w:rPr>
          <w:rFonts w:ascii="Georgia" w:eastAsia="Times New Roman" w:hAnsi="Georgia" w:cs="Arial"/>
          <w:color w:val="007BFF"/>
          <w:spacing w:val="3"/>
          <w:sz w:val="27"/>
          <w:szCs w:val="27"/>
          <w:lang w:eastAsia="en-GB"/>
        </w:rPr>
        <w:t>277 Ill. App. 3d at 907</w:t>
      </w:r>
      <w:r w:rsidRPr="00A67015">
        <w:rPr>
          <w:rFonts w:ascii="Georgia" w:eastAsia="Times New Roman" w:hAnsi="Georgia" w:cs="Arial"/>
          <w:color w:val="2F2F2F"/>
          <w:spacing w:val="3"/>
          <w:sz w:val="27"/>
          <w:szCs w:val="27"/>
          <w:lang w:eastAsia="en-GB"/>
        </w:rPr>
        <w:t>.</w:t>
      </w:r>
    </w:p>
    <w:p w14:paraId="41BA8BF2"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In the present case, the trial court gave the following version of Illinois Pattern Jury Instructions, Civil, No. 14.01 (3d ed. 1993) (hereinafter IPI Civil 3d):</w:t>
      </w:r>
    </w:p>
    <w:p w14:paraId="41BA8BF3" w14:textId="77777777" w:rsidR="00A67015" w:rsidRPr="00A67015" w:rsidRDefault="00A67015" w:rsidP="00A67015">
      <w:pPr>
        <w:shd w:val="clear" w:color="auto" w:fill="FFFFFF"/>
        <w:spacing w:after="100" w:line="240" w:lineRule="auto"/>
        <w:rPr>
          <w:rFonts w:ascii="Georgia" w:eastAsia="Times New Roman" w:hAnsi="Georgia" w:cs="Arial"/>
          <w:color w:val="004FB3"/>
          <w:spacing w:val="3"/>
          <w:sz w:val="27"/>
          <w:szCs w:val="27"/>
          <w:lang w:eastAsia="en-GB"/>
        </w:rPr>
      </w:pPr>
      <w:r w:rsidRPr="00A67015">
        <w:rPr>
          <w:rFonts w:ascii="Georgia" w:eastAsia="Times New Roman" w:hAnsi="Georgia" w:cs="Arial"/>
          <w:i/>
          <w:iCs/>
          <w:color w:val="979797"/>
          <w:spacing w:val="3"/>
          <w:lang w:eastAsia="en-GB"/>
        </w:rPr>
        <w:t>*365</w:t>
      </w:r>
      <w:r w:rsidRPr="00A67015">
        <w:rPr>
          <w:rFonts w:ascii="Georgia" w:eastAsia="Times New Roman" w:hAnsi="Georgia" w:cs="Arial"/>
          <w:color w:val="004FB3"/>
          <w:spacing w:val="3"/>
          <w:sz w:val="27"/>
          <w:szCs w:val="27"/>
          <w:lang w:eastAsia="en-GB"/>
        </w:rPr>
        <w:t>“When I use the expression ‘willful and wanton conduct’ I mean a course of action which shows an utter indifference to or conscious disregard for the safety of others.”</w:t>
      </w:r>
    </w:p>
    <w:p w14:paraId="41BA8BF4"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IPI Civil 3d No. 14.01 fully, fairly and comprehensively stated the applicable law. See 745 ILCS 10/1 — 210 (West 1996) (utilizing the same definition of willful and wanton). Accordingly, the trial court did not abuse its discretion by giving IPI Civil 3d No. 14.01 and refusing plaintiffs tendered non-IPI instruction.</w:t>
      </w:r>
    </w:p>
    <w:p w14:paraId="41BA8BF5"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Next, plaintiff argues the trial court erred by admitting or excluding certain evidence at trial. The admission of evidence is within the discretion of the trial court, and the reviewing court will not reverse the trial court unless that discretion was clearly abused. </w:t>
      </w:r>
      <w:r w:rsidRPr="00A67015">
        <w:rPr>
          <w:rFonts w:ascii="Georgia" w:eastAsia="Times New Roman" w:hAnsi="Georgia" w:cs="Arial"/>
          <w:i/>
          <w:iCs/>
          <w:color w:val="2F2F2F"/>
          <w:spacing w:val="3"/>
          <w:sz w:val="27"/>
          <w:szCs w:val="27"/>
          <w:lang w:eastAsia="en-GB"/>
        </w:rPr>
        <w:t>Gill v. Foster, </w:t>
      </w:r>
      <w:r w:rsidRPr="00A67015">
        <w:rPr>
          <w:rFonts w:ascii="Georgia" w:eastAsia="Times New Roman" w:hAnsi="Georgia" w:cs="Arial"/>
          <w:color w:val="007BFF"/>
          <w:spacing w:val="3"/>
          <w:sz w:val="27"/>
          <w:szCs w:val="27"/>
          <w:lang w:eastAsia="en-GB"/>
        </w:rPr>
        <w:t>157 Ill. 2d 304</w:t>
      </w:r>
      <w:r w:rsidRPr="00A67015">
        <w:rPr>
          <w:rFonts w:ascii="Georgia" w:eastAsia="Times New Roman" w:hAnsi="Georgia" w:cs="Arial"/>
          <w:color w:val="2F2F2F"/>
          <w:spacing w:val="3"/>
          <w:sz w:val="27"/>
          <w:szCs w:val="27"/>
          <w:lang w:eastAsia="en-GB"/>
        </w:rPr>
        <w:t>, 312-13 (1993).</w:t>
      </w:r>
    </w:p>
    <w:p w14:paraId="41BA8BF6"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Plaintiff contends the trial court erred by admitting testimony of Officer Copps’ prior commendation for an arrest he made outside his beat. Plaintiff argues such testimony was inadmissible evidence of Officer Copps’ good character and of his prior conduct. See </w:t>
      </w:r>
      <w:r w:rsidRPr="00A67015">
        <w:rPr>
          <w:rFonts w:ascii="Georgia" w:eastAsia="Times New Roman" w:hAnsi="Georgia" w:cs="Arial"/>
          <w:i/>
          <w:iCs/>
          <w:color w:val="2F2F2F"/>
          <w:spacing w:val="3"/>
          <w:sz w:val="27"/>
          <w:szCs w:val="27"/>
          <w:lang w:eastAsia="en-GB"/>
        </w:rPr>
        <w:t>Hickey v. Chicago Transit Authority, </w:t>
      </w:r>
      <w:r w:rsidRPr="00A67015">
        <w:rPr>
          <w:rFonts w:ascii="Georgia" w:eastAsia="Times New Roman" w:hAnsi="Georgia" w:cs="Arial"/>
          <w:color w:val="007BFF"/>
          <w:spacing w:val="3"/>
          <w:sz w:val="27"/>
          <w:szCs w:val="27"/>
          <w:lang w:eastAsia="en-GB"/>
        </w:rPr>
        <w:t>52 Ill. App. 2d 132</w:t>
      </w:r>
      <w:r w:rsidRPr="00A67015">
        <w:rPr>
          <w:rFonts w:ascii="Georgia" w:eastAsia="Times New Roman" w:hAnsi="Georgia" w:cs="Arial"/>
          <w:color w:val="2F2F2F"/>
          <w:spacing w:val="3"/>
          <w:sz w:val="27"/>
          <w:szCs w:val="27"/>
          <w:lang w:eastAsia="en-GB"/>
        </w:rPr>
        <w:t>, 139 (1964) (holding that in civil cases parties may not support their position with testimony as to their good character or reputation, except when character is in issue, such as in slander cases); </w:t>
      </w:r>
      <w:r w:rsidRPr="00A67015">
        <w:rPr>
          <w:rFonts w:ascii="Georgia" w:eastAsia="Times New Roman" w:hAnsi="Georgia" w:cs="Arial"/>
          <w:i/>
          <w:iCs/>
          <w:color w:val="2F2F2F"/>
          <w:spacing w:val="3"/>
          <w:sz w:val="27"/>
          <w:szCs w:val="27"/>
          <w:lang w:eastAsia="en-GB"/>
        </w:rPr>
        <w:t>Dillon v. U.S. Steel Corp., </w:t>
      </w:r>
      <w:r w:rsidRPr="00A67015">
        <w:rPr>
          <w:rFonts w:ascii="Georgia" w:eastAsia="Times New Roman" w:hAnsi="Georgia" w:cs="Arial"/>
          <w:color w:val="007BFF"/>
          <w:spacing w:val="3"/>
          <w:sz w:val="27"/>
          <w:szCs w:val="27"/>
          <w:lang w:eastAsia="en-GB"/>
        </w:rPr>
        <w:t>159 Ill. App. 3d 186</w:t>
      </w:r>
      <w:r w:rsidRPr="00A67015">
        <w:rPr>
          <w:rFonts w:ascii="Georgia" w:eastAsia="Times New Roman" w:hAnsi="Georgia" w:cs="Arial"/>
          <w:color w:val="2F2F2F"/>
          <w:spacing w:val="3"/>
          <w:sz w:val="27"/>
          <w:szCs w:val="27"/>
          <w:lang w:eastAsia="en-GB"/>
        </w:rPr>
        <w:t>, 200 (1987) (holding that evidence of other similar acts may not be proved to show that, having done the same thing before, the person is likely to have done it on the occasion in issue).</w:t>
      </w:r>
    </w:p>
    <w:p w14:paraId="41BA8BF7"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In the present case, though, the evidence was not offered to show Officer Copps’ good character or that he acted in accordance with prior conduct but, rather, to show that he did not act willfully and wantonly by responding to a call outside his beat. Further, the evidence was admissible because plaintiff “opened the door” on the issue by asking Officer Copps a series of questions regarding whether he was authorized to respond to an emergency call outside his beat. See </w:t>
      </w:r>
      <w:r w:rsidRPr="00A67015">
        <w:rPr>
          <w:rFonts w:ascii="Georgia" w:eastAsia="Times New Roman" w:hAnsi="Georgia" w:cs="Arial"/>
          <w:i/>
          <w:iCs/>
          <w:color w:val="2F2F2F"/>
          <w:spacing w:val="3"/>
          <w:sz w:val="27"/>
          <w:szCs w:val="27"/>
          <w:lang w:eastAsia="en-GB"/>
        </w:rPr>
        <w:t>Conner v. Ofreneo, </w:t>
      </w:r>
      <w:r w:rsidRPr="00A67015">
        <w:rPr>
          <w:rFonts w:ascii="Georgia" w:eastAsia="Times New Roman" w:hAnsi="Georgia" w:cs="Arial"/>
          <w:color w:val="007BFF"/>
          <w:spacing w:val="3"/>
          <w:sz w:val="27"/>
          <w:szCs w:val="27"/>
          <w:lang w:eastAsia="en-GB"/>
        </w:rPr>
        <w:t>257 Ill. App. 3d 427</w:t>
      </w:r>
      <w:r w:rsidRPr="00A67015">
        <w:rPr>
          <w:rFonts w:ascii="Georgia" w:eastAsia="Times New Roman" w:hAnsi="Georgia" w:cs="Arial"/>
          <w:color w:val="2F2F2F"/>
          <w:spacing w:val="3"/>
          <w:sz w:val="27"/>
          <w:szCs w:val="27"/>
          <w:lang w:eastAsia="en-GB"/>
        </w:rPr>
        <w:t>, 434 (1993) (holding that “a party may introduce evidence, ordinarily improper, where the opponent has opened up the issue and [where the] party seeking to introduce the evidence would be prejudiced unless allowed to introduce it”).</w:t>
      </w:r>
    </w:p>
    <w:p w14:paraId="41BA8BF8"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Plaintiff argues that, having admitted evidence of Officer Copps’ commendation, the trial court should have allowed her to contradict it with evidence that he was once reprimanded for an accident in which he struck several pedestrians. Plaintiff does not support her claim of error with citation to the record; plaintiff does not identify where she attempted to offer the evidence of Officer Copps’ prior accident, nor </w:t>
      </w:r>
      <w:r w:rsidRPr="00A67015">
        <w:rPr>
          <w:rFonts w:ascii="Georgia" w:eastAsia="Times New Roman" w:hAnsi="Georgia" w:cs="Arial"/>
          <w:i/>
          <w:iCs/>
          <w:color w:val="979797"/>
          <w:spacing w:val="3"/>
          <w:lang w:eastAsia="en-GB"/>
        </w:rPr>
        <w:t>*366</w:t>
      </w:r>
      <w:r w:rsidRPr="00A67015">
        <w:rPr>
          <w:rFonts w:ascii="Georgia" w:eastAsia="Times New Roman" w:hAnsi="Georgia" w:cs="Arial"/>
          <w:color w:val="2F2F2F"/>
          <w:spacing w:val="3"/>
          <w:sz w:val="27"/>
          <w:szCs w:val="27"/>
          <w:lang w:eastAsia="en-GB"/>
        </w:rPr>
        <w:t>does she cite to the trial court’s evidentiary ruling. Accordingly, plaintiff has waived review of the issue. See 155 Ill. 2d R. 341(e)(7).</w:t>
      </w:r>
    </w:p>
    <w:p w14:paraId="41BA8BF9"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 xml:space="preserve">Next, </w:t>
      </w:r>
      <w:r w:rsidRPr="00BC0CC7">
        <w:rPr>
          <w:rFonts w:ascii="Georgia" w:eastAsia="Times New Roman" w:hAnsi="Georgia" w:cs="Arial"/>
          <w:color w:val="2F2F2F"/>
          <w:spacing w:val="3"/>
          <w:sz w:val="27"/>
          <w:szCs w:val="27"/>
          <w:highlight w:val="green"/>
          <w:lang w:eastAsia="en-GB"/>
        </w:rPr>
        <w:t>plaintiff argues the trial court erred in allowing testimony regarding the custom and practice of police officers to respond to emergency calls without asking or receiving permission to do so. Plaintiff contends the evidence offered to support the alleged- custom and practice was “patently insufficient.”</w:t>
      </w:r>
    </w:p>
    <w:p w14:paraId="41BA8BFA"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BC0CC7">
        <w:rPr>
          <w:rFonts w:ascii="Georgia" w:eastAsia="Times New Roman" w:hAnsi="Georgia" w:cs="Arial"/>
          <w:color w:val="2F2F2F"/>
          <w:spacing w:val="3"/>
          <w:sz w:val="27"/>
          <w:szCs w:val="27"/>
          <w:highlight w:val="green"/>
          <w:lang w:eastAsia="en-GB"/>
        </w:rPr>
        <w:t>We disagree.</w:t>
      </w:r>
      <w:r w:rsidRPr="00A67015">
        <w:rPr>
          <w:rFonts w:ascii="Georgia" w:eastAsia="Times New Roman" w:hAnsi="Georgia" w:cs="Arial"/>
          <w:color w:val="2F2F2F"/>
          <w:spacing w:val="3"/>
          <w:sz w:val="27"/>
          <w:szCs w:val="27"/>
          <w:lang w:eastAsia="en-GB"/>
        </w:rPr>
        <w:t xml:space="preserve"> Evidence of an organization’s custom and practice may be established by opinion testimony of a person with personal knowledge or by the introduction of specific instances of conduct sufficient in number to support a finding of routine practice. </w:t>
      </w:r>
      <w:r w:rsidRPr="00A67015">
        <w:rPr>
          <w:rFonts w:ascii="Georgia" w:eastAsia="Times New Roman" w:hAnsi="Georgia" w:cs="Arial"/>
          <w:i/>
          <w:iCs/>
          <w:color w:val="2F2F2F"/>
          <w:spacing w:val="3"/>
          <w:sz w:val="27"/>
          <w:szCs w:val="27"/>
          <w:lang w:eastAsia="en-GB"/>
        </w:rPr>
        <w:t>Brennan v. Wisconsin Central Ltd., </w:t>
      </w:r>
      <w:r w:rsidRPr="00A67015">
        <w:rPr>
          <w:rFonts w:ascii="Georgia" w:eastAsia="Times New Roman" w:hAnsi="Georgia" w:cs="Arial"/>
          <w:color w:val="007BFF"/>
          <w:spacing w:val="3"/>
          <w:sz w:val="27"/>
          <w:szCs w:val="27"/>
          <w:lang w:eastAsia="en-GB"/>
        </w:rPr>
        <w:t>227 Ill. App. 3d 1070</w:t>
      </w:r>
      <w:r w:rsidRPr="00A67015">
        <w:rPr>
          <w:rFonts w:ascii="Georgia" w:eastAsia="Times New Roman" w:hAnsi="Georgia" w:cs="Arial"/>
          <w:color w:val="2F2F2F"/>
          <w:spacing w:val="3"/>
          <w:sz w:val="27"/>
          <w:szCs w:val="27"/>
          <w:lang w:eastAsia="en-GB"/>
        </w:rPr>
        <w:t xml:space="preserve">, 1085 (1992). </w:t>
      </w:r>
      <w:r w:rsidRPr="00BC0CC7">
        <w:rPr>
          <w:rFonts w:ascii="Georgia" w:eastAsia="Times New Roman" w:hAnsi="Georgia" w:cs="Arial"/>
          <w:color w:val="2F2F2F"/>
          <w:spacing w:val="3"/>
          <w:sz w:val="27"/>
          <w:szCs w:val="27"/>
          <w:highlight w:val="green"/>
          <w:lang w:eastAsia="en-GB"/>
        </w:rPr>
        <w:t>In the present case, Officers Rosas and Murray testified that it was acceptable practice to respond to emergency calls without notifying the dispatcher, and they had personally engaged in that practice. Lieutenant Stahl testified that he taught all police officers to respond to emergency calls and the dispatcher would issue a “disregard” order if certain officers were not needed. Lou Reiter, a police consultant, testified that the practice of responding to emergency calls without notifying the dispatcher was consistent with generally accepted police practice. Such testimony was sufficient to establish the custom and practice of police officers to respond to emergency calls without receiving prior authorization.</w:t>
      </w:r>
    </w:p>
    <w:p w14:paraId="41BA8BFB"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BC0CC7">
        <w:rPr>
          <w:rFonts w:ascii="Georgia" w:eastAsia="Times New Roman" w:hAnsi="Georgia" w:cs="Arial"/>
          <w:color w:val="2F2F2F"/>
          <w:spacing w:val="3"/>
          <w:sz w:val="27"/>
          <w:szCs w:val="27"/>
          <w:highlight w:val="green"/>
          <w:lang w:eastAsia="en-GB"/>
        </w:rPr>
        <w:t>Plaintiff points to the testimony of another officer who asked for and received permission from the dispatcher before coming to the aid of Officers Watt and Black. Plaintiff contends such evidence disproves the existence of a custom or practice of responding to emergency calls without notifying the dispatcher. We disagree. This argument addresses the weight of the evidence of the custom, not its admissibility. Any contradiction in the evidence was for the jury to resolve.</w:t>
      </w:r>
    </w:p>
    <w:p w14:paraId="41BA8BFC"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Finally, plaintiff argues the trial court erred in denying her motion for a judgment notwithstanding the verdict because “no contrary verdict based upon the evidence could stand.” Plaintiff offers no further argument, other than this conclusory statement, in support of her claim of error. Accordingly, the issue is waived. See 155 Ill. 2d R. 341(e)(7); </w:t>
      </w:r>
      <w:r w:rsidRPr="00A67015">
        <w:rPr>
          <w:rFonts w:ascii="Georgia" w:eastAsia="Times New Roman" w:hAnsi="Georgia" w:cs="Arial"/>
          <w:i/>
          <w:iCs/>
          <w:color w:val="2F2F2F"/>
          <w:spacing w:val="3"/>
          <w:sz w:val="27"/>
          <w:szCs w:val="27"/>
          <w:lang w:eastAsia="en-GB"/>
        </w:rPr>
        <w:t>People v. Williams, </w:t>
      </w:r>
      <w:r w:rsidRPr="00A67015">
        <w:rPr>
          <w:rFonts w:ascii="Georgia" w:eastAsia="Times New Roman" w:hAnsi="Georgia" w:cs="Arial"/>
          <w:color w:val="007BFF"/>
          <w:spacing w:val="3"/>
          <w:sz w:val="27"/>
          <w:szCs w:val="27"/>
          <w:lang w:eastAsia="en-GB"/>
        </w:rPr>
        <w:t>267 Ill. App. 3d 82</w:t>
      </w:r>
      <w:r w:rsidRPr="00A67015">
        <w:rPr>
          <w:rFonts w:ascii="Georgia" w:eastAsia="Times New Roman" w:hAnsi="Georgia" w:cs="Arial"/>
          <w:color w:val="2F2F2F"/>
          <w:spacing w:val="3"/>
          <w:sz w:val="27"/>
          <w:szCs w:val="27"/>
          <w:lang w:eastAsia="en-GB"/>
        </w:rPr>
        <w:t>, 86 (1994).</w:t>
      </w:r>
    </w:p>
    <w:p w14:paraId="41BA8BFD"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Even if the issue had not been waived, we would find no error. A judgment notwithstanding the verdict should be granted only if all the evidence, when viewed in a light most favorable to the opponent, so overwhelmingly favors the movant that no contrary verdict can stand. </w:t>
      </w:r>
      <w:r w:rsidRPr="00A67015">
        <w:rPr>
          <w:rFonts w:ascii="Georgia" w:eastAsia="Times New Roman" w:hAnsi="Georgia" w:cs="Arial"/>
          <w:i/>
          <w:iCs/>
          <w:color w:val="2F2F2F"/>
          <w:spacing w:val="3"/>
          <w:sz w:val="27"/>
          <w:szCs w:val="27"/>
          <w:lang w:eastAsia="en-GB"/>
        </w:rPr>
        <w:t>Pedrick v. Peoria &amp; Eastern R.R. Co., </w:t>
      </w:r>
      <w:r w:rsidRPr="00A67015">
        <w:rPr>
          <w:rFonts w:ascii="Georgia" w:eastAsia="Times New Roman" w:hAnsi="Georgia" w:cs="Arial"/>
          <w:color w:val="007BFF"/>
          <w:spacing w:val="3"/>
          <w:sz w:val="27"/>
          <w:szCs w:val="27"/>
          <w:lang w:eastAsia="en-GB"/>
        </w:rPr>
        <w:t>37 Ill. 2d 494</w:t>
      </w:r>
      <w:r w:rsidRPr="00A67015">
        <w:rPr>
          <w:rFonts w:ascii="Georgia" w:eastAsia="Times New Roman" w:hAnsi="Georgia" w:cs="Arial"/>
          <w:color w:val="2F2F2F"/>
          <w:spacing w:val="3"/>
          <w:sz w:val="27"/>
          <w:szCs w:val="27"/>
          <w:lang w:eastAsia="en-GB"/>
        </w:rPr>
        <w:t xml:space="preserve">, 510 (1967). </w:t>
      </w:r>
      <w:r w:rsidRPr="00BC0CC7">
        <w:rPr>
          <w:rFonts w:ascii="Georgia" w:eastAsia="Times New Roman" w:hAnsi="Georgia" w:cs="Arial"/>
          <w:color w:val="2F2F2F"/>
          <w:spacing w:val="3"/>
          <w:sz w:val="27"/>
          <w:szCs w:val="27"/>
          <w:highlight w:val="green"/>
          <w:lang w:eastAsia="en-GB"/>
        </w:rPr>
        <w:t>Viewed in the light most favorable to defendants, the evidence established that Officer Copps entered the wrong lane of traffic in order to re</w:t>
      </w:r>
      <w:r w:rsidRPr="00BC0CC7">
        <w:rPr>
          <w:rFonts w:ascii="Georgia" w:eastAsia="Times New Roman" w:hAnsi="Georgia" w:cs="Arial"/>
          <w:i/>
          <w:iCs/>
          <w:color w:val="979797"/>
          <w:spacing w:val="3"/>
          <w:highlight w:val="green"/>
          <w:lang w:eastAsia="en-GB"/>
        </w:rPr>
        <w:t>*367</w:t>
      </w:r>
      <w:r w:rsidRPr="00BC0CC7">
        <w:rPr>
          <w:rFonts w:ascii="Georgia" w:eastAsia="Times New Roman" w:hAnsi="Georgia" w:cs="Arial"/>
          <w:color w:val="2F2F2F"/>
          <w:spacing w:val="3"/>
          <w:sz w:val="27"/>
          <w:szCs w:val="27"/>
          <w:highlight w:val="green"/>
          <w:lang w:eastAsia="en-GB"/>
        </w:rPr>
        <w:t>spond more speedily to an emergency call for help from fellow</w:t>
      </w:r>
      <w:r w:rsidRPr="00A67015">
        <w:rPr>
          <w:rFonts w:ascii="Georgia" w:eastAsia="Times New Roman" w:hAnsi="Georgia" w:cs="Arial"/>
          <w:color w:val="2F2F2F"/>
          <w:spacing w:val="3"/>
          <w:sz w:val="27"/>
          <w:szCs w:val="27"/>
          <w:lang w:eastAsia="en-GB"/>
        </w:rPr>
        <w:t xml:space="preserve"> </w:t>
      </w:r>
      <w:r w:rsidRPr="00BC0CC7">
        <w:rPr>
          <w:rFonts w:ascii="Georgia" w:eastAsia="Times New Roman" w:hAnsi="Georgia" w:cs="Arial"/>
          <w:color w:val="2F2F2F"/>
          <w:spacing w:val="3"/>
          <w:sz w:val="27"/>
          <w:szCs w:val="27"/>
          <w:highlight w:val="green"/>
          <w:lang w:eastAsia="en-GB"/>
        </w:rPr>
        <w:t>officers. Before entering that lane of traffic, Officer Copps slowed down and made sure there were no cars coming from the opposite direction; he also activated his siren to alert other motorists and pedestrians as to his presence. A jury could determine from such evidence that Officer Copps was not behaving in a willful and wanton manner at the time of the accident. Accordingly, the trial court properly denied plaintiff’s motion for judgment notwithstanding the verdict.</w:t>
      </w:r>
    </w:p>
    <w:p w14:paraId="41BA8BFE"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 xml:space="preserve">For the foregoing reasons, </w:t>
      </w:r>
      <w:r w:rsidRPr="00BC0CC7">
        <w:rPr>
          <w:rFonts w:ascii="Georgia" w:eastAsia="Times New Roman" w:hAnsi="Georgia" w:cs="Arial"/>
          <w:color w:val="2F2F2F"/>
          <w:spacing w:val="3"/>
          <w:sz w:val="27"/>
          <w:szCs w:val="27"/>
          <w:highlight w:val="red"/>
          <w:lang w:eastAsia="en-GB"/>
        </w:rPr>
        <w:t>we affirm the trial court’s order denying plaintiff’s posttrial motions for judgment notwithstanding the verdict and/or a new trial on the willful and wanton counts. We reverse the trial court’s order granting summary judgment for defendants on plaintiff’s negligence counts and we remand for further proceedings.</w:t>
      </w:r>
    </w:p>
    <w:p w14:paraId="41BA8BFF"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BC0CC7">
        <w:rPr>
          <w:rFonts w:ascii="Georgia" w:eastAsia="Times New Roman" w:hAnsi="Georgia" w:cs="Arial"/>
          <w:color w:val="2F2F2F"/>
          <w:spacing w:val="3"/>
          <w:sz w:val="27"/>
          <w:szCs w:val="27"/>
          <w:highlight w:val="red"/>
          <w:lang w:eastAsia="en-GB"/>
        </w:rPr>
        <w:t>Affirmed in part and reversed in part; cause remanded for further proceedings consistent with this opinion.</w:t>
      </w:r>
    </w:p>
    <w:p w14:paraId="41BA8C00" w14:textId="77777777" w:rsidR="00A67015" w:rsidRPr="00A67015" w:rsidRDefault="00A67015" w:rsidP="00A67015">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67015">
        <w:rPr>
          <w:rFonts w:ascii="Georgia" w:eastAsia="Times New Roman" w:hAnsi="Georgia" w:cs="Arial"/>
          <w:color w:val="2F2F2F"/>
          <w:spacing w:val="3"/>
          <w:sz w:val="27"/>
          <w:szCs w:val="27"/>
          <w:lang w:eastAsia="en-GB"/>
        </w:rPr>
        <w:t>GALLAGHER and O’HARA FROSSARD, JJ., concur.</w:t>
      </w:r>
    </w:p>
    <w:p w14:paraId="41BA8C01" w14:textId="77777777" w:rsidR="003C7770" w:rsidRDefault="003C7770"/>
    <w:p w14:paraId="41BA8C02" w14:textId="77777777" w:rsidR="00A67015" w:rsidRDefault="00A67015"/>
    <w:p w14:paraId="41BA8C03" w14:textId="77777777" w:rsidR="00A67015" w:rsidRPr="009456D4" w:rsidRDefault="00A67015" w:rsidP="00A6701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1BA8C04" w14:textId="77777777" w:rsidR="00CC51AB" w:rsidRPr="00584BE0" w:rsidRDefault="00584BE0" w:rsidP="00584BE0">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Police officer ran over and killed plaintiff’s daughter. Plaintiff sued for negligence and wilful and wanton misconduct. The trial court granted summary judgment for defendants on negligence. On appeal, the appellate court reversed this and remanded the case for further proceedings, because there was evidence that the police officer was not responding to an emergency when he ran over the decedent. With regards to the wilful and wanton claim, the jury returned a verdict in favour of defendant. The appellate court refused a new trial for this claim. </w:t>
      </w:r>
    </w:p>
    <w:sectPr w:rsidR="00CC51AB" w:rsidRPr="0058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6FBF"/>
    <w:multiLevelType w:val="multilevel"/>
    <w:tmpl w:val="82B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9222D"/>
    <w:multiLevelType w:val="multilevel"/>
    <w:tmpl w:val="A17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93DEF"/>
    <w:multiLevelType w:val="multilevel"/>
    <w:tmpl w:val="987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65326">
    <w:abstractNumId w:val="1"/>
  </w:num>
  <w:num w:numId="2" w16cid:durableId="1785033499">
    <w:abstractNumId w:val="0"/>
  </w:num>
  <w:num w:numId="3" w16cid:durableId="97880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15"/>
    <w:rsid w:val="0036748D"/>
    <w:rsid w:val="003C7770"/>
    <w:rsid w:val="00584BE0"/>
    <w:rsid w:val="00727D93"/>
    <w:rsid w:val="00A67015"/>
    <w:rsid w:val="00BC0CC7"/>
    <w:rsid w:val="00BE7543"/>
    <w:rsid w:val="00CC5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BA8BC3"/>
  <w15:docId w15:val="{5E3AA42A-DAFC-42F5-B8A7-902A1E40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70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7015"/>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A67015"/>
  </w:style>
  <w:style w:type="character" w:customStyle="1" w:styleId="court-name">
    <w:name w:val="court-name"/>
    <w:basedOn w:val="DefaultParagraphFont"/>
    <w:rsid w:val="00A67015"/>
  </w:style>
  <w:style w:type="character" w:customStyle="1" w:styleId="docket-number">
    <w:name w:val="docket-number"/>
    <w:basedOn w:val="DefaultParagraphFont"/>
    <w:rsid w:val="00A67015"/>
  </w:style>
  <w:style w:type="character" w:styleId="Hyperlink">
    <w:name w:val="Hyperlink"/>
    <w:basedOn w:val="DefaultParagraphFont"/>
    <w:uiPriority w:val="99"/>
    <w:semiHidden/>
    <w:unhideWhenUsed/>
    <w:rsid w:val="00A67015"/>
    <w:rPr>
      <w:color w:val="0000FF"/>
      <w:u w:val="single"/>
    </w:rPr>
  </w:style>
  <w:style w:type="character" w:customStyle="1" w:styleId="case-name-v">
    <w:name w:val="case-name-v"/>
    <w:basedOn w:val="DefaultParagraphFont"/>
    <w:rsid w:val="00A67015"/>
  </w:style>
  <w:style w:type="paragraph" w:customStyle="1" w:styleId="court">
    <w:name w:val="court"/>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7015"/>
    <w:rPr>
      <w:i/>
      <w:iCs/>
    </w:rPr>
  </w:style>
  <w:style w:type="paragraph" w:customStyle="1" w:styleId="judges">
    <w:name w:val="judge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0974">
      <w:bodyDiv w:val="1"/>
      <w:marLeft w:val="0"/>
      <w:marRight w:val="0"/>
      <w:marTop w:val="0"/>
      <w:marBottom w:val="0"/>
      <w:divBdr>
        <w:top w:val="none" w:sz="0" w:space="0" w:color="auto"/>
        <w:left w:val="none" w:sz="0" w:space="0" w:color="auto"/>
        <w:bottom w:val="none" w:sz="0" w:space="0" w:color="auto"/>
        <w:right w:val="none" w:sz="0" w:space="0" w:color="auto"/>
      </w:divBdr>
      <w:divsChild>
        <w:div w:id="1624531407">
          <w:marLeft w:val="0"/>
          <w:marRight w:val="0"/>
          <w:marTop w:val="0"/>
          <w:marBottom w:val="0"/>
          <w:divBdr>
            <w:top w:val="none" w:sz="0" w:space="0" w:color="auto"/>
            <w:left w:val="none" w:sz="0" w:space="0" w:color="auto"/>
            <w:bottom w:val="none" w:sz="0" w:space="0" w:color="auto"/>
            <w:right w:val="none" w:sz="0" w:space="0" w:color="auto"/>
          </w:divBdr>
          <w:divsChild>
            <w:div w:id="1203787247">
              <w:marLeft w:val="0"/>
              <w:marRight w:val="0"/>
              <w:marTop w:val="0"/>
              <w:marBottom w:val="0"/>
              <w:divBdr>
                <w:top w:val="none" w:sz="0" w:space="0" w:color="auto"/>
                <w:left w:val="none" w:sz="0" w:space="0" w:color="auto"/>
                <w:bottom w:val="none" w:sz="0" w:space="0" w:color="auto"/>
                <w:right w:val="none" w:sz="0" w:space="0" w:color="auto"/>
              </w:divBdr>
              <w:divsChild>
                <w:div w:id="2040466842">
                  <w:marLeft w:val="0"/>
                  <w:marRight w:val="0"/>
                  <w:marTop w:val="0"/>
                  <w:marBottom w:val="0"/>
                  <w:divBdr>
                    <w:top w:val="none" w:sz="0" w:space="0" w:color="auto"/>
                    <w:left w:val="none" w:sz="0" w:space="0" w:color="auto"/>
                    <w:bottom w:val="none" w:sz="0" w:space="0" w:color="auto"/>
                    <w:right w:val="none" w:sz="0" w:space="0" w:color="auto"/>
                  </w:divBdr>
                </w:div>
                <w:div w:id="1362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291">
          <w:marLeft w:val="0"/>
          <w:marRight w:val="0"/>
          <w:marTop w:val="0"/>
          <w:marBottom w:val="0"/>
          <w:divBdr>
            <w:top w:val="none" w:sz="0" w:space="0" w:color="auto"/>
            <w:left w:val="none" w:sz="0" w:space="0" w:color="auto"/>
            <w:bottom w:val="none" w:sz="0" w:space="0" w:color="auto"/>
            <w:right w:val="none" w:sz="0" w:space="0" w:color="auto"/>
          </w:divBdr>
          <w:divsChild>
            <w:div w:id="873470049">
              <w:marLeft w:val="0"/>
              <w:marRight w:val="0"/>
              <w:marTop w:val="0"/>
              <w:marBottom w:val="0"/>
              <w:divBdr>
                <w:top w:val="none" w:sz="0" w:space="0" w:color="auto"/>
                <w:left w:val="none" w:sz="0" w:space="0" w:color="auto"/>
                <w:bottom w:val="none" w:sz="0" w:space="0" w:color="auto"/>
                <w:right w:val="none" w:sz="0" w:space="0" w:color="auto"/>
              </w:divBdr>
              <w:divsChild>
                <w:div w:id="878517641">
                  <w:marLeft w:val="0"/>
                  <w:marRight w:val="0"/>
                  <w:marTop w:val="0"/>
                  <w:marBottom w:val="0"/>
                  <w:divBdr>
                    <w:top w:val="none" w:sz="0" w:space="0" w:color="auto"/>
                    <w:left w:val="none" w:sz="0" w:space="0" w:color="auto"/>
                    <w:bottom w:val="none" w:sz="0" w:space="0" w:color="auto"/>
                    <w:right w:val="none" w:sz="0" w:space="0" w:color="auto"/>
                  </w:divBdr>
                  <w:divsChild>
                    <w:div w:id="730692794">
                      <w:marLeft w:val="0"/>
                      <w:marRight w:val="0"/>
                      <w:marTop w:val="0"/>
                      <w:marBottom w:val="0"/>
                      <w:divBdr>
                        <w:top w:val="none" w:sz="0" w:space="0" w:color="auto"/>
                        <w:left w:val="none" w:sz="0" w:space="0" w:color="auto"/>
                        <w:bottom w:val="none" w:sz="0" w:space="0" w:color="auto"/>
                        <w:right w:val="none" w:sz="0" w:space="0" w:color="auto"/>
                      </w:divBdr>
                      <w:divsChild>
                        <w:div w:id="307783632">
                          <w:marLeft w:val="0"/>
                          <w:marRight w:val="0"/>
                          <w:marTop w:val="0"/>
                          <w:marBottom w:val="0"/>
                          <w:divBdr>
                            <w:top w:val="none" w:sz="0" w:space="0" w:color="auto"/>
                            <w:left w:val="none" w:sz="0" w:space="0" w:color="auto"/>
                            <w:bottom w:val="none" w:sz="0" w:space="0" w:color="auto"/>
                            <w:right w:val="none" w:sz="0" w:space="0" w:color="auto"/>
                          </w:divBdr>
                        </w:div>
                      </w:divsChild>
                    </w:div>
                    <w:div w:id="363749766">
                      <w:marLeft w:val="0"/>
                      <w:marRight w:val="0"/>
                      <w:marTop w:val="0"/>
                      <w:marBottom w:val="0"/>
                      <w:divBdr>
                        <w:top w:val="none" w:sz="0" w:space="0" w:color="auto"/>
                        <w:left w:val="none" w:sz="0" w:space="0" w:color="auto"/>
                        <w:bottom w:val="none" w:sz="0" w:space="0" w:color="auto"/>
                        <w:right w:val="none" w:sz="0" w:space="0" w:color="auto"/>
                      </w:divBdr>
                      <w:divsChild>
                        <w:div w:id="874003337">
                          <w:marLeft w:val="0"/>
                          <w:marRight w:val="0"/>
                          <w:marTop w:val="0"/>
                          <w:marBottom w:val="0"/>
                          <w:divBdr>
                            <w:top w:val="none" w:sz="0" w:space="0" w:color="auto"/>
                            <w:left w:val="none" w:sz="0" w:space="0" w:color="auto"/>
                            <w:bottom w:val="none" w:sz="0" w:space="0" w:color="auto"/>
                            <w:right w:val="none" w:sz="0" w:space="0" w:color="auto"/>
                          </w:divBdr>
                        </w:div>
                      </w:divsChild>
                    </w:div>
                    <w:div w:id="1769158966">
                      <w:marLeft w:val="0"/>
                      <w:marRight w:val="0"/>
                      <w:marTop w:val="0"/>
                      <w:marBottom w:val="0"/>
                      <w:divBdr>
                        <w:top w:val="none" w:sz="0" w:space="0" w:color="auto"/>
                        <w:left w:val="none" w:sz="0" w:space="0" w:color="auto"/>
                        <w:bottom w:val="none" w:sz="0" w:space="0" w:color="auto"/>
                        <w:right w:val="none" w:sz="0" w:space="0" w:color="auto"/>
                      </w:divBdr>
                      <w:divsChild>
                        <w:div w:id="2070499330">
                          <w:marLeft w:val="0"/>
                          <w:marRight w:val="0"/>
                          <w:marTop w:val="0"/>
                          <w:marBottom w:val="0"/>
                          <w:divBdr>
                            <w:top w:val="none" w:sz="0" w:space="0" w:color="auto"/>
                            <w:left w:val="none" w:sz="0" w:space="0" w:color="auto"/>
                            <w:bottom w:val="none" w:sz="0" w:space="0" w:color="auto"/>
                            <w:right w:val="none" w:sz="0" w:space="0" w:color="auto"/>
                          </w:divBdr>
                        </w:div>
                      </w:divsChild>
                    </w:div>
                    <w:div w:id="1214731498">
                      <w:marLeft w:val="0"/>
                      <w:marRight w:val="0"/>
                      <w:marTop w:val="0"/>
                      <w:marBottom w:val="0"/>
                      <w:divBdr>
                        <w:top w:val="none" w:sz="0" w:space="0" w:color="auto"/>
                        <w:left w:val="none" w:sz="0" w:space="0" w:color="auto"/>
                        <w:bottom w:val="none" w:sz="0" w:space="0" w:color="auto"/>
                        <w:right w:val="none" w:sz="0" w:space="0" w:color="auto"/>
                      </w:divBdr>
                      <w:divsChild>
                        <w:div w:id="20158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1111">
          <w:marLeft w:val="0"/>
          <w:marRight w:val="0"/>
          <w:marTop w:val="0"/>
          <w:marBottom w:val="0"/>
          <w:divBdr>
            <w:top w:val="none" w:sz="0" w:space="0" w:color="auto"/>
            <w:left w:val="none" w:sz="0" w:space="0" w:color="auto"/>
            <w:bottom w:val="none" w:sz="0" w:space="0" w:color="auto"/>
            <w:right w:val="none" w:sz="0" w:space="0" w:color="auto"/>
          </w:divBdr>
          <w:divsChild>
            <w:div w:id="1921668813">
              <w:marLeft w:val="0"/>
              <w:marRight w:val="0"/>
              <w:marTop w:val="0"/>
              <w:marBottom w:val="0"/>
              <w:divBdr>
                <w:top w:val="none" w:sz="0" w:space="0" w:color="auto"/>
                <w:left w:val="none" w:sz="0" w:space="0" w:color="auto"/>
                <w:bottom w:val="none" w:sz="0" w:space="0" w:color="auto"/>
                <w:right w:val="none" w:sz="0" w:space="0" w:color="auto"/>
              </w:divBdr>
              <w:divsChild>
                <w:div w:id="1284799647">
                  <w:marLeft w:val="0"/>
                  <w:marRight w:val="0"/>
                  <w:marTop w:val="0"/>
                  <w:marBottom w:val="0"/>
                  <w:divBdr>
                    <w:top w:val="none" w:sz="0" w:space="0" w:color="auto"/>
                    <w:left w:val="none" w:sz="0" w:space="0" w:color="auto"/>
                    <w:bottom w:val="none" w:sz="0" w:space="0" w:color="auto"/>
                    <w:right w:val="none" w:sz="0" w:space="0" w:color="auto"/>
                  </w:divBdr>
                  <w:divsChild>
                    <w:div w:id="1656447041">
                      <w:marLeft w:val="1315"/>
                      <w:marRight w:val="0"/>
                      <w:marTop w:val="0"/>
                      <w:marBottom w:val="0"/>
                      <w:divBdr>
                        <w:top w:val="none" w:sz="0" w:space="0" w:color="auto"/>
                        <w:left w:val="none" w:sz="0" w:space="0" w:color="auto"/>
                        <w:bottom w:val="none" w:sz="0" w:space="0" w:color="auto"/>
                        <w:right w:val="none" w:sz="0" w:space="0" w:color="auto"/>
                      </w:divBdr>
                    </w:div>
                  </w:divsChild>
                </w:div>
                <w:div w:id="2093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