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NDT Procedure Template — SNT-TC-1A / ISO 9712 Compliant</w:t>
      </w:r>
    </w:p>
    <w:p>
      <w:pPr>
        <w:jc w:val="center"/>
      </w:pPr>
      <w:r>
        <w:rPr>
          <w:i/>
          <w:color w:val="666666"/>
          <w:sz w:val="20"/>
        </w:rPr>
        <w:t>Atlantis NDT — Free Editable Template</w:t>
      </w:r>
    </w:p>
    <w:p/>
    <w:p>
      <w:pPr>
        <w:pStyle w:val="Heading1"/>
      </w:pPr>
      <w:r>
        <w:rPr>
          <w:color w:val="1F4E79"/>
        </w:rPr>
        <w:t>1. Procedure Identification</w:t>
      </w:r>
    </w:p>
    <w:p>
      <w:r>
        <w:rPr>
          <w:b/>
        </w:rPr>
        <w:t xml:space="preserve">Procedure Number: </w:t>
      </w:r>
      <w:r>
        <w:t>[XXX-NDT-001]</w:t>
      </w:r>
    </w:p>
    <w:p>
      <w:r>
        <w:rPr>
          <w:b/>
        </w:rPr>
        <w:t xml:space="preserve">Revision: </w:t>
      </w:r>
      <w:r>
        <w:t>[Rev 0]</w:t>
      </w:r>
    </w:p>
    <w:p>
      <w:r>
        <w:rPr>
          <w:b/>
        </w:rPr>
        <w:t xml:space="preserve">Effective Date: </w:t>
      </w:r>
      <w:r>
        <w:t>[YYYY-MM-DD]</w:t>
      </w:r>
    </w:p>
    <w:p>
      <w:r>
        <w:rPr>
          <w:b/>
        </w:rPr>
        <w:t xml:space="preserve">Method: </w:t>
      </w:r>
      <w:r>
        <w:t>[UT / RT / MT / PT / ET / VT / PAUT / TOFD]</w:t>
      </w:r>
    </w:p>
    <w:p>
      <w:r>
        <w:rPr>
          <w:b/>
        </w:rPr>
        <w:t xml:space="preserve">Application: </w:t>
      </w:r>
      <w:r>
        <w:t>[e.g., Weld Inspection, Thickness Measurement, Tube Bundle Inspection]</w:t>
      </w:r>
    </w:p>
    <w:p>
      <w:r>
        <w:rPr>
          <w:b/>
        </w:rPr>
        <w:t xml:space="preserve">Material: </w:t>
      </w:r>
      <w:r>
        <w:t>[CS / SS / Duplex / Cu / Al / Composite]</w:t>
      </w:r>
    </w:p>
    <w:p>
      <w:r>
        <w:rPr>
          <w:b/>
        </w:rPr>
        <w:t xml:space="preserve">Thickness Range: </w:t>
      </w:r>
      <w:r>
        <w:t>[e.g., 6 mm – 100 mm]</w:t>
      </w:r>
    </w:p>
    <w:p>
      <w:r>
        <w:rPr>
          <w:b/>
        </w:rPr>
        <w:t xml:space="preserve">Geometry: </w:t>
      </w:r>
      <w:r>
        <w:t>[e.g., Butt Weld, Pipe, Plate, Tube, Tank Shell]</w:t>
      </w:r>
    </w:p>
    <w:p>
      <w:r>
        <w:rPr>
          <w:b/>
        </w:rPr>
        <w:t xml:space="preserve">Reference Codes: </w:t>
      </w:r>
      <w:r>
        <w:t>[ASME Section V Article 4 / API 510 / EN ISO 17640 / AWS D1.1]</w:t>
      </w:r>
    </w:p>
    <w:p>
      <w:r>
        <w:rPr>
          <w:b/>
        </w:rPr>
        <w:t xml:space="preserve">Customer / Project: </w:t>
      </w:r>
      <w:r>
        <w:t>[Owner-Operator / EPC / Project No.]</w:t>
      </w:r>
    </w:p>
    <w:p>
      <w:r>
        <w:rPr>
          <w:b/>
        </w:rPr>
        <w:t xml:space="preserve">Prepared by: </w:t>
      </w:r>
      <w:r>
        <w:t>[Name, ASNT Level III Cert No.]</w:t>
      </w:r>
    </w:p>
    <w:p>
      <w:r>
        <w:rPr>
          <w:b/>
        </w:rPr>
        <w:t xml:space="preserve">Reviewed by: </w:t>
      </w:r>
      <w:r>
        <w:t>[Name, Position]</w:t>
      </w:r>
    </w:p>
    <w:p>
      <w:r>
        <w:rPr>
          <w:b/>
        </w:rPr>
        <w:t xml:space="preserve">Approved by: </w:t>
      </w:r>
      <w:r>
        <w:t>[Name, Position]</w:t>
      </w:r>
    </w:p>
    <w:p>
      <w:pPr>
        <w:pStyle w:val="Heading1"/>
      </w:pPr>
      <w:r>
        <w:rPr>
          <w:color w:val="1F4E79"/>
        </w:rPr>
        <w:t>2. Scope</w:t>
      </w:r>
    </w:p>
    <w:p>
      <w:r>
        <w:t>This procedure defines the requirements for [Method] examination of [Application] in accordance with [Reference Code(s)] for [Customer]. The procedure applies to [Material] components in the thickness range of [Thickness Range] and geometry [Geometry]. Examination shall be performed by personnel qualified per [ASNT SNT-TC-1A / ISO 9712 / PCN] to the appropriate Level for the activity being performed.</w:t>
      </w:r>
    </w:p>
    <w:p>
      <w:pPr>
        <w:pStyle w:val="Heading1"/>
      </w:pPr>
      <w:r>
        <w:rPr>
          <w:color w:val="1F4E79"/>
        </w:rPr>
        <w:t>3. Reference Documents</w:t>
      </w:r>
    </w:p>
    <w:p>
      <w:pPr>
        <w:pStyle w:val="ListBullet"/>
      </w:pPr>
      <w:r>
        <w:t>ASNT SNT-TC-1A (latest edition) — Recommended Practice for Personnel Qualification and Certification</w:t>
      </w:r>
    </w:p>
    <w:p>
      <w:pPr>
        <w:pStyle w:val="ListBullet"/>
      </w:pPr>
      <w:r>
        <w:t>ASNT CP-189 (latest edition) — Standard for Qualification and Certification (if applicable)</w:t>
      </w:r>
    </w:p>
    <w:p>
      <w:pPr>
        <w:pStyle w:val="ListBullet"/>
      </w:pPr>
      <w:r>
        <w:t>ISO 9712:2021 — NDT Personnel Qualification and Certification</w:t>
      </w:r>
    </w:p>
    <w:p>
      <w:pPr>
        <w:pStyle w:val="ListBullet"/>
      </w:pPr>
      <w:r>
        <w:t>ASME Section V (latest edition) — NDE</w:t>
      </w:r>
    </w:p>
    <w:p>
      <w:pPr>
        <w:pStyle w:val="ListBullet"/>
      </w:pPr>
      <w:r>
        <w:t>ASME Section VIII Division 1 — Pressure Vessels (acceptance criteria)</w:t>
      </w:r>
    </w:p>
    <w:p>
      <w:pPr>
        <w:pStyle w:val="ListBullet"/>
      </w:pPr>
      <w:r>
        <w:t>ASME B31.3 — Process Piping (acceptance criteria)</w:t>
      </w:r>
    </w:p>
    <w:p>
      <w:pPr>
        <w:pStyle w:val="ListBullet"/>
      </w:pPr>
      <w:r>
        <w:t>API 510 / 570 / 653 / 580 / 581 — In-service inspection codes</w:t>
      </w:r>
    </w:p>
    <w:p>
      <w:pPr>
        <w:pStyle w:val="ListBullet"/>
      </w:pPr>
      <w:r>
        <w:t>[Customer Written Practice / Saudi Aramco SAEP / ADNOC ACS / Shell DEP — as applicable]</w:t>
      </w:r>
    </w:p>
    <w:p>
      <w:pPr>
        <w:pStyle w:val="ListBullet"/>
      </w:pPr>
      <w:r>
        <w:t>Equipment manufacturer manual — [insert]</w:t>
      </w:r>
    </w:p>
    <w:p>
      <w:pPr>
        <w:pStyle w:val="ListBullet"/>
      </w:pPr>
      <w:r>
        <w:t>[Calibration / reference block standard]</w:t>
      </w:r>
    </w:p>
    <w:p>
      <w:pPr>
        <w:pStyle w:val="Heading1"/>
      </w:pPr>
      <w:r>
        <w:rPr>
          <w:color w:val="1F4E79"/>
        </w:rPr>
        <w:t>4. Personnel Qualification</w:t>
      </w:r>
    </w:p>
    <w:p>
      <w:r>
        <w:t>Personnel performing the examination shall be qualified and certified to the appropriate Level per the employer's Written Practice [WPN-NDT-001] or per [ISO 9712 / PCN] as applicable. Level I personnel shall work under the supervision of qualified Level II or Level III. Level II personnel perform the examination, evaluate results, and prepare reports. Level III personnel are responsible for procedure approval, technique development, and final evaluation of indications.</w:t>
      </w:r>
    </w:p>
    <w:p>
      <w:r>
        <w:rPr>
          <w:b/>
        </w:rPr>
        <w:t xml:space="preserve">Minimum Level for Examination: </w:t>
      </w:r>
      <w:r>
        <w:t>[Level II]</w:t>
      </w:r>
    </w:p>
    <w:p>
      <w:r>
        <w:rPr>
          <w:b/>
        </w:rPr>
        <w:t xml:space="preserve">Procedure Approval Level: </w:t>
      </w:r>
      <w:r>
        <w:t>[Level III]</w:t>
      </w:r>
    </w:p>
    <w:p>
      <w:r>
        <w:rPr>
          <w:b/>
        </w:rPr>
        <w:t xml:space="preserve">Vision Acuity: </w:t>
      </w:r>
      <w:r>
        <w:t>Annual Jaeger J1/J2 + Ishihara color</w:t>
      </w:r>
    </w:p>
    <w:p>
      <w:pPr>
        <w:pStyle w:val="Heading1"/>
      </w:pPr>
      <w:r>
        <w:rPr>
          <w:color w:val="1F4E79"/>
        </w:rPr>
        <w:t>5. Equipment &amp; Materials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t>Item</w:t>
            </w:r>
          </w:p>
        </w:tc>
        <w:tc>
          <w:tcPr>
            <w:tcW w:type="dxa" w:w="2493"/>
          </w:tcPr>
          <w:p>
            <w:r>
              <w:t>Specification</w:t>
            </w:r>
          </w:p>
        </w:tc>
        <w:tc>
          <w:tcPr>
            <w:tcW w:type="dxa" w:w="2493"/>
          </w:tcPr>
          <w:p>
            <w:r>
              <w:t>Make / Model / Standard</w:t>
            </w:r>
          </w:p>
        </w:tc>
        <w:tc>
          <w:tcPr>
            <w:tcW w:type="dxa" w:w="2493"/>
          </w:tcPr>
          <w:p>
            <w:r>
              <w:t>Calibration / Verification</w:t>
            </w:r>
          </w:p>
        </w:tc>
      </w:tr>
      <w:tr>
        <w:tc>
          <w:tcPr>
            <w:tcW w:type="dxa" w:w="2493"/>
          </w:tcPr>
          <w:p>
            <w:r>
              <w:t>Instrument</w:t>
            </w:r>
          </w:p>
        </w:tc>
        <w:tc>
          <w:tcPr>
            <w:tcW w:type="dxa" w:w="2493"/>
          </w:tcPr>
          <w:p>
            <w:r>
              <w:t>[e.g., Digital UT flaw detector]</w:t>
            </w:r>
          </w:p>
        </w:tc>
        <w:tc>
          <w:tcPr>
            <w:tcW w:type="dxa" w:w="2493"/>
          </w:tcPr>
          <w:p>
            <w:r>
              <w:t>[Olympus EPOCH 650 / Sonatest D70]</w:t>
            </w:r>
          </w:p>
        </w:tc>
        <w:tc>
          <w:tcPr>
            <w:tcW w:type="dxa" w:w="2493"/>
          </w:tcPr>
          <w:p>
            <w:r>
              <w:t>Manufacturer functional check + linearity per ASME V</w:t>
            </w:r>
          </w:p>
        </w:tc>
      </w:tr>
      <w:tr>
        <w:tc>
          <w:tcPr>
            <w:tcW w:type="dxa" w:w="2493"/>
          </w:tcPr>
          <w:p>
            <w:r>
              <w:t>Probe / Source</w:t>
            </w:r>
          </w:p>
        </w:tc>
        <w:tc>
          <w:tcPr>
            <w:tcW w:type="dxa" w:w="2493"/>
          </w:tcPr>
          <w:p>
            <w:r>
              <w:t>[e.g., 5 MHz, Ø10 mm angle beam 60° / 45°]</w:t>
            </w:r>
          </w:p>
        </w:tc>
        <w:tc>
          <w:tcPr>
            <w:tcW w:type="dxa" w:w="2493"/>
          </w:tcPr>
          <w:p>
            <w:r>
              <w:t>[Olympus / Eddyfi / Sonatest]</w:t>
            </w:r>
          </w:p>
        </w:tc>
        <w:tc>
          <w:tcPr>
            <w:tcW w:type="dxa" w:w="2493"/>
          </w:tcPr>
          <w:p>
            <w:r>
              <w:t>Per ASME V Article 4 setup</w:t>
            </w:r>
          </w:p>
        </w:tc>
      </w:tr>
      <w:tr>
        <w:tc>
          <w:tcPr>
            <w:tcW w:type="dxa" w:w="2493"/>
          </w:tcPr>
          <w:p>
            <w:r>
              <w:t>Couplant</w:t>
            </w:r>
          </w:p>
        </w:tc>
        <w:tc>
          <w:tcPr>
            <w:tcW w:type="dxa" w:w="2493"/>
          </w:tcPr>
          <w:p>
            <w:r>
              <w:t>[ASTM E114 acceptable; e.g., Sonotech Ultragel II]</w:t>
            </w:r>
          </w:p>
        </w:tc>
        <w:tc>
          <w:tcPr>
            <w:tcW w:type="dxa" w:w="2493"/>
          </w:tcPr>
          <w:p>
            <w:r>
              <w:t>[Manufacturer]</w:t>
            </w:r>
          </w:p>
        </w:tc>
        <w:tc>
          <w:tcPr>
            <w:tcW w:type="dxa" w:w="2493"/>
          </w:tcPr>
          <w:p>
            <w:r>
              <w:t>Compatible with material</w:t>
            </w:r>
          </w:p>
        </w:tc>
      </w:tr>
      <w:tr>
        <w:tc>
          <w:tcPr>
            <w:tcW w:type="dxa" w:w="2493"/>
          </w:tcPr>
          <w:p>
            <w:r>
              <w:t>Reference Block</w:t>
            </w:r>
          </w:p>
        </w:tc>
        <w:tc>
          <w:tcPr>
            <w:tcW w:type="dxa" w:w="2493"/>
          </w:tcPr>
          <w:p>
            <w:r>
              <w:t>[IIW V1 / V2 / ASME basic / customer-specific]</w:t>
            </w:r>
          </w:p>
        </w:tc>
        <w:tc>
          <w:tcPr>
            <w:tcW w:type="dxa" w:w="2493"/>
          </w:tcPr>
          <w:p>
            <w:r>
              <w:t>[Steel block, traceable]</w:t>
            </w:r>
          </w:p>
        </w:tc>
        <w:tc>
          <w:tcPr>
            <w:tcW w:type="dxa" w:w="2493"/>
          </w:tcPr>
          <w:p>
            <w:r>
              <w:t>Per ASME V Annex</w:t>
            </w:r>
          </w:p>
        </w:tc>
      </w:tr>
      <w:tr>
        <w:tc>
          <w:tcPr>
            <w:tcW w:type="dxa" w:w="2493"/>
          </w:tcPr>
          <w:p>
            <w:r>
              <w:t>Calibration Block</w:t>
            </w:r>
          </w:p>
        </w:tc>
        <w:tc>
          <w:tcPr>
            <w:tcW w:type="dxa" w:w="2493"/>
          </w:tcPr>
          <w:p>
            <w:r>
              <w:t>[Step-wedge / DAC block]</w:t>
            </w:r>
          </w:p>
        </w:tc>
        <w:tc>
          <w:tcPr>
            <w:tcW w:type="dxa" w:w="2493"/>
          </w:tcPr>
          <w:p>
            <w:r>
              <w:t>[As applicable]</w:t>
            </w:r>
          </w:p>
        </w:tc>
        <w:tc>
          <w:tcPr>
            <w:tcW w:type="dxa" w:w="2493"/>
          </w:tcPr>
          <w:p>
            <w:r>
              <w:t>Verify before each scan</w:t>
            </w:r>
          </w:p>
        </w:tc>
      </w:tr>
      <w:tr>
        <w:tc>
          <w:tcPr>
            <w:tcW w:type="dxa" w:w="2493"/>
          </w:tcPr>
          <w:p>
            <w:r>
              <w:t>Other Equipment</w:t>
            </w:r>
          </w:p>
        </w:tc>
        <w:tc>
          <w:tcPr>
            <w:tcW w:type="dxa" w:w="2493"/>
          </w:tcPr>
          <w:p>
            <w:r>
              <w:t>[Survey meter / film badge / penetrant kit]</w:t>
            </w:r>
          </w:p>
        </w:tc>
        <w:tc>
          <w:tcPr>
            <w:tcW w:type="dxa" w:w="2493"/>
          </w:tcPr>
          <w:p>
            <w:r>
              <w:t>[As applicable]</w:t>
            </w:r>
          </w:p>
        </w:tc>
        <w:tc>
          <w:tcPr>
            <w:tcW w:type="dxa" w:w="2493"/>
          </w:tcPr>
          <w:p>
            <w:r>
              <w:t>Current calibration</w:t>
            </w:r>
          </w:p>
        </w:tc>
      </w:tr>
    </w:tbl>
    <w:p>
      <w:pPr>
        <w:pStyle w:val="Heading1"/>
      </w:pPr>
      <w:r>
        <w:rPr>
          <w:color w:val="1F4E79"/>
        </w:rPr>
        <w:t>6. Surface Preparation</w:t>
      </w:r>
    </w:p>
    <w:p>
      <w:r>
        <w:t>Inspection surfaces shall be free of scale, dirt, weld spatter, paint, and any condition that would interfere with the examination. Surface preparation requirements:</w:t>
      </w:r>
    </w:p>
    <w:p>
      <w:pPr>
        <w:pStyle w:val="ListBullet"/>
      </w:pPr>
      <w:r>
        <w:t>Visual inspection: degrease and clean per ASME V Article 9 §T-921</w:t>
      </w:r>
    </w:p>
    <w:p>
      <w:pPr>
        <w:pStyle w:val="ListBullet"/>
      </w:pPr>
      <w:r>
        <w:t>Magnetic Particle: clean to bare metal per ASTM E1444 §6</w:t>
      </w:r>
    </w:p>
    <w:p>
      <w:pPr>
        <w:pStyle w:val="ListBullet"/>
      </w:pPr>
      <w:r>
        <w:t>Liquid Penetrant: degrease, dry; coating-free per ASME V Article 6 §T-621</w:t>
      </w:r>
    </w:p>
    <w:p>
      <w:pPr>
        <w:pStyle w:val="ListBullet"/>
      </w:pPr>
      <w:r>
        <w:t>Ultrasonic: smooth surface, Ra ≤ 6.3 µm; remove scale and loose material</w:t>
      </w:r>
    </w:p>
    <w:p>
      <w:pPr>
        <w:pStyle w:val="ListBullet"/>
      </w:pPr>
      <w:r>
        <w:t>Radiographic: surface need only allow source/film/IP placement; weld-cap not required to be flush</w:t>
      </w:r>
    </w:p>
    <w:p>
      <w:pPr>
        <w:pStyle w:val="Heading1"/>
      </w:pPr>
      <w:r>
        <w:rPr>
          <w:color w:val="1F4E79"/>
        </w:rPr>
        <w:t>7. Examination Technique</w:t>
      </w:r>
    </w:p>
    <w:p>
      <w:r>
        <w:t>Examination shall be conducted as follows. The technique includes calibration / system verification, scan plan with coverage % calculation, indication detection, indication characterization, sizing, and recording.</w:t>
      </w:r>
    </w:p>
    <w:p>
      <w:pPr>
        <w:pStyle w:val="Heading2"/>
      </w:pPr>
      <w:r>
        <w:rPr>
          <w:color w:val="1F4E79"/>
        </w:rPr>
        <w:t>7.1 Calibration / System Verification</w:t>
      </w:r>
    </w:p>
    <w:p>
      <w:r>
        <w:t>[Per ASME V Article 4 §T-460 / Annex VIII for UT — describe the calibration sequence and DAC / DGS / TCG setup, sensitivity, and verification frequency.]</w:t>
      </w:r>
    </w:p>
    <w:p>
      <w:pPr>
        <w:pStyle w:val="Heading2"/>
      </w:pPr>
      <w:r>
        <w:rPr>
          <w:color w:val="1F4E79"/>
        </w:rPr>
        <w:t>7.2 Scan Plan &amp; Coverage</w:t>
      </w:r>
    </w:p>
    <w:p>
      <w:r>
        <w:t>[Describe scan increments, overlap %, scan speed limits, probe coupling check intervals.]</w:t>
      </w:r>
    </w:p>
    <w:p>
      <w:pPr>
        <w:pStyle w:val="Heading2"/>
      </w:pPr>
      <w:r>
        <w:rPr>
          <w:color w:val="1F4E79"/>
        </w:rPr>
        <w:t>7.3 Indication Detection &amp; Characterization</w:t>
      </w:r>
    </w:p>
    <w:p>
      <w:r>
        <w:t>[Define recording threshold (e.g., DAC -6 dB), characterization criteria (planar vs volumetric), and sizing methodology (6 dB drop / 20 dB drop / amplitude / TOFD tip-diffraction).]</w:t>
      </w:r>
    </w:p>
    <w:p>
      <w:pPr>
        <w:pStyle w:val="Heading1"/>
      </w:pPr>
      <w:r>
        <w:rPr>
          <w:color w:val="1F4E79"/>
        </w:rPr>
        <w:t>8. Acceptance Criteria</w:t>
      </w:r>
    </w:p>
    <w:p>
      <w:r>
        <w:t>Indications shall be evaluated against the acceptance criteria of the applicable construction code or customer specification. Where multiple criteria apply, the most stringent shall govern.</w:t>
      </w:r>
    </w:p>
    <w:p>
      <w:r>
        <w:rPr>
          <w:b/>
        </w:rPr>
        <w:t xml:space="preserve">Primary Code: </w:t>
      </w:r>
      <w:r>
        <w:t>[ASME Section VIII Division 1 / B31.3 / API 510 / AWS D1.1]</w:t>
      </w:r>
    </w:p>
    <w:p>
      <w:r>
        <w:rPr>
          <w:b/>
        </w:rPr>
        <w:t xml:space="preserve">Customer Specification: </w:t>
      </w:r>
      <w:r>
        <w:t>[if applicable]</w:t>
      </w:r>
    </w:p>
    <w:p>
      <w:r>
        <w:rPr>
          <w:b/>
        </w:rPr>
        <w:t xml:space="preserve">Stricter Limit Applied: </w:t>
      </w:r>
      <w:r>
        <w:t>[Reference + clause]</w:t>
      </w:r>
    </w:p>
    <w:p>
      <w:pPr>
        <w:pStyle w:val="Heading1"/>
      </w:pPr>
      <w:r>
        <w:rPr>
          <w:color w:val="1F4E79"/>
        </w:rPr>
        <w:t>9. Reporting</w:t>
      </w:r>
    </w:p>
    <w:p>
      <w:r>
        <w:t>Inspection results shall be documented on a format that includes the following minimum elements:</w:t>
      </w:r>
    </w:p>
    <w:p>
      <w:pPr>
        <w:pStyle w:val="ListNumber"/>
      </w:pPr>
      <w:r>
        <w:t>Procedure number, revision, and date</w:t>
      </w:r>
    </w:p>
    <w:p>
      <w:pPr>
        <w:pStyle w:val="ListNumber"/>
      </w:pPr>
      <w:r>
        <w:t>Component identification (asset, weld map ID, drawing reference)</w:t>
      </w:r>
    </w:p>
    <w:p>
      <w:pPr>
        <w:pStyle w:val="ListNumber"/>
      </w:pPr>
      <w:r>
        <w:t>Examination method, technique, and acceptance code reference</w:t>
      </w:r>
    </w:p>
    <w:p>
      <w:pPr>
        <w:pStyle w:val="ListNumber"/>
      </w:pPr>
      <w:r>
        <w:t>Equipment used (instrument, probe, calibration block, source) with serial numbers</w:t>
      </w:r>
    </w:p>
    <w:p>
      <w:pPr>
        <w:pStyle w:val="ListNumber"/>
      </w:pPr>
      <w:r>
        <w:t>Inspector name and qualification (Level + ASNT/ISO/PCN cert no.)</w:t>
      </w:r>
    </w:p>
    <w:p>
      <w:pPr>
        <w:pStyle w:val="ListNumber"/>
      </w:pPr>
      <w:r>
        <w:t>Calibration record at start and end of examination</w:t>
      </w:r>
    </w:p>
    <w:p>
      <w:pPr>
        <w:pStyle w:val="ListNumber"/>
      </w:pPr>
      <w:r>
        <w:t>All indications with location, size, characterization, and acceptance result</w:t>
      </w:r>
    </w:p>
    <w:p>
      <w:pPr>
        <w:pStyle w:val="ListNumber"/>
      </w:pPr>
      <w:r>
        <w:t>Accept / reject decision per acceptance criteria</w:t>
      </w:r>
    </w:p>
    <w:p>
      <w:pPr>
        <w:pStyle w:val="ListNumber"/>
      </w:pPr>
      <w:r>
        <w:t>Disposition for rejects (repair / rework / waiver request)</w:t>
      </w:r>
    </w:p>
    <w:p>
      <w:pPr>
        <w:pStyle w:val="ListNumber"/>
      </w:pPr>
      <w:r>
        <w:t>Photographs / images / data files (where applicable)</w:t>
      </w:r>
    </w:p>
    <w:p>
      <w:pPr>
        <w:pStyle w:val="Heading1"/>
      </w:pPr>
      <w:r>
        <w:rPr>
          <w:color w:val="1F4E79"/>
        </w:rPr>
        <w:t>10. Records &amp; Retention</w:t>
      </w:r>
    </w:p>
    <w:p>
      <w:r>
        <w:t>All examination records, calibration certificates, personnel certification copies, and technique sheets shall be retained for [7 years] post-project closeout or as specified by [Customer / Regulatory authority]. Records shall be stored in a controlled environment with retrieval traceability per ISO 9001 §7.5 or ISO/IEC 17025 §8.4.</w:t>
      </w:r>
    </w:p>
    <w:p>
      <w:pPr>
        <w:pStyle w:val="Heading1"/>
      </w:pPr>
      <w:r>
        <w:rPr>
          <w:color w:val="1F4E79"/>
        </w:rPr>
        <w:t>11. Revision History</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t>Rev</w:t>
            </w:r>
          </w:p>
        </w:tc>
        <w:tc>
          <w:tcPr>
            <w:tcW w:type="dxa" w:w="2493"/>
          </w:tcPr>
          <w:p>
            <w:r>
              <w:t>Date</w:t>
            </w:r>
          </w:p>
        </w:tc>
        <w:tc>
          <w:tcPr>
            <w:tcW w:type="dxa" w:w="2493"/>
          </w:tcPr>
          <w:p>
            <w:r>
              <w:t>Description</w:t>
            </w:r>
          </w:p>
        </w:tc>
        <w:tc>
          <w:tcPr>
            <w:tcW w:type="dxa" w:w="2493"/>
          </w:tcPr>
          <w:p>
            <w:r>
              <w:t>Approved by</w:t>
            </w:r>
          </w:p>
        </w:tc>
      </w:tr>
      <w:tr>
        <w:tc>
          <w:tcPr>
            <w:tcW w:type="dxa" w:w="2493"/>
          </w:tcPr>
          <w:p>
            <w:r>
              <w:t>0</w:t>
            </w:r>
          </w:p>
        </w:tc>
        <w:tc>
          <w:tcPr>
            <w:tcW w:type="dxa" w:w="2493"/>
          </w:tcPr>
          <w:p>
            <w:r>
              <w:t>[YYYY-MM-DD]</w:t>
            </w:r>
          </w:p>
        </w:tc>
        <w:tc>
          <w:tcPr>
            <w:tcW w:type="dxa" w:w="2493"/>
          </w:tcPr>
          <w:p>
            <w:r>
              <w:t>Initial issue</w:t>
            </w:r>
          </w:p>
        </w:tc>
        <w:tc>
          <w:tcPr>
            <w:tcW w:type="dxa" w:w="2493"/>
          </w:tcPr>
          <w:p>
            <w:r>
              <w:t>[Level III Name]</w:t>
            </w:r>
          </w:p>
        </w:tc>
      </w:tr>
    </w:tbl>
    <w:p/>
    <w:p>
      <w:pPr>
        <w:jc w:val="center"/>
      </w:pPr>
      <w:r>
        <w:rPr>
          <w:i/>
          <w:color w:val="666666"/>
          <w:sz w:val="18"/>
        </w:rPr>
        <w:t>© Atlantis NDT — Free editable template. Customize for your method, code, and customer requirements. Demo: info@atlantisndt.com  •  atlantisndt.com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