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4"/>
          <w:szCs w:val="34"/>
        </w:rPr>
        <w:t xml:space="preserve">Customer Churn Risk &amp; AI Retention Advisor</w:t>
      </w:r>
    </w:p>
    <w:p>
      <w:pPr>
        <w:spacing w:after="300"/>
        <w:jc w:val="center"/>
      </w:pPr>
      <w:r>
        <w:rPr>
          <w:rFonts w:ascii="Calibri" w:cs="Calibri" w:eastAsia="Calibri" w:hAnsi="Calibri"/>
          <w:i/>
          <w:iCs/>
          <w:color w:val="595959"/>
          <w:sz w:val="22"/>
          <w:szCs w:val="22"/>
        </w:rPr>
        <w:t xml:space="preserve">Executive Memo &amp; Supporting Notes — Task 7</w:t>
      </w:r>
    </w:p>
    <w:p>
      <w:pPr>
        <w:pStyle w:val="Heading1"/>
        <w:spacing w:after="120" w:before="240"/>
      </w:pPr>
      <w:r>
        <w:rPr>
          <w:rFonts w:ascii="Calibri" w:cs="Calibri" w:eastAsia="Calibri" w:hAnsi="Calibri"/>
          <w:b/>
          <w:bCs/>
          <w:color w:val="1F3864"/>
          <w:sz w:val="30"/>
          <w:szCs w:val="30"/>
        </w:rPr>
        <w:t xml:space="preserve">Executive Memo (Task 7)</w:t>
      </w:r>
    </w:p>
    <w:p>
      <w:pPr>
        <w:pStyle w:val="Heading2"/>
        <w:spacing w:after="100" w:before="200"/>
      </w:pPr>
      <w:r>
        <w:rPr>
          <w:rFonts w:ascii="Calibri" w:cs="Calibri" w:eastAsia="Calibri" w:hAnsi="Calibri"/>
          <w:b/>
          <w:bCs/>
          <w:color w:val="2E5395"/>
          <w:sz w:val="24"/>
          <w:szCs w:val="24"/>
        </w:rPr>
        <w:t xml:space="preserve">Headline Finding</w:t>
      </w:r>
    </w:p>
    <w:p>
      <w:pPr>
        <w:spacing w:after="160" w:line="276"/>
      </w:pPr>
      <w:r>
        <w:rPr>
          <w:rFonts w:ascii="Calibri" w:cs="Calibri" w:eastAsia="Calibri" w:hAnsi="Calibri"/>
          <w:sz w:val="22"/>
          <w:szCs w:val="22"/>
        </w:rPr>
        <w:t xml:space="preserve">Across our 7,043 customers, 26.54% have churned. That churn is not evenly spread: month-to-month customers churn at 42.71%, versus 11.27% for one-year contracts and just 2.83% for two-year contracts — the single biggest lever we have is keeping customers off open-ended monthly billing.</w:t>
      </w:r>
    </w:p>
    <w:p>
      <w:pPr>
        <w:pStyle w:val="Heading2"/>
        <w:spacing w:after="100" w:before="200"/>
      </w:pPr>
      <w:r>
        <w:rPr>
          <w:rFonts w:ascii="Calibri" w:cs="Calibri" w:eastAsia="Calibri" w:hAnsi="Calibri"/>
          <w:b/>
          <w:bCs/>
          <w:color w:val="2E5395"/>
          <w:sz w:val="24"/>
          <w:szCs w:val="24"/>
        </w:rPr>
        <w:t xml:space="preserve">Recommended Segment to Target First</w:t>
      </w:r>
    </w:p>
    <w:p>
      <w:pPr>
        <w:spacing w:after="160" w:line="276"/>
      </w:pPr>
      <w:r>
        <w:rPr>
          <w:rFonts w:ascii="Calibri" w:cs="Calibri" w:eastAsia="Calibri" w:hAnsi="Calibri"/>
          <w:sz w:val="22"/>
          <w:szCs w:val="22"/>
        </w:rPr>
        <w:t xml:space="preserve">We scored every customer's churn probability with our model and grouped customers into four segments by tenure, monthly spend, and that risk score: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1200"/>
        <w:gridCol w:w="1600"/>
        <w:gridCol w:w="1300"/>
        <w:gridCol w:w="1800"/>
      </w:tblGrid>
      <w:tr>
        <w:trPr>
          <w:tblHeader/>
        </w:trPr>
        <w:tc>
          <w:tcPr>
            <w:tcW w:type="dxa" w:w="3200"/>
            <w:shd w:fill="1F3864" w:val="clear"/>
          </w:tcPr>
          <w:p>
            <w:r>
              <w:rPr>
                <w:rFonts w:ascii="Calibri" w:cs="Calibri" w:eastAsia="Calibri" w:hAnsi="Calibri"/>
                <w:b/>
                <w:bCs/>
                <w:color w:val="FFFFFF"/>
                <w:sz w:val="19"/>
                <w:szCs w:val="19"/>
              </w:rPr>
              <w:t xml:space="preserve">Segment</w:t>
            </w:r>
          </w:p>
        </w:tc>
        <w:tc>
          <w:tcPr>
            <w:tcW w:type="dxa" w:w="700"/>
            <w:shd w:fill="1F3864" w:val="clear"/>
          </w:tcPr>
          <w:p>
            <w:r>
              <w:rPr>
                <w:rFonts w:ascii="Calibri" w:cs="Calibri" w:eastAsia="Calibri" w:hAnsi="Calibri"/>
                <w:b/>
                <w:bCs/>
                <w:color w:val="FFFFFF"/>
                <w:sz w:val="19"/>
                <w:szCs w:val="19"/>
              </w:rPr>
              <w:t xml:space="preserve">n</w:t>
            </w:r>
          </w:p>
        </w:tc>
        <w:tc>
          <w:tcPr>
            <w:tcW w:type="dxa" w:w="1200"/>
            <w:shd w:fill="1F3864" w:val="clear"/>
          </w:tcPr>
          <w:p>
            <w:r>
              <w:rPr>
                <w:rFonts w:ascii="Calibri" w:cs="Calibri" w:eastAsia="Calibri" w:hAnsi="Calibri"/>
                <w:b/>
                <w:bCs/>
                <w:color w:val="FFFFFF"/>
                <w:sz w:val="19"/>
                <w:szCs w:val="19"/>
              </w:rPr>
              <w:t xml:space="preserve">Avg tenure</w:t>
            </w:r>
          </w:p>
        </w:tc>
        <w:tc>
          <w:tcPr>
            <w:tcW w:type="dxa" w:w="1600"/>
            <w:shd w:fill="1F3864" w:val="clear"/>
          </w:tcPr>
          <w:p>
            <w:r>
              <w:rPr>
                <w:rFonts w:ascii="Calibri" w:cs="Calibri" w:eastAsia="Calibri" w:hAnsi="Calibri"/>
                <w:b/>
                <w:bCs/>
                <w:color w:val="FFFFFF"/>
                <w:sz w:val="19"/>
                <w:szCs w:val="19"/>
              </w:rPr>
              <w:t xml:space="preserve">Avg monthly spend</w:t>
            </w:r>
          </w:p>
        </w:tc>
        <w:tc>
          <w:tcPr>
            <w:tcW w:type="dxa" w:w="1300"/>
            <w:shd w:fill="1F3864" w:val="clear"/>
          </w:tcPr>
          <w:p>
            <w:r>
              <w:rPr>
                <w:rFonts w:ascii="Calibri" w:cs="Calibri" w:eastAsia="Calibri" w:hAnsi="Calibri"/>
                <w:b/>
                <w:bCs/>
                <w:color w:val="FFFFFF"/>
                <w:sz w:val="19"/>
                <w:szCs w:val="19"/>
              </w:rPr>
              <w:t xml:space="preserve">Avg churn risk</w:t>
            </w:r>
          </w:p>
        </w:tc>
        <w:tc>
          <w:tcPr>
            <w:tcW w:type="dxa" w:w="1800"/>
            <w:shd w:fill="1F3864" w:val="clear"/>
          </w:tcPr>
          <w:p>
            <w:r>
              <w:rPr>
                <w:rFonts w:ascii="Calibri" w:cs="Calibri" w:eastAsia="Calibri" w:hAnsi="Calibri"/>
                <w:b/>
                <w:bCs/>
                <w:color w:val="FFFFFF"/>
                <w:sz w:val="19"/>
                <w:szCs w:val="19"/>
              </w:rPr>
              <w:t xml:space="preserve">Monthly revenue at risk</w:t>
            </w:r>
          </w:p>
        </w:tc>
      </w:tr>
      <w:tr>
        <w:tc>
          <w:tcPr>
            <w:tcW w:type="dxa" w:w="3200"/>
            <w:shd w:fill="F2F5FA" w:val="clear"/>
          </w:tcPr>
          <w:p>
            <w:r>
              <w:rPr>
                <w:rFonts w:ascii="Calibri" w:cs="Calibri" w:eastAsia="Calibri" w:hAnsi="Calibri"/>
                <w:b/>
                <w:bCs/>
                <w:sz w:val="19"/>
                <w:szCs w:val="19"/>
              </w:rPr>
              <w:t xml:space="preserve">Early-tenure, high-spend, high-risk (Cluster 3)</w:t>
            </w:r>
          </w:p>
        </w:tc>
        <w:tc>
          <w:tcPr>
            <w:tcW w:type="dxa" w:w="700"/>
            <w:shd w:fill="F2F5FA" w:val="clear"/>
          </w:tcPr>
          <w:p>
            <w:r>
              <w:rPr>
                <w:rFonts w:ascii="Calibri" w:cs="Calibri" w:eastAsia="Calibri" w:hAnsi="Calibri"/>
                <w:b w:val="false"/>
                <w:bCs w:val="false"/>
                <w:sz w:val="19"/>
                <w:szCs w:val="19"/>
              </w:rPr>
              <w:t xml:space="preserve">1,901</w:t>
            </w:r>
          </w:p>
        </w:tc>
        <w:tc>
          <w:tcPr>
            <w:tcW w:type="dxa" w:w="1200"/>
            <w:shd w:fill="F2F5FA" w:val="clear"/>
          </w:tcPr>
          <w:p>
            <w:r>
              <w:rPr>
                <w:rFonts w:ascii="Calibri" w:cs="Calibri" w:eastAsia="Calibri" w:hAnsi="Calibri"/>
                <w:b w:val="false"/>
                <w:bCs w:val="false"/>
                <w:sz w:val="19"/>
                <w:szCs w:val="19"/>
              </w:rPr>
              <w:t xml:space="preserve">14.7 mo</w:t>
            </w:r>
          </w:p>
        </w:tc>
        <w:tc>
          <w:tcPr>
            <w:tcW w:type="dxa" w:w="1600"/>
            <w:shd w:fill="F2F5FA" w:val="clear"/>
          </w:tcPr>
          <w:p>
            <w:r>
              <w:rPr>
                <w:rFonts w:ascii="Calibri" w:cs="Calibri" w:eastAsia="Calibri" w:hAnsi="Calibri"/>
                <w:b w:val="false"/>
                <w:bCs w:val="false"/>
                <w:sz w:val="19"/>
                <w:szCs w:val="19"/>
              </w:rPr>
              <w:t xml:space="preserve">$85.24</w:t>
            </w:r>
          </w:p>
        </w:tc>
        <w:tc>
          <w:tcPr>
            <w:tcW w:type="dxa" w:w="1300"/>
            <w:shd w:fill="F2F5FA" w:val="clear"/>
          </w:tcPr>
          <w:p>
            <w:r>
              <w:rPr>
                <w:rFonts w:ascii="Calibri" w:cs="Calibri" w:eastAsia="Calibri" w:hAnsi="Calibri"/>
                <w:b w:val="false"/>
                <w:bCs w:val="false"/>
                <w:sz w:val="19"/>
                <w:szCs w:val="19"/>
              </w:rPr>
              <w:t xml:space="preserve">57%</w:t>
            </w:r>
          </w:p>
        </w:tc>
        <w:tc>
          <w:tcPr>
            <w:tcW w:type="dxa" w:w="1800"/>
            <w:shd w:fill="F2F5FA" w:val="clear"/>
          </w:tcPr>
          <w:p>
            <w:r>
              <w:rPr>
                <w:rFonts w:ascii="Calibri" w:cs="Calibri" w:eastAsia="Calibri" w:hAnsi="Calibri"/>
                <w:b w:val="false"/>
                <w:bCs w:val="false"/>
                <w:sz w:val="19"/>
                <w:szCs w:val="19"/>
              </w:rPr>
              <w:t xml:space="preserve">$92,364</w:t>
            </w:r>
          </w:p>
        </w:tc>
      </w:tr>
      <w:tr>
        <w:tc>
          <w:tcPr>
            <w:tcW w:type="dxa" w:w="3200"/>
            <w:shd w:fill="FFFFFF" w:val="clear"/>
          </w:tcPr>
          <w:p>
            <w:r>
              <w:rPr>
                <w:rFonts w:ascii="Calibri" w:cs="Calibri" w:eastAsia="Calibri" w:hAnsi="Calibri"/>
                <w:b/>
                <w:bCs/>
                <w:sz w:val="19"/>
                <w:szCs w:val="19"/>
              </w:rPr>
              <w:t xml:space="preserve">Long-tenure, high-spend, moderate-risk (Cluster 1)</w:t>
            </w:r>
          </w:p>
        </w:tc>
        <w:tc>
          <w:tcPr>
            <w:tcW w:type="dxa" w:w="700"/>
            <w:shd w:fill="FFFFFF" w:val="clear"/>
          </w:tcPr>
          <w:p>
            <w:r>
              <w:rPr>
                <w:rFonts w:ascii="Calibri" w:cs="Calibri" w:eastAsia="Calibri" w:hAnsi="Calibri"/>
                <w:b w:val="false"/>
                <w:bCs w:val="false"/>
                <w:sz w:val="19"/>
                <w:szCs w:val="19"/>
              </w:rPr>
              <w:t xml:space="preserve">2,227</w:t>
            </w:r>
          </w:p>
        </w:tc>
        <w:tc>
          <w:tcPr>
            <w:tcW w:type="dxa" w:w="1200"/>
            <w:shd w:fill="FFFFFF" w:val="clear"/>
          </w:tcPr>
          <w:p>
            <w:r>
              <w:rPr>
                <w:rFonts w:ascii="Calibri" w:cs="Calibri" w:eastAsia="Calibri" w:hAnsi="Calibri"/>
                <w:b w:val="false"/>
                <w:bCs w:val="false"/>
                <w:sz w:val="19"/>
                <w:szCs w:val="19"/>
              </w:rPr>
              <w:t xml:space="preserve">59.0 mo</w:t>
            </w:r>
          </w:p>
        </w:tc>
        <w:tc>
          <w:tcPr>
            <w:tcW w:type="dxa" w:w="1600"/>
            <w:shd w:fill="FFFFFF" w:val="clear"/>
          </w:tcPr>
          <w:p>
            <w:r>
              <w:rPr>
                <w:rFonts w:ascii="Calibri" w:cs="Calibri" w:eastAsia="Calibri" w:hAnsi="Calibri"/>
                <w:b w:val="false"/>
                <w:bCs w:val="false"/>
                <w:sz w:val="19"/>
                <w:szCs w:val="19"/>
              </w:rPr>
              <w:t xml:space="preserve">$86.96</w:t>
            </w:r>
          </w:p>
        </w:tc>
        <w:tc>
          <w:tcPr>
            <w:tcW w:type="dxa" w:w="1300"/>
            <w:shd w:fill="FFFFFF" w:val="clear"/>
          </w:tcPr>
          <w:p>
            <w:r>
              <w:rPr>
                <w:rFonts w:ascii="Calibri" w:cs="Calibri" w:eastAsia="Calibri" w:hAnsi="Calibri"/>
                <w:b w:val="false"/>
                <w:bCs w:val="false"/>
                <w:sz w:val="19"/>
                <w:szCs w:val="19"/>
              </w:rPr>
              <w:t xml:space="preserve">47%</w:t>
            </w:r>
          </w:p>
        </w:tc>
        <w:tc>
          <w:tcPr>
            <w:tcW w:type="dxa" w:w="1800"/>
            <w:shd w:fill="FFFFFF" w:val="clear"/>
          </w:tcPr>
          <w:p>
            <w:r>
              <w:rPr>
                <w:rFonts w:ascii="Calibri" w:cs="Calibri" w:eastAsia="Calibri" w:hAnsi="Calibri"/>
                <w:b w:val="false"/>
                <w:bCs w:val="false"/>
                <w:sz w:val="19"/>
                <w:szCs w:val="19"/>
              </w:rPr>
              <w:t xml:space="preserve">$91,020</w:t>
            </w:r>
          </w:p>
        </w:tc>
      </w:tr>
      <w:tr>
        <w:tc>
          <w:tcPr>
            <w:tcW w:type="dxa" w:w="3200"/>
            <w:shd w:fill="F2F5FA" w:val="clear"/>
          </w:tcPr>
          <w:p>
            <w:r>
              <w:rPr>
                <w:rFonts w:ascii="Calibri" w:cs="Calibri" w:eastAsia="Calibri" w:hAnsi="Calibri"/>
                <w:b/>
                <w:bCs/>
                <w:sz w:val="19"/>
                <w:szCs w:val="19"/>
              </w:rPr>
              <w:t xml:space="preserve">Early/mid-tenure, mid-spend, moderate-risk (Cluster 0)</w:t>
            </w:r>
          </w:p>
        </w:tc>
        <w:tc>
          <w:tcPr>
            <w:tcW w:type="dxa" w:w="700"/>
            <w:shd w:fill="F2F5FA" w:val="clear"/>
          </w:tcPr>
          <w:p>
            <w:r>
              <w:rPr>
                <w:rFonts w:ascii="Calibri" w:cs="Calibri" w:eastAsia="Calibri" w:hAnsi="Calibri"/>
                <w:b w:val="false"/>
                <w:bCs w:val="false"/>
                <w:sz w:val="19"/>
                <w:szCs w:val="19"/>
              </w:rPr>
              <w:t xml:space="preserve">1,365</w:t>
            </w:r>
          </w:p>
        </w:tc>
        <w:tc>
          <w:tcPr>
            <w:tcW w:type="dxa" w:w="1200"/>
            <w:shd w:fill="F2F5FA" w:val="clear"/>
          </w:tcPr>
          <w:p>
            <w:r>
              <w:rPr>
                <w:rFonts w:ascii="Calibri" w:cs="Calibri" w:eastAsia="Calibri" w:hAnsi="Calibri"/>
                <w:b w:val="false"/>
                <w:bCs w:val="false"/>
                <w:sz w:val="19"/>
                <w:szCs w:val="19"/>
              </w:rPr>
              <w:t xml:space="preserve">15.1 mo</w:t>
            </w:r>
          </w:p>
        </w:tc>
        <w:tc>
          <w:tcPr>
            <w:tcW w:type="dxa" w:w="1600"/>
            <w:shd w:fill="F2F5FA" w:val="clear"/>
          </w:tcPr>
          <w:p>
            <w:r>
              <w:rPr>
                <w:rFonts w:ascii="Calibri" w:cs="Calibri" w:eastAsia="Calibri" w:hAnsi="Calibri"/>
                <w:b w:val="false"/>
                <w:bCs w:val="false"/>
                <w:sz w:val="19"/>
                <w:szCs w:val="19"/>
              </w:rPr>
              <w:t xml:space="preserve">$49.24</w:t>
            </w:r>
          </w:p>
        </w:tc>
        <w:tc>
          <w:tcPr>
            <w:tcW w:type="dxa" w:w="1300"/>
            <w:shd w:fill="F2F5FA" w:val="clear"/>
          </w:tcPr>
          <w:p>
            <w:r>
              <w:rPr>
                <w:rFonts w:ascii="Calibri" w:cs="Calibri" w:eastAsia="Calibri" w:hAnsi="Calibri"/>
                <w:b w:val="false"/>
                <w:bCs w:val="false"/>
                <w:sz w:val="19"/>
                <w:szCs w:val="19"/>
              </w:rPr>
              <w:t xml:space="preserve">51%</w:t>
            </w:r>
          </w:p>
        </w:tc>
        <w:tc>
          <w:tcPr>
            <w:tcW w:type="dxa" w:w="1800"/>
            <w:shd w:fill="F2F5FA" w:val="clear"/>
          </w:tcPr>
          <w:p>
            <w:r>
              <w:rPr>
                <w:rFonts w:ascii="Calibri" w:cs="Calibri" w:eastAsia="Calibri" w:hAnsi="Calibri"/>
                <w:b w:val="false"/>
                <w:bCs w:val="false"/>
                <w:sz w:val="19"/>
                <w:szCs w:val="19"/>
              </w:rPr>
              <w:t xml:space="preserve">$34,278</w:t>
            </w:r>
          </w:p>
        </w:tc>
      </w:tr>
      <w:tr>
        <w:tc>
          <w:tcPr>
            <w:tcW w:type="dxa" w:w="3200"/>
            <w:shd w:fill="FFFFFF" w:val="clear"/>
          </w:tcPr>
          <w:p>
            <w:r>
              <w:rPr>
                <w:rFonts w:ascii="Calibri" w:cs="Calibri" w:eastAsia="Calibri" w:hAnsi="Calibri"/>
                <w:b/>
                <w:bCs/>
                <w:sz w:val="19"/>
                <w:szCs w:val="19"/>
              </w:rPr>
              <w:t xml:space="preserve">Long-tenure, low-spend, low-risk (Cluster 2)</w:t>
            </w:r>
          </w:p>
        </w:tc>
        <w:tc>
          <w:tcPr>
            <w:tcW w:type="dxa" w:w="700"/>
            <w:shd w:fill="FFFFFF" w:val="clear"/>
          </w:tcPr>
          <w:p>
            <w:r>
              <w:rPr>
                <w:rFonts w:ascii="Calibri" w:cs="Calibri" w:eastAsia="Calibri" w:hAnsi="Calibri"/>
                <w:b w:val="false"/>
                <w:bCs w:val="false"/>
                <w:sz w:val="19"/>
                <w:szCs w:val="19"/>
              </w:rPr>
              <w:t xml:space="preserve">1,550</w:t>
            </w:r>
          </w:p>
        </w:tc>
        <w:tc>
          <w:tcPr>
            <w:tcW w:type="dxa" w:w="1200"/>
            <w:shd w:fill="FFFFFF" w:val="clear"/>
          </w:tcPr>
          <w:p>
            <w:r>
              <w:rPr>
                <w:rFonts w:ascii="Calibri" w:cs="Calibri" w:eastAsia="Calibri" w:hAnsi="Calibri"/>
                <w:b w:val="false"/>
                <w:bCs w:val="false"/>
                <w:sz w:val="19"/>
                <w:szCs w:val="19"/>
              </w:rPr>
              <w:t xml:space="preserve">31.0 mo</w:t>
            </w:r>
          </w:p>
        </w:tc>
        <w:tc>
          <w:tcPr>
            <w:tcW w:type="dxa" w:w="1600"/>
            <w:shd w:fill="FFFFFF" w:val="clear"/>
          </w:tcPr>
          <w:p>
            <w:r>
              <w:rPr>
                <w:rFonts w:ascii="Calibri" w:cs="Calibri" w:eastAsia="Calibri" w:hAnsi="Calibri"/>
                <w:b w:val="false"/>
                <w:bCs w:val="false"/>
                <w:sz w:val="19"/>
                <w:szCs w:val="19"/>
              </w:rPr>
              <w:t xml:space="preserve">$21.42</w:t>
            </w:r>
          </w:p>
        </w:tc>
        <w:tc>
          <w:tcPr>
            <w:tcW w:type="dxa" w:w="1300"/>
            <w:shd w:fill="FFFFFF" w:val="clear"/>
          </w:tcPr>
          <w:p>
            <w:r>
              <w:rPr>
                <w:rFonts w:ascii="Calibri" w:cs="Calibri" w:eastAsia="Calibri" w:hAnsi="Calibri"/>
                <w:b w:val="false"/>
                <w:bCs w:val="false"/>
                <w:sz w:val="19"/>
                <w:szCs w:val="19"/>
              </w:rPr>
              <w:t xml:space="preserve">31%</w:t>
            </w:r>
          </w:p>
        </w:tc>
        <w:tc>
          <w:tcPr>
            <w:tcW w:type="dxa" w:w="1800"/>
            <w:shd w:fill="FFFFFF" w:val="clear"/>
          </w:tcPr>
          <w:p>
            <w:r>
              <w:rPr>
                <w:rFonts w:ascii="Calibri" w:cs="Calibri" w:eastAsia="Calibri" w:hAnsi="Calibri"/>
                <w:b w:val="false"/>
                <w:bCs w:val="false"/>
                <w:sz w:val="19"/>
                <w:szCs w:val="19"/>
              </w:rPr>
              <w:t xml:space="preserve">$10,292</w:t>
            </w:r>
          </w:p>
        </w:tc>
      </w:tr>
    </w:tbl>
    <w:p>
      <w:pPr>
        <w:spacing w:after="160" w:before="200"/>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We recommend funding a retention campaign for the “Early-tenure, high-spend, high-risk” segment first (1,901 customers). It carries both the highest average churn risk (57%) and the single largest revenue exposure of any segment ($92,364/month). The trade-off we weighed: our long-tenure, high-spend segment has almost identical revenue at risk ($91,020/month), but its churn risk is 10 points lower (47% vs. 57%) and those customers have already stayed nearly 5 years, so they are comparatively “sticky.” The early-tenure segment is both newly at risk and still cheap to save, which is exactly where a retention offer changes the most outcomes per dollar spent — we are not just chasing the highest risk number, we are chasing the segment where risk and revenue are both high at the same time.</w:t>
      </w:r>
    </w:p>
    <w:p>
      <w:pPr>
        <w:pStyle w:val="Heading2"/>
        <w:spacing w:after="100" w:before="200"/>
      </w:pPr>
      <w:r>
        <w:rPr>
          <w:rFonts w:ascii="Calibri" w:cs="Calibri" w:eastAsia="Calibri" w:hAnsi="Calibri"/>
          <w:b/>
          <w:bCs/>
          <w:color w:val="2E5395"/>
          <w:sz w:val="24"/>
          <w:szCs w:val="24"/>
        </w:rPr>
        <w:t xml:space="preserve">Monitoring</w:t>
      </w:r>
    </w:p>
    <w:p>
      <w:pPr>
        <w:spacing w:after="160" w:line="276"/>
      </w:pPr>
      <w:r>
        <w:rPr>
          <w:rFonts w:ascii="Calibri" w:cs="Calibri" w:eastAsia="Calibri" w:hAnsi="Calibri"/>
          <w:sz w:val="22"/>
          <w:szCs w:val="22"/>
        </w:rPr>
        <w:t xml:space="preserve">We will track weekly recall of the model specifically on newly-flagged month-to-month, fiber-optic customers (our highest-risk combination). A sustained drop in recall in that slice — for example, right after a price increase on fiber plans or after a competitor launches a promotional offer — tells us the model's learned pattern no longer matches current customer behavior and it needs retraining, rather than waiting for a scheduled or generic accuracy check.</w:t>
      </w:r>
    </w:p>
    <w:p>
      <w:pPr>
        <w:pStyle w:val="Heading2"/>
        <w:spacing w:after="100" w:before="200"/>
      </w:pPr>
      <w:r>
        <w:rPr>
          <w:rFonts w:ascii="Calibri" w:cs="Calibri" w:eastAsia="Calibri" w:hAnsi="Calibri"/>
          <w:b/>
          <w:bCs/>
          <w:color w:val="2E5395"/>
          <w:sz w:val="24"/>
          <w:szCs w:val="24"/>
        </w:rPr>
        <w:t xml:space="preserve">Governance</w:t>
      </w:r>
    </w:p>
    <w:p>
      <w:pPr>
        <w:spacing w:after="160" w:line="276"/>
      </w:pPr>
      <w:r>
        <w:rPr>
          <w:rFonts w:ascii="Calibri" w:cs="Calibri" w:eastAsia="Calibri" w:hAnsi="Calibri"/>
          <w:sz w:val="22"/>
          <w:szCs w:val="22"/>
        </w:rPr>
        <w:t xml:space="preserve">Every call to the retention-explanation system logs the exact prompt sent to the LLM, which by design contains only four fields — the retrieved clause, the churn probability, tenure, and the top three non-demographic feature names — so an auditor can grep every stored prompt and response for the four protected terms (gender, senior-citizen, partner, dependents) and confirm zero occurrences across the full log, not just the sample case we tested.</w:t>
      </w:r>
    </w:p>
    <w:p>
      <w:pPr>
        <w:pStyle w:val="Heading2"/>
        <w:spacing w:after="100" w:before="200"/>
      </w:pPr>
      <w:r>
        <w:rPr>
          <w:rFonts w:ascii="Calibri" w:cs="Calibri" w:eastAsia="Calibri" w:hAnsi="Calibri"/>
          <w:b/>
          <w:bCs/>
          <w:color w:val="2E5395"/>
          <w:sz w:val="24"/>
          <w:szCs w:val="24"/>
        </w:rPr>
        <w:t xml:space="preserve">Cost</w:t>
      </w:r>
    </w:p>
    <w:p>
      <w:pPr>
        <w:spacing w:after="160" w:line="276"/>
      </w:pPr>
      <w:r>
        <w:rPr>
          <w:rFonts w:ascii="Calibri" w:cs="Calibri" w:eastAsia="Calibri" w:hAnsi="Calibri"/>
          <w:sz w:val="22"/>
          <w:szCs w:val="22"/>
        </w:rPr>
        <w:t xml:space="preserve">If the retention team wants this explanation generated for every at-risk customer every week, we would keep the fixed system instructions (the rules and the four playbook clauses) as a cached, unchanging prompt prefix and only stream the small per-customer variables — probability, tenure, and the three feature names — through the model each time. Prompt caching cuts the tokens billed per call without ever skipping the retrieval step, so every explanation is still generated from a freshly looked-up, real clause rather than a cached answer.</w:t>
      </w:r>
    </w:p>
    <w:p>
      <w:pPr>
        <w:pBdr>
          <w:bottom w:val="single" w:color="999999" w:sz="6" w:space="1"/>
        </w:pBdr>
        <w:spacing w:after="200"/>
      </w:pPr>
    </w:p>
    <w:p>
      <w:pPr>
        <w:pStyle w:val="Heading1"/>
        <w:spacing w:after="120" w:before="240"/>
      </w:pPr>
      <w:r>
        <w:rPr>
          <w:rFonts w:ascii="Calibri" w:cs="Calibri" w:eastAsia="Calibri" w:hAnsi="Calibri"/>
          <w:b/>
          <w:bCs/>
          <w:color w:val="1F3864"/>
          <w:sz w:val="30"/>
          <w:szCs w:val="30"/>
        </w:rPr>
        <w:t xml:space="preserve">Supporting Notes</w:t>
      </w:r>
    </w:p>
    <w:p>
      <w:pPr>
        <w:pStyle w:val="Heading2"/>
        <w:spacing w:after="100" w:before="200"/>
      </w:pPr>
      <w:r>
        <w:rPr>
          <w:rFonts w:ascii="Calibri" w:cs="Calibri" w:eastAsia="Calibri" w:hAnsi="Calibri"/>
          <w:b/>
          <w:bCs/>
          <w:color w:val="2E5395"/>
          <w:sz w:val="24"/>
          <w:szCs w:val="24"/>
        </w:rPr>
        <w:t xml:space="preserve">1. TotalCharges Fix, and Train vs. Test Accuracy</w:t>
      </w:r>
    </w:p>
    <w:p>
      <w:pPr>
        <w:spacing w:after="160" w:line="276"/>
      </w:pPr>
      <w:r>
        <w:rPr>
          <w:rFonts w:ascii="Calibri" w:cs="Calibri" w:eastAsia="Calibri" w:hAnsi="Calibri"/>
          <w:sz w:val="22"/>
          <w:szCs w:val="22"/>
        </w:rPr>
        <w:t xml:space="preserve">The raw TotalCharges column loaded as text because 11 rows held an empty string instead of a number. Every one of those 11 rows had tenure = 0 — brand-new customers who signed up but have not yet been billed. So the value was not missing data to estimate, it was structurally zero, and we filled it with 0 rather than imputing a mean (which would invent a billing history that does not exist) or dropping the rows (which would remove exactly the brand-new-customer cases our Clause 3 onboarding-routing logic in Part 3 needs to be tested against).</w:t>
      </w:r>
    </w:p>
    <w:p>
      <w:pPr>
        <w:spacing w:after="160" w:line="276"/>
      </w:pPr>
      <w:r>
        <w:rPr>
          <w:rFonts w:ascii="Calibri" w:cs="Calibri" w:eastAsia="Calibri" w:hAnsi="Calibri"/>
          <w:sz w:val="22"/>
          <w:szCs w:val="22"/>
        </w:rPr>
        <w:t xml:space="preserve">On our final training run, the Random Forest scored 70.94% accuracy on the training set and 69.13% on the test set — a gap of about 1.8 percentage points. That is a small gap, which tells us the model is not memorizing the training data; it is picking up a pattern that generalizes reasonably well to customers it has not seen. We would be comfortable defending this specific model to the board as-is on the overfitting question, while continuing to monitor it after launch as described above. Separately, we deliberately used class_weight='balanced' so the model would prioritise catching churners (recall 84.22%) over raw accuracy — a plain accuracy number here would actually be worse than a lazy baseline that always predicts “no churn”, which would score 73.46% accuracy while catching zero at-risk customers. That trade-off is the point of the model, not a flaw in it.</w:t>
      </w:r>
    </w:p>
    <w:p>
      <w:pPr>
        <w:pStyle w:val="Heading2"/>
        <w:spacing w:after="100" w:before="200"/>
      </w:pPr>
      <w:r>
        <w:rPr>
          <w:rFonts w:ascii="Calibri" w:cs="Calibri" w:eastAsia="Calibri" w:hAnsi="Calibri"/>
          <w:b/>
          <w:bCs/>
          <w:color w:val="2E5395"/>
          <w:sz w:val="24"/>
          <w:szCs w:val="24"/>
        </w:rPr>
        <w:t xml:space="preserve">2. Why We Recommended This Segment (the Trade-off)</w:t>
      </w:r>
    </w:p>
    <w:p>
      <w:pPr>
        <w:spacing w:after="160" w:line="276"/>
      </w:pPr>
      <w:r>
        <w:rPr>
          <w:rFonts w:ascii="Calibri" w:cs="Calibri" w:eastAsia="Calibri" w:hAnsi="Calibri"/>
          <w:sz w:val="22"/>
          <w:szCs w:val="22"/>
        </w:rPr>
        <w:t xml:space="preserve">We did not simply pick the segment with the highest churn-risk percentage. The “early-tenure, high-spend, high-risk” segment (57% average risk, $92,364/month at stake) and the “long-tenure, high-spend” segment ($91,020/month at stake, but only 47% risk) have almost the same amount of money on the table. What separates them is how much of that money is actually in danger right now: the long-tenure customers have nearly five years of history with us and a materially lower risk score, so a chunk of that $91,020 was never going to leave this month anyway. The early-tenure segment is where high revenue and high risk actually overlap, which is why a dollar spent on retention there is more likely to change the outcome than a dollar spent on the already-loyal segment.</w:t>
      </w:r>
    </w:p>
    <w:p>
      <w:pPr>
        <w:pStyle w:val="Heading2"/>
        <w:spacing w:after="100" w:before="200"/>
      </w:pPr>
      <w:r>
        <w:rPr>
          <w:rFonts w:ascii="Calibri" w:cs="Calibri" w:eastAsia="Calibri" w:hAnsi="Calibri"/>
          <w:b/>
          <w:bCs/>
          <w:color w:val="2E5395"/>
          <w:sz w:val="24"/>
          <w:szCs w:val="24"/>
        </w:rPr>
        <w:t xml:space="preserve">3. What Happened When Retrieval Was Skipped in Task 6</w:t>
      </w:r>
    </w:p>
    <w:p>
      <w:pPr>
        <w:spacing w:after="160" w:line="276"/>
      </w:pPr>
      <w:r>
        <w:rPr>
          <w:rFonts w:ascii="Calibri" w:cs="Calibri" w:eastAsia="Calibri" w:hAnsi="Calibri"/>
          <w:sz w:val="22"/>
          <w:szCs w:val="22"/>
        </w:rPr>
        <w:t xml:space="preserve">When we asked the LLM the same question but withheld the playbook text and let it guess which clause applied, it answered confidently but incorrectly — it stated “Clause 1” and fabricated an entire policy (“Early-Stage High Risk Intervention”, with invented thresholds and a fictional four-clause table) that does not exist anywhere in our real playbook. The correct answer, from our own code-based retrieval, was Clause 3. Repeating the identical prompt six times produced six different invented answers, each delivered with the same confident, professional tone. This matters far more here than in a casual chatbot: a retention agent reading any one of these outputs has no way to distinguish a fabricated citation from a real one, and could act on a policy that was never approved — offering a discount under a clause that does not exist, or skipping the real onboarding-routing requirement. If this were ever logged and reviewed by a compliance auditor, there would be no real clause to trace the citation back to, because none was ever actually retrieved. This is precisely why Task 6's retrieval step — looking the real clause up in code before the LLM is ever called — is not optional.</w:t>
      </w:r>
    </w:p>
    <w:p>
      <w:pPr>
        <w:pStyle w:val="Heading2"/>
        <w:spacing w:after="100" w:before="200"/>
      </w:pPr>
      <w:r>
        <w:rPr>
          <w:rFonts w:ascii="Calibri" w:cs="Calibri" w:eastAsia="Calibri" w:hAnsi="Calibri"/>
          <w:b/>
          <w:bCs/>
          <w:color w:val="2E5395"/>
          <w:sz w:val="24"/>
          <w:szCs w:val="24"/>
        </w:rPr>
        <w:t xml:space="preserve">4. Exactly What Went Into the LLM Prompt, and Where Demographic Columns Were Kept Out</w:t>
      </w:r>
    </w:p>
    <w:p>
      <w:pPr>
        <w:spacing w:after="160" w:line="276"/>
      </w:pPr>
      <w:r>
        <w:rPr>
          <w:rFonts w:ascii="Calibri" w:cs="Calibri" w:eastAsia="Calibri" w:hAnsi="Calibri"/>
          <w:sz w:val="22"/>
          <w:szCs w:val="22"/>
        </w:rPr>
        <w:t xml:space="preserve">The system prompt we sent to the LLM contains exactly four pieces of information: the text of the retrieved clause, the customer's churn probability, their tenure in months, and the names of the top three contributing features. Nothing else from the customer's record — and specifically none of gender, SeniorCitizen, Partner, or Dependents — is ever assembled into that prompt. The protection is structural, not just an instruction we hoped the model would follow: before the “top 3 features” are ever selected, we build a list of every one-hot-encoded column that touches those four demographic fields (demo_related_encoded) and drop them from the importance ranking first, so a demographic column could never even be eligible to appear as one of the three feature names passed to the LLM. Our own experiment above already showed that a model given room to reason can invent whole frameworks; an instruction not to mention a protected attribute is not enough on its own; keeping the raw attribute out of the prompt at the code level is what actually prevents it, whether the leak would have been a literal mention or an indirect implication (e.g. inferring “elderly” from SeniorCitizen, or a gendered pronoun from the gender field).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2026-09-06T08:32:10.359Z</dcterms:created>
  <dcterms:modified xsi:type="dcterms:W3CDTF">2026-09-06T08:32:10.371Z</dcterms:modified>
</cp:coreProperties>
</file>

<file path=docProps/custom.xml><?xml version="1.0" encoding="utf-8"?>
<Properties xmlns="http://schemas.openxmlformats.org/officeDocument/2006/custom-properties" xmlns:vt="http://schemas.openxmlformats.org/officeDocument/2006/docPropsVTypes"/>
</file>