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8B" w:rsidRPr="00E8788B" w:rsidRDefault="00E8788B" w:rsidP="00E8788B">
      <w:pPr>
        <w:pBdr>
          <w:bottom w:val="single" w:sz="2" w:space="4" w:color="EAECEF"/>
        </w:pBdr>
        <w:spacing w:before="200" w:after="133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0"/>
          <w:lang w:val="en-US" w:bidi="hi-IN"/>
        </w:rPr>
        <w:t>Test - Daily Trade Reporting Engine</w:t>
      </w:r>
    </w:p>
    <w:p w:rsidR="00CE0912" w:rsidRDefault="00CE0912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 requirement is to create a D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aily trade reporting engine for incoming instructions. </w:t>
      </w:r>
    </w:p>
    <w:p w:rsidR="00D84843" w:rsidRDefault="00673AF6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673AF6"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bidi="hi-IN"/>
        </w:rPr>
        <w:t>Requirement: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</w:t>
      </w:r>
      <w:r w:rsidR="00D84843" w:rsidRPr="00673AF6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As a</w:t>
      </w:r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trade analyst, </w:t>
      </w:r>
      <w:r w:rsidRPr="00673AF6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 want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a daily report to be generated that will show the entities received in the instructions from various clients. The entities should show the total Outgoing &amp; Incoming settled amounts in USD based on settlement date and entities ranked based on Incoming and Outgoing Amount</w:t>
      </w:r>
    </w:p>
    <w:p w:rsidR="00CE0912" w:rsidRDefault="00CE0912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CE0912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Input: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S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et of instructions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received from client</w:t>
      </w:r>
    </w:p>
    <w:p w:rsidR="00E8788B" w:rsidRPr="00E8788B" w:rsidRDefault="00CE0912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CE0912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Expected O</w:t>
      </w:r>
      <w:r w:rsidR="00E8788B"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utput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is a (d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aily) report printed in console with Outgoing &amp; Incoming Amounts in USD currency and Ranking based on the respective amounts for each date</w:t>
      </w:r>
    </w:p>
    <w:p w:rsidR="00E8788B" w:rsidRPr="00E8788B" w:rsidRDefault="00E8788B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Input: 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Instruction</w:t>
      </w: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s received from various clients to </w:t>
      </w:r>
      <w:r w:rsidR="00CE0912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JPMC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An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instruction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is a model which describe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s an instruction to buy or sell. 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It includes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following 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information: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spacing w:after="66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>Instruction</w:t>
      </w:r>
      <w:r w:rsidRPr="00E8788B">
        <w:rPr>
          <w:rFonts w:asciiTheme="minorHAnsi" w:hAnsiTheme="minorHAnsi" w:cstheme="minorHAnsi"/>
          <w:sz w:val="20"/>
          <w:szCs w:val="20"/>
        </w:rPr>
        <w:t xml:space="preserve">: An instruction to Buy or Sell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spacing w:after="66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>Entity</w:t>
      </w:r>
      <w:r w:rsidRPr="00E8788B">
        <w:rPr>
          <w:rFonts w:asciiTheme="minorHAnsi" w:hAnsiTheme="minorHAnsi" w:cstheme="minorHAnsi"/>
          <w:sz w:val="20"/>
          <w:szCs w:val="20"/>
        </w:rPr>
        <w:t xml:space="preserve">: A financial entity whose shares are to be bought or sold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spacing w:after="66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>Instruction Date</w:t>
      </w:r>
      <w:r w:rsidRPr="00E8788B">
        <w:rPr>
          <w:rFonts w:asciiTheme="minorHAnsi" w:hAnsiTheme="minorHAnsi" w:cstheme="minorHAnsi"/>
          <w:sz w:val="20"/>
          <w:szCs w:val="20"/>
        </w:rPr>
        <w:t xml:space="preserve">: Date on which the instruction was sent to JP Morgan by various clients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spacing w:after="66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>Settlement Date</w:t>
      </w:r>
      <w:r w:rsidRPr="00E8788B">
        <w:rPr>
          <w:rFonts w:asciiTheme="minorHAnsi" w:hAnsiTheme="minorHAnsi" w:cstheme="minorHAnsi"/>
          <w:sz w:val="20"/>
          <w:szCs w:val="20"/>
        </w:rPr>
        <w:t xml:space="preserve">: The date on which the client wished for the instruction to be settled with respect to Instruction Date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>Buy/Sell flag</w:t>
      </w:r>
      <w:r w:rsidR="00CE0912">
        <w:rPr>
          <w:rFonts w:asciiTheme="minorHAnsi" w:hAnsiTheme="minorHAnsi" w:cstheme="minorHAnsi"/>
          <w:b/>
          <w:bCs/>
          <w:sz w:val="20"/>
          <w:szCs w:val="20"/>
        </w:rPr>
        <w:t xml:space="preserve"> (Trade Action)</w:t>
      </w:r>
      <w:r w:rsidRPr="00E8788B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E8788B" w:rsidRPr="00E8788B" w:rsidRDefault="00E8788B" w:rsidP="00E8788B">
      <w:pPr>
        <w:pStyle w:val="Default"/>
        <w:numPr>
          <w:ilvl w:val="1"/>
          <w:numId w:val="1"/>
        </w:numPr>
        <w:spacing w:after="54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sz w:val="20"/>
          <w:szCs w:val="20"/>
        </w:rPr>
        <w:t xml:space="preserve">B – Buy – outgoing </w:t>
      </w:r>
    </w:p>
    <w:p w:rsidR="00E8788B" w:rsidRPr="00E8788B" w:rsidRDefault="00E8788B" w:rsidP="00E8788B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sz w:val="20"/>
          <w:szCs w:val="20"/>
        </w:rPr>
        <w:t xml:space="preserve">S – Sell – incoming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spacing w:after="66"/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 xml:space="preserve">Agreed </w:t>
      </w:r>
      <w:proofErr w:type="spellStart"/>
      <w:r w:rsidRPr="00E8788B">
        <w:rPr>
          <w:rFonts w:asciiTheme="minorHAnsi" w:hAnsiTheme="minorHAnsi" w:cstheme="minorHAnsi"/>
          <w:b/>
          <w:bCs/>
          <w:sz w:val="20"/>
          <w:szCs w:val="20"/>
        </w:rPr>
        <w:t>Fx</w:t>
      </w:r>
      <w:proofErr w:type="spellEnd"/>
      <w:r w:rsidRPr="00E8788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8788B">
        <w:rPr>
          <w:rFonts w:asciiTheme="minorHAnsi" w:hAnsiTheme="minorHAnsi" w:cstheme="minorHAnsi"/>
          <w:sz w:val="20"/>
          <w:szCs w:val="20"/>
        </w:rPr>
        <w:t xml:space="preserve">is the foreign exchange rate with respect to USD that was agreed </w:t>
      </w:r>
    </w:p>
    <w:p w:rsidR="00E8788B" w:rsidRPr="00E8788B" w:rsidRDefault="00E8788B" w:rsidP="00E8788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8788B">
        <w:rPr>
          <w:rFonts w:asciiTheme="minorHAnsi" w:hAnsiTheme="minorHAnsi" w:cstheme="minorHAnsi"/>
          <w:b/>
          <w:bCs/>
          <w:sz w:val="20"/>
          <w:szCs w:val="20"/>
        </w:rPr>
        <w:t xml:space="preserve">Units: </w:t>
      </w:r>
      <w:r w:rsidRPr="00E8788B">
        <w:rPr>
          <w:rFonts w:asciiTheme="minorHAnsi" w:hAnsiTheme="minorHAnsi" w:cstheme="minorHAnsi"/>
          <w:sz w:val="20"/>
          <w:szCs w:val="20"/>
        </w:rPr>
        <w:t xml:space="preserve">Number of shares to be bought or sold </w:t>
      </w:r>
    </w:p>
    <w:p w:rsidR="00E8788B" w:rsidRPr="00E8788B" w:rsidRDefault="00E8788B" w:rsidP="00E8788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0"/>
          <w:szCs w:val="20"/>
          <w:lang w:val="en-US" w:bidi="hi-IN"/>
        </w:rPr>
      </w:pPr>
      <w:r w:rsidRPr="00E8788B">
        <w:rPr>
          <w:rFonts w:eastAsia="Times New Roman" w:cstheme="minorHAnsi"/>
          <w:b/>
          <w:bCs/>
          <w:color w:val="24292E"/>
          <w:sz w:val="20"/>
          <w:szCs w:val="20"/>
          <w:lang w:val="en-US" w:bidi="hi-IN"/>
        </w:rPr>
        <w:t>Price Per Unit</w:t>
      </w:r>
    </w:p>
    <w:p w:rsidR="00E8788B" w:rsidRPr="00E8788B" w:rsidRDefault="00E8788B" w:rsidP="00CA7FC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13"/>
          <w:szCs w:val="13"/>
          <w:lang w:val="en-US" w:bidi="hi-IN"/>
        </w:rPr>
      </w:pPr>
      <w:r w:rsidRPr="00CA7FCF">
        <w:rPr>
          <w:rFonts w:eastAsia="Times New Roman" w:cstheme="minorHAnsi"/>
          <w:b/>
          <w:bCs/>
          <w:color w:val="24292E"/>
          <w:sz w:val="20"/>
          <w:szCs w:val="20"/>
          <w:lang w:val="en-US" w:bidi="hi-IN"/>
        </w:rPr>
        <w:t>USD Amount</w:t>
      </w:r>
      <w:r w:rsidRPr="00E8788B">
        <w:rPr>
          <w:rFonts w:eastAsia="Times New Roman" w:cstheme="minorHAnsi"/>
          <w:b/>
          <w:bCs/>
          <w:color w:val="24292E"/>
          <w:sz w:val="20"/>
          <w:szCs w:val="20"/>
          <w:lang w:val="en-US" w:bidi="hi-IN"/>
        </w:rPr>
        <w:t>:</w:t>
      </w:r>
      <w:r w:rsidRPr="00E8788B">
        <w:rPr>
          <w:rFonts w:eastAsia="Times New Roman" w:cstheme="minorHAnsi"/>
          <w:color w:val="24292E"/>
          <w:sz w:val="20"/>
          <w:szCs w:val="20"/>
          <w:lang w:val="en-US" w:bidi="hi-IN"/>
        </w:rPr>
        <w:t xml:space="preserve"> Price per unit * Units * Agreed </w:t>
      </w:r>
      <w:proofErr w:type="spellStart"/>
      <w:r w:rsidRPr="00E8788B">
        <w:rPr>
          <w:rFonts w:eastAsia="Times New Roman" w:cstheme="minorHAnsi"/>
          <w:color w:val="24292E"/>
          <w:sz w:val="20"/>
          <w:szCs w:val="20"/>
          <w:lang w:val="en-US" w:bidi="hi-IN"/>
        </w:rPr>
        <w:t>Fx</w:t>
      </w:r>
      <w:proofErr w:type="spellEnd"/>
    </w:p>
    <w:p w:rsidR="00E8788B" w:rsidRPr="00E8788B" w:rsidRDefault="00CA7FCF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W</w:t>
      </w:r>
      <w:r w:rsidR="00E8788B"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orking days</w:t>
      </w:r>
    </w:p>
    <w:p w:rsidR="00CA7FCF" w:rsidRDefault="00CA7FCF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Settlement date for an instruction may 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change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based on the 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currency of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instruc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tion,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especially for Arab currencies UAE Dirham (AED) and Saudi Riyal (SAR) due 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different working days than the rest of the world. </w:t>
      </w:r>
    </w:p>
    <w:p w:rsidR="00E8788B" w:rsidRPr="00E8788B" w:rsidRDefault="00CA7FCF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work week starts Monday and ends Friday, unless the currency of the trade is </w:t>
      </w:r>
      <w:r w:rsidR="00E8788B"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AED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or </w:t>
      </w:r>
      <w:r w:rsidR="00E8788B"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SAR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, where the work week starts Sunday and ends Thursday.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(Assumption: 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No other ho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lidays to be taken into account)</w:t>
      </w:r>
    </w:p>
    <w:p w:rsidR="00E8788B" w:rsidRPr="00E8788B" w:rsidRDefault="00CA7FCF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code has the logic to accurately find the Work Days 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in the </w:t>
      </w:r>
      <w:proofErr w:type="spellStart"/>
      <w:r w:rsidR="00E8788B"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Workingdays</w:t>
      </w:r>
      <w:proofErr w:type="spellEnd"/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abstract class. There are 2 different subclasses of this class:</w:t>
      </w:r>
    </w:p>
    <w:p w:rsidR="00E8788B" w:rsidRPr="00E8788B" w:rsidRDefault="00CA7FCF" w:rsidP="00E8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Arab</w:t>
      </w:r>
      <w:r w:rsidR="00E8788B"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 xml:space="preserve"> Working Days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: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For the 2 Arab Currencies W</w:t>
      </w:r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ork </w:t>
      </w:r>
      <w:proofErr w:type="gramStart"/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week</w:t>
      </w:r>
      <w:proofErr w:type="gramEnd"/>
      <w:r w:rsidR="00E8788B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starts Sunday and ends Thursday.</w:t>
      </w:r>
    </w:p>
    <w:p w:rsidR="00E8788B" w:rsidRPr="00E8788B" w:rsidRDefault="00E8788B" w:rsidP="00E8788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Default Working Days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: </w:t>
      </w:r>
      <w:r w:rsidR="00CA7FCF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For Rest of the world in w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hich a work week starts Monday and ends Friday.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 </w:t>
      </w:r>
      <w:proofErr w:type="spellStart"/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InstructionSettlementDateCalculator</w:t>
      </w:r>
      <w:proofErr w:type="spell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static class </w:t>
      </w:r>
      <w:r w:rsidR="00CA7FCF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contains the logic to accurately calculate the Settlement Date based taking the currency level exceptions into consideration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.</w:t>
      </w:r>
    </w:p>
    <w:p w:rsidR="00673AF6" w:rsidRDefault="00673AF6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</w:p>
    <w:p w:rsidR="00E8788B" w:rsidRPr="00E8788B" w:rsidRDefault="00CA7FCF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lastRenderedPageBreak/>
        <w:t>Report Elements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 </w:t>
      </w:r>
      <w:proofErr w:type="spellStart"/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InstructionSettlementStatsCalculator</w:t>
      </w:r>
      <w:proofErr w:type="spell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class is responsible of generating </w:t>
      </w:r>
      <w:r w:rsidR="00CA7FCF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elements required to be reported as part of the console report 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based on a set of given instructions.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First, the </w:t>
      </w: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Outgoing Daily Amount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is calculated by grouping the instruction with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BUY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action by settlement date and then sum up </w:t>
      </w:r>
      <w:proofErr w:type="gramStart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all the</w:t>
      </w:r>
      <w:proofErr w:type="gram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USD trade amount for each date.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Second, the </w:t>
      </w: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Incoming Daily Amount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is calculated by grouping the instruction with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SELL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action by settlement date and then sum up </w:t>
      </w:r>
      <w:proofErr w:type="gramStart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all the</w:t>
      </w:r>
      <w:proofErr w:type="gram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USD trade amount for each date.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Third, the </w:t>
      </w: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Outgoing Daily Ranking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is calculated by first grouping the instruction with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BUY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action by settlement date then sort by the USD trade amount and </w:t>
      </w:r>
      <w:r w:rsidR="00CE0912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creates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a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Rank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object for each element.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Finally, the </w:t>
      </w: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Incoming Daily Ranking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is calculated by first grouping the instruction with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SELL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action by settlement date then sort by the USD trade amount and </w:t>
      </w:r>
      <w:r w:rsidR="00CE0912"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creates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a 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Rank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object for each element.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 </w:t>
      </w:r>
      <w:r w:rsidRPr="00E8788B">
        <w:rPr>
          <w:rFonts w:ascii="Segoe UI" w:eastAsia="Times New Roman" w:hAnsi="Segoe UI" w:cs="Segoe UI"/>
          <w:i/>
          <w:iCs/>
          <w:color w:val="24292E"/>
          <w:sz w:val="20"/>
          <w:szCs w:val="20"/>
          <w:lang w:val="en-US" w:bidi="hi-IN"/>
        </w:rPr>
        <w:t>Rank</w:t>
      </w: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class represents the ranking, entity and date of a record.</w:t>
      </w:r>
    </w:p>
    <w:p w:rsidR="00E8788B" w:rsidRPr="00E8788B" w:rsidRDefault="00E8788B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Reporting</w:t>
      </w:r>
    </w:p>
    <w:p w:rsidR="00E8788B" w:rsidRPr="00E8788B" w:rsidRDefault="00E8788B" w:rsidP="00E8788B">
      <w:pPr>
        <w:spacing w:after="133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 </w:t>
      </w:r>
      <w:proofErr w:type="spellStart"/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ReportGenerator</w:t>
      </w:r>
      <w:proofErr w:type="spell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 class is responsible of generating reports, using a </w:t>
      </w:r>
      <w:proofErr w:type="spellStart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StringBuilder</w:t>
      </w:r>
      <w:proofErr w:type="spell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, fo</w:t>
      </w:r>
      <w:r w:rsidR="00CE0912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r the aforementioned statistics along with a generic Header and Trailer (Footer) for the report</w:t>
      </w:r>
    </w:p>
    <w:p w:rsidR="00E8788B" w:rsidRPr="00E8788B" w:rsidRDefault="00CE0912" w:rsidP="00E8788B">
      <w:pPr>
        <w:pBdr>
          <w:bottom w:val="single" w:sz="2" w:space="4" w:color="EAECEF"/>
        </w:pBdr>
        <w:spacing w:before="200" w:after="133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Input Data for Report</w:t>
      </w:r>
    </w:p>
    <w:p w:rsidR="00E8788B" w:rsidRDefault="00E8788B" w:rsidP="00E8788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In order to show its usage there is </w:t>
      </w:r>
      <w:proofErr w:type="gramStart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</w:t>
      </w:r>
      <w:proofErr w:type="gram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</w:t>
      </w:r>
      <w:proofErr w:type="spellStart"/>
      <w:r w:rsidR="00CE0912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Input</w:t>
      </w:r>
      <w:r w:rsidRPr="00E8788B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InstructionsGenerator</w:t>
      </w:r>
      <w:proofErr w:type="spellEnd"/>
      <w:r w:rsidRPr="00E8788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 class that generates a set of dummy instructions.</w:t>
      </w:r>
      <w:r w:rsidR="00CE0912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Additional test data has been included on top of the given data. The data considered is as below:</w:t>
      </w:r>
    </w:p>
    <w:tbl>
      <w:tblPr>
        <w:tblStyle w:val="TableGrid"/>
        <w:tblW w:w="9558" w:type="dxa"/>
        <w:tblLook w:val="04A0"/>
      </w:tblPr>
      <w:tblGrid>
        <w:gridCol w:w="708"/>
        <w:gridCol w:w="617"/>
        <w:gridCol w:w="1019"/>
        <w:gridCol w:w="965"/>
        <w:gridCol w:w="1132"/>
        <w:gridCol w:w="1292"/>
        <w:gridCol w:w="653"/>
        <w:gridCol w:w="774"/>
        <w:gridCol w:w="1048"/>
        <w:gridCol w:w="1350"/>
      </w:tblGrid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Entity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Buy/ Sell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proofErr w:type="spellStart"/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AgreedFx</w:t>
            </w:r>
            <w:proofErr w:type="spellEnd"/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Currency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Instruction Date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Settlement Date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Units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Price per Unit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I/O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  <w:lang w:bidi="hi-IN"/>
              </w:rPr>
              <w:t>USD Amount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proofErr w:type="spellStart"/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foo</w:t>
            </w:r>
            <w:proofErr w:type="spellEnd"/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0.5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SG</w:t>
            </w:r>
            <w:r w:rsidR="00597CB5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D*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200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100.25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Outgoing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10,025.00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bar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0.22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AED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5-Jan-16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7-Jan-16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450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150.5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Incoming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14,899.50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coo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0.014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INR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300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175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Outgoing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     735.00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car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0.76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CAD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5-Jan-16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7-Jan-16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150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200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Incoming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22,800.00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too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0.15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0C3449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CNY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15-Jan-16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16-Jan-16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350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220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Outgoing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11,550.00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tar</w:t>
            </w:r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0.71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AUD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17-Jan-16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19-Jan-16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250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125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Incoming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22,187.50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proofErr w:type="spellStart"/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koo</w:t>
            </w:r>
            <w:proofErr w:type="spellEnd"/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1.13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EUR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15-Jan-16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16-Jan-16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220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250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Outgoing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62,150.00 </w:t>
            </w:r>
          </w:p>
        </w:tc>
      </w:tr>
      <w:tr w:rsidR="00CE0912" w:rsidRPr="00CE0912" w:rsidTr="00CE0912">
        <w:trPr>
          <w:trHeight w:val="290"/>
        </w:trPr>
        <w:tc>
          <w:tcPr>
            <w:tcW w:w="708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proofErr w:type="spellStart"/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kar</w:t>
            </w:r>
            <w:proofErr w:type="spellEnd"/>
          </w:p>
        </w:tc>
        <w:tc>
          <w:tcPr>
            <w:tcW w:w="617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</w:t>
            </w:r>
          </w:p>
        </w:tc>
        <w:tc>
          <w:tcPr>
            <w:tcW w:w="1019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1.29</w:t>
            </w:r>
          </w:p>
        </w:tc>
        <w:tc>
          <w:tcPr>
            <w:tcW w:w="965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GBP</w:t>
            </w:r>
          </w:p>
        </w:tc>
        <w:tc>
          <w:tcPr>
            <w:tcW w:w="113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17-Jan-16</w:t>
            </w:r>
          </w:p>
        </w:tc>
        <w:tc>
          <w:tcPr>
            <w:tcW w:w="1292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19-Jan-16</w:t>
            </w:r>
          </w:p>
        </w:tc>
        <w:tc>
          <w:tcPr>
            <w:tcW w:w="653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270</w:t>
            </w:r>
          </w:p>
        </w:tc>
        <w:tc>
          <w:tcPr>
            <w:tcW w:w="774" w:type="dxa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300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Incoming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  <w:hideMark/>
          </w:tcPr>
          <w:p w:rsidR="00CE0912" w:rsidRPr="00CE0912" w:rsidRDefault="00CE0912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 w:rsidRPr="00CE0912"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$ 104,490.00</w:t>
            </w:r>
          </w:p>
        </w:tc>
      </w:tr>
      <w:tr w:rsidR="0018366B" w:rsidRPr="00CE0912" w:rsidTr="00CE0912">
        <w:trPr>
          <w:trHeight w:val="290"/>
        </w:trPr>
        <w:tc>
          <w:tcPr>
            <w:tcW w:w="708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doo</w:t>
            </w:r>
          </w:p>
        </w:tc>
        <w:tc>
          <w:tcPr>
            <w:tcW w:w="617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B</w:t>
            </w:r>
          </w:p>
        </w:tc>
        <w:tc>
          <w:tcPr>
            <w:tcW w:w="1019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0.21</w:t>
            </w:r>
          </w:p>
        </w:tc>
        <w:tc>
          <w:tcPr>
            <w:tcW w:w="965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SAR</w:t>
            </w:r>
          </w:p>
        </w:tc>
        <w:tc>
          <w:tcPr>
            <w:tcW w:w="1132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7-Jan-16</w:t>
            </w:r>
          </w:p>
        </w:tc>
        <w:tc>
          <w:tcPr>
            <w:tcW w:w="1292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9-Jan-16</w:t>
            </w:r>
          </w:p>
        </w:tc>
        <w:tc>
          <w:tcPr>
            <w:tcW w:w="653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240</w:t>
            </w:r>
          </w:p>
        </w:tc>
        <w:tc>
          <w:tcPr>
            <w:tcW w:w="774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275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Outgoing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13,860.00</w:t>
            </w:r>
          </w:p>
        </w:tc>
      </w:tr>
      <w:tr w:rsidR="0018366B" w:rsidRPr="00CE0912" w:rsidTr="00CE0912">
        <w:trPr>
          <w:trHeight w:val="290"/>
        </w:trPr>
        <w:tc>
          <w:tcPr>
            <w:tcW w:w="708" w:type="dxa"/>
            <w:noWrap/>
          </w:tcPr>
          <w:p w:rsidR="0018366B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proofErr w:type="spellStart"/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dar</w:t>
            </w:r>
            <w:proofErr w:type="spellEnd"/>
          </w:p>
        </w:tc>
        <w:tc>
          <w:tcPr>
            <w:tcW w:w="617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S</w:t>
            </w:r>
          </w:p>
        </w:tc>
        <w:tc>
          <w:tcPr>
            <w:tcW w:w="1019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0.53</w:t>
            </w:r>
          </w:p>
        </w:tc>
        <w:tc>
          <w:tcPr>
            <w:tcW w:w="965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NZD</w:t>
            </w:r>
          </w:p>
        </w:tc>
        <w:tc>
          <w:tcPr>
            <w:tcW w:w="1132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8-Jan-16</w:t>
            </w:r>
          </w:p>
        </w:tc>
        <w:tc>
          <w:tcPr>
            <w:tcW w:w="1292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9-Jan-16</w:t>
            </w:r>
          </w:p>
        </w:tc>
        <w:tc>
          <w:tcPr>
            <w:tcW w:w="653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120</w:t>
            </w:r>
          </w:p>
        </w:tc>
        <w:tc>
          <w:tcPr>
            <w:tcW w:w="774" w:type="dxa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320</w:t>
            </w:r>
          </w:p>
        </w:tc>
        <w:tc>
          <w:tcPr>
            <w:tcW w:w="1048" w:type="dxa"/>
            <w:shd w:val="clear" w:color="auto" w:fill="F4B083" w:themeFill="accent2" w:themeFillTint="99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>Incoming</w:t>
            </w:r>
          </w:p>
        </w:tc>
        <w:tc>
          <w:tcPr>
            <w:tcW w:w="1350" w:type="dxa"/>
            <w:shd w:val="clear" w:color="auto" w:fill="F4B083" w:themeFill="accent2" w:themeFillTint="99"/>
            <w:noWrap/>
          </w:tcPr>
          <w:p w:rsidR="0018366B" w:rsidRPr="00CE0912" w:rsidRDefault="0018366B" w:rsidP="00CE0912">
            <w:pPr>
              <w:spacing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</w:pPr>
            <w:r>
              <w:rPr>
                <w:rFonts w:eastAsia="Times New Roman" w:cstheme="minorHAnsi"/>
                <w:color w:val="24292E"/>
                <w:sz w:val="20"/>
                <w:szCs w:val="20"/>
                <w:lang w:bidi="hi-IN"/>
              </w:rPr>
              <w:t xml:space="preserve"> $   20,352.00</w:t>
            </w:r>
          </w:p>
        </w:tc>
      </w:tr>
    </w:tbl>
    <w:p w:rsidR="00597CB5" w:rsidRPr="00597CB5" w:rsidRDefault="00597CB5" w:rsidP="00E8788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*Note: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SGP </w:t>
      </w:r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(</w:t>
      </w:r>
      <w:proofErr w:type="gramStart"/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provided  in</w:t>
      </w:r>
      <w:proofErr w:type="gramEnd"/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the Tech Test Paper)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is not a valid ISO currency code, hence SGD (Singapore Dollar) has been considered</w:t>
      </w:r>
    </w:p>
    <w:p w:rsidR="00597CB5" w:rsidRDefault="00597CB5" w:rsidP="00E8788B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Test Scenarios:</w:t>
      </w:r>
    </w:p>
    <w:p w:rsidR="00597CB5" w:rsidRPr="00597CB5" w:rsidRDefault="00597CB5" w:rsidP="00597C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1:</w:t>
      </w:r>
    </w:p>
    <w:p w:rsidR="00597CB5" w:rsidRPr="00597CB5" w:rsidRDefault="00597CB5" w:rsidP="00597CB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an instruction to Buy</w:t>
      </w:r>
    </w:p>
    <w:p w:rsidR="00597CB5" w:rsidRPr="00597CB5" w:rsidRDefault="00597CB5" w:rsidP="00597CB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 Currency is one of the default currencies and Settlement Date falls on a Saturday (Weekend)</w:t>
      </w:r>
    </w:p>
    <w:p w:rsidR="00597CB5" w:rsidRDefault="00597CB5" w:rsidP="00597CB5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 w:rsidR="0018366B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Outgoing 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with settlement date of the next business day (Monday)</w:t>
      </w:r>
    </w:p>
    <w:p w:rsidR="0018366B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</w:p>
    <w:p w:rsidR="0018366B" w:rsidRDefault="0018366B" w:rsidP="001836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2:</w:t>
      </w:r>
    </w:p>
    <w:p w:rsidR="0018366B" w:rsidRPr="00597CB5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an instruction to </w:t>
      </w: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Sell</w:t>
      </w:r>
      <w:proofErr w:type="gramEnd"/>
    </w:p>
    <w:p w:rsidR="0018366B" w:rsidRPr="00597CB5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the Currency is one of the default currencies and Settlement Date falls on a Saturday (Weekend)</w:t>
      </w:r>
    </w:p>
    <w:p w:rsidR="0018366B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Incoming 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with settlement date of the next business day (Monday)</w:t>
      </w:r>
    </w:p>
    <w:p w:rsidR="0018366B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18366B" w:rsidRDefault="0018366B" w:rsidP="001836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3:</w:t>
      </w:r>
    </w:p>
    <w:p w:rsidR="0018366B" w:rsidRPr="00597CB5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an instruction to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Buy</w:t>
      </w:r>
    </w:p>
    <w:p w:rsidR="0018366B" w:rsidRPr="00597CB5" w:rsidRDefault="0018366B" w:rsidP="0018366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Currency is one of the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Arab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currencies and Settlement Date falls on a Saturday (Weekend)</w:t>
      </w:r>
    </w:p>
    <w:p w:rsidR="0018366B" w:rsidRDefault="0018366B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</w:t>
      </w:r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Outgoing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with settlement date of the next business day (</w:t>
      </w:r>
      <w:r w:rsidR="00D84843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Sunday *for Arab Currencies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)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D84843" w:rsidRDefault="00D84843" w:rsidP="00D848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4:</w:t>
      </w:r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an instruction to </w:t>
      </w: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Sell</w:t>
      </w:r>
      <w:proofErr w:type="gramEnd"/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Currency is one of the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Arab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currencies and Settlement Date falls on a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Thursday (Weekday)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Incoming 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with settlement date of the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same day (Weekday)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D84843" w:rsidRPr="00597CB5" w:rsidRDefault="00D84843" w:rsidP="00D848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5</w:t>
      </w: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:</w:t>
      </w:r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an instruction to Buy</w:t>
      </w:r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Currency is one of the default currencies and Settlement Date falls on a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Weekday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Outgoing 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with settlement date of the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same day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</w:p>
    <w:p w:rsidR="00D84843" w:rsidRDefault="00D84843" w:rsidP="00D8484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Scenario 6:</w:t>
      </w:r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Given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an instruction to </w:t>
      </w: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Sell</w:t>
      </w:r>
      <w:proofErr w:type="gramEnd"/>
    </w:p>
    <w:p w:rsidR="00D84843" w:rsidRPr="00597CB5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When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Currency is one of the default currencies and Settlement Date falls on a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Weekday</w:t>
      </w:r>
    </w:p>
    <w:p w:rsidR="00D84843" w:rsidRDefault="00D84843" w:rsidP="00D8484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597CB5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Then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the report should include the calculated USD amount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under Incoming Amount </w:t>
      </w:r>
      <w:r w:rsidRPr="00597CB5"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with settlement date of the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same day</w:t>
      </w:r>
    </w:p>
    <w:p w:rsidR="0018366B" w:rsidRPr="00D84843" w:rsidRDefault="00D84843" w:rsidP="00D848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More Test Cases can be written to test further combination of currencies and settlement date (as per the working day logic)</w:t>
      </w:r>
    </w:p>
    <w:p w:rsidR="00BF5C14" w:rsidRDefault="00CE0912" w:rsidP="00D8484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CE0912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Unit Tests</w:t>
      </w:r>
      <w:r w:rsidR="00D84843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 xml:space="preserve"> -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>JUnit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tests are included for Date and Element objects</w:t>
      </w:r>
    </w:p>
    <w:p w:rsidR="00761566" w:rsidRDefault="00761566" w:rsidP="00D8484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761566" w:rsidRDefault="00761566" w:rsidP="00D8484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761566" w:rsidRDefault="00761566" w:rsidP="00D8484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</w:p>
    <w:p w:rsidR="00761566" w:rsidRDefault="00761566" w:rsidP="00D8484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</w:pPr>
      <w:r w:rsidRPr="00761566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  <w:t>Output Report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bidi="hi-IN"/>
        </w:rPr>
        <w:t xml:space="preserve"> screenshot from Console (Eclipse):</w:t>
      </w:r>
    </w:p>
    <w:p w:rsidR="00761566" w:rsidRPr="00D84843" w:rsidRDefault="00761566" w:rsidP="00D8484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bidi="hi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0"/>
          <w:szCs w:val="20"/>
          <w:lang w:val="en-US" w:bidi="hi-IN"/>
        </w:rPr>
        <w:lastRenderedPageBreak/>
        <w:drawing>
          <wp:inline distT="0" distB="0" distL="0" distR="0">
            <wp:extent cx="5731510" cy="35333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566" w:rsidRPr="00D84843" w:rsidSect="00E868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D34F9"/>
    <w:multiLevelType w:val="multilevel"/>
    <w:tmpl w:val="656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74DC9"/>
    <w:multiLevelType w:val="multilevel"/>
    <w:tmpl w:val="B11C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C0617"/>
    <w:multiLevelType w:val="multilevel"/>
    <w:tmpl w:val="656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736D2"/>
    <w:multiLevelType w:val="hybridMultilevel"/>
    <w:tmpl w:val="B3BC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E8788B"/>
    <w:rsid w:val="000C3449"/>
    <w:rsid w:val="0018366B"/>
    <w:rsid w:val="001F6832"/>
    <w:rsid w:val="00597CB5"/>
    <w:rsid w:val="00673AF6"/>
    <w:rsid w:val="007307CF"/>
    <w:rsid w:val="00761566"/>
    <w:rsid w:val="00B53BB8"/>
    <w:rsid w:val="00BF5C14"/>
    <w:rsid w:val="00CA7FCF"/>
    <w:rsid w:val="00CE0912"/>
    <w:rsid w:val="00D84843"/>
    <w:rsid w:val="00E86828"/>
    <w:rsid w:val="00E87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828"/>
  </w:style>
  <w:style w:type="paragraph" w:styleId="Heading1">
    <w:name w:val="heading 1"/>
    <w:basedOn w:val="Normal"/>
    <w:link w:val="Heading1Char"/>
    <w:uiPriority w:val="9"/>
    <w:qFormat/>
    <w:rsid w:val="00E87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Heading2">
    <w:name w:val="heading 2"/>
    <w:basedOn w:val="Normal"/>
    <w:link w:val="Heading2Char"/>
    <w:uiPriority w:val="9"/>
    <w:qFormat/>
    <w:rsid w:val="00E87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8B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8788B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paragraph" w:styleId="NormalWeb">
    <w:name w:val="Normal (Web)"/>
    <w:basedOn w:val="Normal"/>
    <w:uiPriority w:val="99"/>
    <w:semiHidden/>
    <w:unhideWhenUsed/>
    <w:rsid w:val="00E8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E8788B"/>
    <w:rPr>
      <w:b/>
      <w:bCs/>
    </w:rPr>
  </w:style>
  <w:style w:type="character" w:styleId="Emphasis">
    <w:name w:val="Emphasis"/>
    <w:basedOn w:val="DefaultParagraphFont"/>
    <w:uiPriority w:val="20"/>
    <w:qFormat/>
    <w:rsid w:val="00E8788B"/>
    <w:rPr>
      <w:i/>
      <w:iCs/>
    </w:rPr>
  </w:style>
  <w:style w:type="paragraph" w:customStyle="1" w:styleId="Default">
    <w:name w:val="Default"/>
    <w:rsid w:val="00E87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hi-IN"/>
    </w:rPr>
  </w:style>
  <w:style w:type="table" w:styleId="TableGrid">
    <w:name w:val="Table Grid"/>
    <w:basedOn w:val="TableNormal"/>
    <w:uiPriority w:val="39"/>
    <w:rsid w:val="00CE0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C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3</cp:revision>
  <dcterms:created xsi:type="dcterms:W3CDTF">2019-02-13T21:03:00Z</dcterms:created>
  <dcterms:modified xsi:type="dcterms:W3CDTF">2019-02-14T17:03:00Z</dcterms:modified>
</cp:coreProperties>
</file>