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06. Data &amp; Information</w:t>
      </w:r>
    </w:p>
    <w:p>
      <w:pPr>
        <w:jc w:val="center"/>
      </w:pPr>
      <w:r>
        <w:rPr>
          <w:i/>
          <w:sz w:val="18"/>
        </w:rPr>
        <w:t>ANTIER Project Assignment | Baseline: 13 September 2026 | Drafted from supplied working content</w:t>
      </w:r>
    </w:p>
    <w:p>
      <w:pPr>
        <w:pStyle w:val="Heading1"/>
      </w:pPr>
      <w:r>
        <w:t>06. DATA &amp; INFORMATION</w:t>
      </w:r>
    </w:p>
    <w:p>
      <w:r>
        <w:t>ANTIER Project Assignment – Hypothetical Client Engagement</w:t>
      </w:r>
    </w:p>
    <w:p>
      <w:r>
        <w:t>Baseline Date: 13 September 2026</w:t>
      </w:r>
    </w:p>
    <w:p>
      <w:r>
        <w:t>Document Status: Working Draft v0.1</w:t>
      </w:r>
    </w:p>
    <w:p>
      <w:r>
        <w:t>---</w:t>
      </w:r>
    </w:p>
    <w:p>
      <w:pPr>
        <w:pStyle w:val="Heading1"/>
      </w:pPr>
      <w:r>
        <w:t>1. Data Requirements (Consolidated from 03. Requirements)</w:t>
      </w:r>
    </w:p>
    <w:p>
      <w:r>
        <w:t>Purpose:</w:t>
      </w:r>
    </w:p>
    <w:p>
      <w:r>
        <w:t>To restate and extend data requirements from 03. Requirements in an information-management context, focusing on what, why, and quality—not technical schema.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2F3"/>
          </w:tcPr>
          <w:p>
            <w:r>
              <w:rPr>
                <w:b/>
              </w:rPr>
              <w:t>DR-IDData EntityKey AttributesPurposeQuality ExpectationLinked FR</w:t>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c>
          <w:tcPr>
            <w:tcW w:type="dxa" w:w="1704"/>
            <w:shd w:fill="D9E2F3"/>
          </w:tcPr>
          <w:p>
            <w:r>
              <w:rPr>
                <w:b/>
              </w:rPr>
            </w:r>
          </w:p>
        </w:tc>
      </w:tr>
      <w:tr>
        <w:tc>
          <w:tcPr>
            <w:tcW w:type="dxa" w:w="1704"/>
            <w:vAlign w:val="center"/>
          </w:tcPr>
          <w:p>
            <w:r>
              <w:t>DR-01</w:t>
            </w:r>
          </w:p>
        </w:tc>
        <w:tc>
          <w:tcPr>
            <w:tcW w:type="dxa" w:w="1704"/>
            <w:vAlign w:val="center"/>
          </w:tcPr>
          <w:p>
            <w:r>
              <w:t>Downtime Event</w:t>
            </w:r>
          </w:p>
        </w:tc>
        <w:tc>
          <w:tcPr>
            <w:tcW w:type="dxa" w:w="1704"/>
            <w:vAlign w:val="center"/>
          </w:tcPr>
          <w:p>
            <w:r>
              <w:t>Timestamp, Line ID, Asset ID, Fault Code, Logged By</w:t>
            </w:r>
          </w:p>
        </w:tc>
        <w:tc>
          <w:tcPr>
            <w:tcW w:type="dxa" w:w="1704"/>
            <w:vAlign w:val="center"/>
          </w:tcPr>
          <w:p>
            <w:r>
              <w:t>Unified downtime visibility (N1)</w:t>
            </w:r>
          </w:p>
        </w:tc>
        <w:tc>
          <w:tcPr>
            <w:tcW w:type="dxa" w:w="1704"/>
            <w:vAlign w:val="center"/>
          </w:tcPr>
          <w:p>
            <w:r>
              <w:t>Complete, consistent fault codes</w:t>
            </w:r>
          </w:p>
        </w:tc>
        <w:tc>
          <w:tcPr>
            <w:tcW w:type="dxa" w:w="1704"/>
            <w:vAlign w:val="center"/>
          </w:tcPr>
          <w:p>
            <w:r>
              <w:t>FR-01</w:t>
            </w:r>
          </w:p>
        </w:tc>
      </w:tr>
      <w:tr>
        <w:tc>
          <w:tcPr>
            <w:tcW w:type="dxa" w:w="1704"/>
            <w:vAlign w:val="center"/>
          </w:tcPr>
          <w:p>
            <w:r>
              <w:t>DR-02</w:t>
            </w:r>
          </w:p>
        </w:tc>
        <w:tc>
          <w:tcPr>
            <w:tcW w:type="dxa" w:w="1704"/>
            <w:vAlign w:val="center"/>
          </w:tcPr>
          <w:p>
            <w:r>
              <w:t>Changeover Record</w:t>
            </w:r>
          </w:p>
        </w:tc>
        <w:tc>
          <w:tcPr>
            <w:tcW w:type="dxa" w:w="1704"/>
            <w:vAlign w:val="center"/>
          </w:tcPr>
          <w:p>
            <w:r>
              <w:t>Start Time, End Time, Line ID, Reason Code, Logged By</w:t>
            </w:r>
          </w:p>
        </w:tc>
        <w:tc>
          <w:tcPr>
            <w:tcW w:type="dxa" w:w="1704"/>
            <w:vAlign w:val="center"/>
          </w:tcPr>
          <w:p>
            <w:r>
              <w:t>Changeover tracking (N2)</w:t>
            </w:r>
          </w:p>
        </w:tc>
        <w:tc>
          <w:tcPr>
            <w:tcW w:type="dxa" w:w="1704"/>
            <w:vAlign w:val="center"/>
          </w:tcPr>
          <w:p>
            <w:r>
              <w:t>Timely entry; standardized reason codes</w:t>
            </w:r>
          </w:p>
        </w:tc>
        <w:tc>
          <w:tcPr>
            <w:tcW w:type="dxa" w:w="1704"/>
            <w:vAlign w:val="center"/>
          </w:tcPr>
          <w:p>
            <w:r>
              <w:t>FR-02</w:t>
            </w:r>
          </w:p>
        </w:tc>
      </w:tr>
      <w:tr>
        <w:tc>
          <w:tcPr>
            <w:tcW w:type="dxa" w:w="1704"/>
            <w:vAlign w:val="center"/>
          </w:tcPr>
          <w:p>
            <w:r>
              <w:t>DR-03</w:t>
            </w:r>
          </w:p>
        </w:tc>
        <w:tc>
          <w:tcPr>
            <w:tcW w:type="dxa" w:w="1704"/>
            <w:vAlign w:val="center"/>
          </w:tcPr>
          <w:p>
            <w:r>
              <w:t>Asset Master</w:t>
            </w:r>
          </w:p>
        </w:tc>
        <w:tc>
          <w:tcPr>
            <w:tcW w:type="dxa" w:w="1704"/>
            <w:vAlign w:val="center"/>
          </w:tcPr>
          <w:p>
            <w:r>
              <w:t>Asset ID, Line ID, Asset Type, Location, Status</w:t>
            </w:r>
          </w:p>
        </w:tc>
        <w:tc>
          <w:tcPr>
            <w:tcW w:type="dxa" w:w="1704"/>
            <w:vAlign w:val="center"/>
          </w:tcPr>
          <w:p>
            <w:r>
              <w:t>Context for events and alerts</w:t>
            </w:r>
          </w:p>
        </w:tc>
        <w:tc>
          <w:tcPr>
            <w:tcW w:type="dxa" w:w="1704"/>
            <w:vAlign w:val="center"/>
          </w:tcPr>
          <w:p>
            <w:r>
              <w:t>Accurate, up-to-date</w:t>
            </w:r>
          </w:p>
        </w:tc>
        <w:tc>
          <w:tcPr>
            <w:tcW w:type="dxa" w:w="1704"/>
            <w:vAlign w:val="center"/>
          </w:tcPr>
          <w:p>
            <w:r>
              <w:t>FR-01, FR-03</w:t>
            </w:r>
          </w:p>
        </w:tc>
      </w:tr>
      <w:tr>
        <w:tc>
          <w:tcPr>
            <w:tcW w:type="dxa" w:w="1704"/>
            <w:vAlign w:val="center"/>
          </w:tcPr>
          <w:p>
            <w:r>
              <w:t>DR-04</w:t>
            </w:r>
          </w:p>
        </w:tc>
        <w:tc>
          <w:tcPr>
            <w:tcW w:type="dxa" w:w="1704"/>
            <w:vAlign w:val="center"/>
          </w:tcPr>
          <w:p>
            <w:r>
              <w:t>Fault Taxonomy</w:t>
            </w:r>
          </w:p>
        </w:tc>
        <w:tc>
          <w:tcPr>
            <w:tcW w:type="dxa" w:w="1704"/>
            <w:vAlign w:val="center"/>
          </w:tcPr>
          <w:p>
            <w:r>
              <w:t>Fault Code, Description, Category, Parent Code</w:t>
            </w:r>
          </w:p>
        </w:tc>
        <w:tc>
          <w:tcPr>
            <w:tcW w:type="dxa" w:w="1704"/>
            <w:vAlign w:val="center"/>
          </w:tcPr>
          <w:p>
            <w:r>
              <w:t>Root-cause consistency (N5)</w:t>
            </w:r>
          </w:p>
        </w:tc>
        <w:tc>
          <w:tcPr>
            <w:tcW w:type="dxa" w:w="1704"/>
            <w:vAlign w:val="center"/>
          </w:tcPr>
          <w:p>
            <w:r>
              <w:t>Controlled vocabulary; no free text</w:t>
            </w:r>
          </w:p>
        </w:tc>
        <w:tc>
          <w:tcPr>
            <w:tcW w:type="dxa" w:w="1704"/>
            <w:vAlign w:val="center"/>
          </w:tcPr>
          <w:p>
            <w:r>
              <w:t>FR-05</w:t>
            </w:r>
          </w:p>
        </w:tc>
      </w:tr>
      <w:tr>
        <w:tc>
          <w:tcPr>
            <w:tcW w:type="dxa" w:w="1704"/>
            <w:vAlign w:val="center"/>
          </w:tcPr>
          <w:p>
            <w:r>
              <w:t>DR-05</w:t>
            </w:r>
          </w:p>
        </w:tc>
        <w:tc>
          <w:tcPr>
            <w:tcW w:type="dxa" w:w="1704"/>
            <w:vAlign w:val="center"/>
          </w:tcPr>
          <w:p>
            <w:r>
              <w:t>SOP Document</w:t>
            </w:r>
          </w:p>
        </w:tc>
        <w:tc>
          <w:tcPr>
            <w:tcW w:type="dxa" w:w="1704"/>
            <w:vAlign w:val="center"/>
          </w:tcPr>
          <w:p>
            <w:r>
              <w:t>Document ID, Title, Fault Code Link, Asset Link, Version</w:t>
            </w:r>
          </w:p>
        </w:tc>
        <w:tc>
          <w:tcPr>
            <w:tcW w:type="dxa" w:w="1704"/>
            <w:vAlign w:val="center"/>
          </w:tcPr>
          <w:p>
            <w:r>
              <w:t>Decision support (N4)</w:t>
            </w:r>
          </w:p>
        </w:tc>
        <w:tc>
          <w:tcPr>
            <w:tcW w:type="dxa" w:w="1704"/>
            <w:vAlign w:val="center"/>
          </w:tcPr>
          <w:p>
            <w:r>
              <w:t>Searchable, version-controlled</w:t>
            </w:r>
          </w:p>
        </w:tc>
        <w:tc>
          <w:tcPr>
            <w:tcW w:type="dxa" w:w="1704"/>
            <w:vAlign w:val="center"/>
          </w:tcPr>
          <w:p>
            <w:r>
              <w:t>FR-04</w:t>
            </w:r>
          </w:p>
        </w:tc>
      </w:tr>
      <w:tr>
        <w:tc>
          <w:tcPr>
            <w:tcW w:type="dxa" w:w="1704"/>
            <w:vAlign w:val="center"/>
          </w:tcPr>
          <w:p>
            <w:r>
              <w:t>DR-06</w:t>
            </w:r>
          </w:p>
        </w:tc>
        <w:tc>
          <w:tcPr>
            <w:tcW w:type="dxa" w:w="1704"/>
            <w:vAlign w:val="center"/>
          </w:tcPr>
          <w:p>
            <w:r>
              <w:t>User Master</w:t>
            </w:r>
          </w:p>
        </w:tc>
        <w:tc>
          <w:tcPr>
            <w:tcW w:type="dxa" w:w="1704"/>
            <w:vAlign w:val="center"/>
          </w:tcPr>
          <w:p>
            <w:r>
              <w:t>User ID, Name, Role, Shift, Access Level</w:t>
            </w:r>
          </w:p>
        </w:tc>
        <w:tc>
          <w:tcPr>
            <w:tcW w:type="dxa" w:w="1704"/>
            <w:vAlign w:val="center"/>
          </w:tcPr>
          <w:p>
            <w:r>
              <w:t>Audit and security (NFR-02, NFR-04)</w:t>
            </w:r>
          </w:p>
        </w:tc>
        <w:tc>
          <w:tcPr>
            <w:tcW w:type="dxa" w:w="1704"/>
            <w:vAlign w:val="center"/>
          </w:tcPr>
          <w:p>
            <w:r>
              <w:t>Accurate role assignments</w:t>
            </w:r>
          </w:p>
        </w:tc>
        <w:tc>
          <w:tcPr>
            <w:tcW w:type="dxa" w:w="1704"/>
            <w:vAlign w:val="center"/>
          </w:tcPr>
          <w:p>
            <w:r>
              <w:t>NFR-02</w:t>
            </w:r>
          </w:p>
        </w:tc>
      </w:tr>
      <w:tr>
        <w:tc>
          <w:tcPr>
            <w:tcW w:type="dxa" w:w="1704"/>
            <w:vAlign w:val="center"/>
          </w:tcPr>
          <w:p>
            <w:r>
              <w:t>DR-07</w:t>
            </w:r>
          </w:p>
        </w:tc>
        <w:tc>
          <w:tcPr>
            <w:tcW w:type="dxa" w:w="1704"/>
            <w:vAlign w:val="center"/>
          </w:tcPr>
          <w:p>
            <w:r>
              <w:t>Alert Record</w:t>
            </w:r>
          </w:p>
        </w:tc>
        <w:tc>
          <w:tcPr>
            <w:tcW w:type="dxa" w:w="1704"/>
            <w:vAlign w:val="center"/>
          </w:tcPr>
          <w:p>
            <w:r>
              <w:t>Alert ID, Asset ID, Anomaly Type, Timestamp, Status (Open/Approved/Rejected), Approved By</w:t>
            </w:r>
          </w:p>
        </w:tc>
        <w:tc>
          <w:tcPr>
            <w:tcW w:type="dxa" w:w="1704"/>
            <w:vAlign w:val="center"/>
          </w:tcPr>
          <w:p>
            <w:r>
              <w:t>Predictive maintenance tracking (N3)</w:t>
            </w:r>
          </w:p>
        </w:tc>
        <w:tc>
          <w:tcPr>
            <w:tcW w:type="dxa" w:w="1704"/>
            <w:vAlign w:val="center"/>
          </w:tcPr>
          <w:p>
            <w:r>
              <w:t>Clear status trail; approval metadata</w:t>
            </w:r>
          </w:p>
        </w:tc>
        <w:tc>
          <w:tcPr>
            <w:tcW w:type="dxa" w:w="1704"/>
            <w:vAlign w:val="center"/>
          </w:tcPr>
          <w:p>
            <w:r>
              <w:t>FR-03, FR-07</w:t>
            </w:r>
          </w:p>
        </w:tc>
      </w:tr>
      <w:tr>
        <w:tc>
          <w:tcPr>
            <w:tcW w:type="dxa" w:w="1704"/>
            <w:vAlign w:val="center"/>
          </w:tcPr>
          <w:p>
            <w:r>
              <w:t>DR-08</w:t>
            </w:r>
          </w:p>
        </w:tc>
        <w:tc>
          <w:tcPr>
            <w:tcW w:type="dxa" w:w="1704"/>
            <w:vAlign w:val="center"/>
          </w:tcPr>
          <w:p>
            <w:r>
              <w:t>Dashboard Snapshot</w:t>
            </w:r>
          </w:p>
        </w:tc>
        <w:tc>
          <w:tcPr>
            <w:tcW w:type="dxa" w:w="1704"/>
            <w:vAlign w:val="center"/>
          </w:tcPr>
          <w:p>
            <w:r>
              <w:t>Timestamp, Line ID, Status (Running/Idle/Fault/Changeover), Active Alert Count</w:t>
            </w:r>
          </w:p>
        </w:tc>
        <w:tc>
          <w:tcPr>
            <w:tcW w:type="dxa" w:w="1704"/>
            <w:vAlign w:val="center"/>
          </w:tcPr>
          <w:p>
            <w:r>
              <w:t>Real-time visibility (N6)</w:t>
            </w:r>
          </w:p>
        </w:tc>
        <w:tc>
          <w:tcPr>
            <w:tcW w:type="dxa" w:w="1704"/>
            <w:vAlign w:val="center"/>
          </w:tcPr>
          <w:p>
            <w:r>
              <w:t>Data latency ≤ 5 minutes</w:t>
            </w:r>
          </w:p>
        </w:tc>
        <w:tc>
          <w:tcPr>
            <w:tcW w:type="dxa" w:w="1704"/>
            <w:vAlign w:val="center"/>
          </w:tcPr>
          <w:p>
            <w:r>
              <w:t>FR-06</w:t>
            </w:r>
          </w:p>
        </w:tc>
      </w:tr>
    </w:tbl>
    <w:p/>
    <w:p>
      <w:r>
        <w:t>Defensibility Note:</w:t>
      </w:r>
    </w:p>
    <w:p>
      <w:pPr>
        <w:pStyle w:val="ListBullet"/>
      </w:pPr>
      <w:r>
        <w:t>All data entities support specific business needs and requirements—no data collected “just in case.”</w:t>
      </w:r>
    </w:p>
    <w:p>
      <w:pPr>
        <w:pStyle w:val="ListBullet"/>
      </w:pPr>
      <w:r>
        <w:t>Data quality expectations are business-level (e.g., “consistent fault codes”), not engineering specs (e.g., data types, constraints).</w:t>
      </w:r>
    </w:p>
    <w:p>
      <w:r>
        <w:t>---</w:t>
      </w:r>
    </w:p>
    <w:p>
      <w:pPr>
        <w:pStyle w:val="Heading1"/>
      </w:pPr>
      <w:r>
        <w:t>2. Data Dictionary</w:t>
      </w:r>
    </w:p>
    <w:p>
      <w:r>
        <w:t>Purpose:</w:t>
      </w:r>
    </w:p>
    <w:p>
      <w:r>
        <w:t>To make the operational information model tangible for business users and analysts, without database-level detail.</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2F3"/>
          </w:tcPr>
          <w:p>
            <w:r>
              <w:rPr>
                <w:b/>
              </w:rPr>
              <w:t>EntityAttributeType (Business View)DescriptionExample ValuesMandatory?Validation Rule</w:t>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r>
      <w:tr>
        <w:tc>
          <w:tcPr>
            <w:tcW w:type="dxa" w:w="1461"/>
            <w:vAlign w:val="center"/>
          </w:tcPr>
          <w:p>
            <w:r>
              <w:t>Downtime Event</w:t>
            </w:r>
          </w:p>
        </w:tc>
        <w:tc>
          <w:tcPr>
            <w:tcW w:type="dxa" w:w="1461"/>
            <w:vAlign w:val="center"/>
          </w:tcPr>
          <w:p>
            <w:r>
              <w:t>Timestamp</w:t>
            </w:r>
          </w:p>
        </w:tc>
        <w:tc>
          <w:tcPr>
            <w:tcW w:type="dxa" w:w="1461"/>
            <w:vAlign w:val="center"/>
          </w:tcPr>
          <w:p>
            <w:r>
              <w:t>Date-Time</w:t>
            </w:r>
          </w:p>
        </w:tc>
        <w:tc>
          <w:tcPr>
            <w:tcW w:type="dxa" w:w="1461"/>
            <w:vAlign w:val="center"/>
          </w:tcPr>
          <w:p>
            <w:r>
              <w:t>When the downtime occurred</w:t>
            </w:r>
          </w:p>
        </w:tc>
        <w:tc>
          <w:tcPr>
            <w:tcW w:type="dxa" w:w="1461"/>
            <w:vAlign w:val="center"/>
          </w:tcPr>
          <w:p>
            <w:r>
              <w:t>2026-09-13 14:30</w:t>
            </w:r>
          </w:p>
        </w:tc>
        <w:tc>
          <w:tcPr>
            <w:tcW w:type="dxa" w:w="1461"/>
            <w:vAlign w:val="center"/>
          </w:tcPr>
          <w:p>
            <w:r>
              <w:t>Yes</w:t>
            </w:r>
          </w:p>
        </w:tc>
        <w:tc>
          <w:tcPr>
            <w:tcW w:type="dxa" w:w="1461"/>
            <w:vAlign w:val="center"/>
          </w:tcPr>
          <w:p>
            <w:r>
              <w:t>System auto-captures</w:t>
            </w:r>
          </w:p>
        </w:tc>
      </w:tr>
      <w:tr>
        <w:tc>
          <w:tcPr>
            <w:tcW w:type="dxa" w:w="1461"/>
            <w:vAlign w:val="center"/>
          </w:tcPr>
          <w:p>
            <w:r/>
          </w:p>
        </w:tc>
        <w:tc>
          <w:tcPr>
            <w:tcW w:type="dxa" w:w="1461"/>
            <w:vAlign w:val="center"/>
          </w:tcPr>
          <w:p>
            <w:r>
              <w:t>Line ID</w:t>
            </w:r>
          </w:p>
        </w:tc>
        <w:tc>
          <w:tcPr>
            <w:tcW w:type="dxa" w:w="1461"/>
            <w:vAlign w:val="center"/>
          </w:tcPr>
          <w:p>
            <w:r>
              <w:t>Text</w:t>
            </w:r>
          </w:p>
        </w:tc>
        <w:tc>
          <w:tcPr>
            <w:tcW w:type="dxa" w:w="1461"/>
            <w:vAlign w:val="center"/>
          </w:tcPr>
          <w:p>
            <w:r>
              <w:t>Production line identifier</w:t>
            </w:r>
          </w:p>
        </w:tc>
        <w:tc>
          <w:tcPr>
            <w:tcW w:type="dxa" w:w="1461"/>
            <w:vAlign w:val="center"/>
          </w:tcPr>
          <w:p>
            <w:r>
              <w:t>RFL-01, RFL-02</w:t>
            </w:r>
          </w:p>
        </w:tc>
        <w:tc>
          <w:tcPr>
            <w:tcW w:type="dxa" w:w="1461"/>
            <w:vAlign w:val="center"/>
          </w:tcPr>
          <w:p>
            <w:r>
              <w:t>Yes</w:t>
            </w:r>
          </w:p>
        </w:tc>
        <w:tc>
          <w:tcPr>
            <w:tcW w:type="dxa" w:w="1461"/>
            <w:vAlign w:val="center"/>
          </w:tcPr>
          <w:p>
            <w:r>
              <w:t>From Line Master list</w:t>
            </w:r>
          </w:p>
        </w:tc>
      </w:tr>
      <w:tr>
        <w:tc>
          <w:tcPr>
            <w:tcW w:type="dxa" w:w="1461"/>
            <w:vAlign w:val="center"/>
          </w:tcPr>
          <w:p>
            <w:r/>
          </w:p>
        </w:tc>
        <w:tc>
          <w:tcPr>
            <w:tcW w:type="dxa" w:w="1461"/>
            <w:vAlign w:val="center"/>
          </w:tcPr>
          <w:p>
            <w:r>
              <w:t>Asset ID</w:t>
            </w:r>
          </w:p>
        </w:tc>
        <w:tc>
          <w:tcPr>
            <w:tcW w:type="dxa" w:w="1461"/>
            <w:vAlign w:val="center"/>
          </w:tcPr>
          <w:p>
            <w:r>
              <w:t>Text</w:t>
            </w:r>
          </w:p>
        </w:tc>
        <w:tc>
          <w:tcPr>
            <w:tcW w:type="dxa" w:w="1461"/>
            <w:vAlign w:val="center"/>
          </w:tcPr>
          <w:p>
            <w:r>
              <w:t>Machine/asset identifier</w:t>
            </w:r>
          </w:p>
        </w:tc>
        <w:tc>
          <w:tcPr>
            <w:tcW w:type="dxa" w:w="1461"/>
            <w:vAlign w:val="center"/>
          </w:tcPr>
          <w:p>
            <w:r>
              <w:t>MCH-101, DIE-205</w:t>
            </w:r>
          </w:p>
        </w:tc>
        <w:tc>
          <w:tcPr>
            <w:tcW w:type="dxa" w:w="1461"/>
            <w:vAlign w:val="center"/>
          </w:tcPr>
          <w:p>
            <w:r>
              <w:t>Yes</w:t>
            </w:r>
          </w:p>
        </w:tc>
        <w:tc>
          <w:tcPr>
            <w:tcW w:type="dxa" w:w="1461"/>
            <w:vAlign w:val="center"/>
          </w:tcPr>
          <w:p>
            <w:r>
              <w:t>From Asset Master list</w:t>
            </w:r>
          </w:p>
        </w:tc>
      </w:tr>
      <w:tr>
        <w:tc>
          <w:tcPr>
            <w:tcW w:type="dxa" w:w="1461"/>
            <w:vAlign w:val="center"/>
          </w:tcPr>
          <w:p>
            <w:r/>
          </w:p>
        </w:tc>
        <w:tc>
          <w:tcPr>
            <w:tcW w:type="dxa" w:w="1461"/>
            <w:vAlign w:val="center"/>
          </w:tcPr>
          <w:p>
            <w:r>
              <w:t>Fault Code</w:t>
            </w:r>
          </w:p>
        </w:tc>
        <w:tc>
          <w:tcPr>
            <w:tcW w:type="dxa" w:w="1461"/>
            <w:vAlign w:val="center"/>
          </w:tcPr>
          <w:p>
            <w:r>
              <w:t>Text</w:t>
            </w:r>
          </w:p>
        </w:tc>
        <w:tc>
          <w:tcPr>
            <w:tcW w:type="dxa" w:w="1461"/>
            <w:vAlign w:val="center"/>
          </w:tcPr>
          <w:p>
            <w:r>
              <w:t>Standardized fault identifier</w:t>
            </w:r>
          </w:p>
        </w:tc>
        <w:tc>
          <w:tcPr>
            <w:tcW w:type="dxa" w:w="1461"/>
            <w:vAlign w:val="center"/>
          </w:tcPr>
          <w:p>
            <w:r>
              <w:t>F-001 (Motor Overheat), F-012 (Die Misalign)</w:t>
            </w:r>
          </w:p>
        </w:tc>
        <w:tc>
          <w:tcPr>
            <w:tcW w:type="dxa" w:w="1461"/>
            <w:vAlign w:val="center"/>
          </w:tcPr>
          <w:p>
            <w:r>
              <w:t>Yes</w:t>
            </w:r>
          </w:p>
        </w:tc>
        <w:tc>
          <w:tcPr>
            <w:tcW w:type="dxa" w:w="1461"/>
            <w:vAlign w:val="center"/>
          </w:tcPr>
          <w:p>
            <w:r>
              <w:t>From Fault Taxonomy only</w:t>
            </w:r>
          </w:p>
        </w:tc>
      </w:tr>
      <w:tr>
        <w:tc>
          <w:tcPr>
            <w:tcW w:type="dxa" w:w="1461"/>
            <w:vAlign w:val="center"/>
          </w:tcPr>
          <w:p>
            <w:r/>
          </w:p>
        </w:tc>
        <w:tc>
          <w:tcPr>
            <w:tcW w:type="dxa" w:w="1461"/>
            <w:vAlign w:val="center"/>
          </w:tcPr>
          <w:p>
            <w:r>
              <w:t>Logged By</w:t>
            </w:r>
          </w:p>
        </w:tc>
        <w:tc>
          <w:tcPr>
            <w:tcW w:type="dxa" w:w="1461"/>
            <w:vAlign w:val="center"/>
          </w:tcPr>
          <w:p>
            <w:r>
              <w:t>Text</w:t>
            </w:r>
          </w:p>
        </w:tc>
        <w:tc>
          <w:tcPr>
            <w:tcW w:type="dxa" w:w="1461"/>
            <w:vAlign w:val="center"/>
          </w:tcPr>
          <w:p>
            <w:r>
              <w:t>User who logged the event</w:t>
            </w:r>
          </w:p>
        </w:tc>
        <w:tc>
          <w:tcPr>
            <w:tcW w:type="dxa" w:w="1461"/>
            <w:vAlign w:val="center"/>
          </w:tcPr>
          <w:p>
            <w:r>
              <w:t>USR-045 (Shift Supervisor A)</w:t>
            </w:r>
          </w:p>
        </w:tc>
        <w:tc>
          <w:tcPr>
            <w:tcW w:type="dxa" w:w="1461"/>
            <w:vAlign w:val="center"/>
          </w:tcPr>
          <w:p>
            <w:r>
              <w:t>Yes</w:t>
            </w:r>
          </w:p>
        </w:tc>
        <w:tc>
          <w:tcPr>
            <w:tcW w:type="dxa" w:w="1461"/>
            <w:vAlign w:val="center"/>
          </w:tcPr>
          <w:p>
            <w:r>
              <w:t>From User Master (SSO)</w:t>
            </w:r>
          </w:p>
        </w:tc>
      </w:tr>
      <w:tr>
        <w:tc>
          <w:tcPr>
            <w:tcW w:type="dxa" w:w="1461"/>
            <w:vAlign w:val="center"/>
          </w:tcPr>
          <w:p>
            <w:r>
              <w:t>Changeover Record</w:t>
            </w:r>
          </w:p>
        </w:tc>
        <w:tc>
          <w:tcPr>
            <w:tcW w:type="dxa" w:w="1461"/>
            <w:vAlign w:val="center"/>
          </w:tcPr>
          <w:p>
            <w:r>
              <w:t>Start Time</w:t>
            </w:r>
          </w:p>
        </w:tc>
        <w:tc>
          <w:tcPr>
            <w:tcW w:type="dxa" w:w="1461"/>
            <w:vAlign w:val="center"/>
          </w:tcPr>
          <w:p>
            <w:r>
              <w:t>Date-Time</w:t>
            </w:r>
          </w:p>
        </w:tc>
        <w:tc>
          <w:tcPr>
            <w:tcW w:type="dxa" w:w="1461"/>
            <w:vAlign w:val="center"/>
          </w:tcPr>
          <w:p>
            <w:r>
              <w:t>When changeover began</w:t>
            </w:r>
          </w:p>
        </w:tc>
        <w:tc>
          <w:tcPr>
            <w:tcW w:type="dxa" w:w="1461"/>
            <w:vAlign w:val="center"/>
          </w:tcPr>
          <w:p>
            <w:r>
              <w:t>2026-09-13 08:00</w:t>
            </w:r>
          </w:p>
        </w:tc>
        <w:tc>
          <w:tcPr>
            <w:tcW w:type="dxa" w:w="1461"/>
            <w:vAlign w:val="center"/>
          </w:tcPr>
          <w:p>
            <w:r>
              <w:t>Yes</w:t>
            </w:r>
          </w:p>
        </w:tc>
        <w:tc>
          <w:tcPr>
            <w:tcW w:type="dxa" w:w="1461"/>
            <w:vAlign w:val="center"/>
          </w:tcPr>
          <w:p>
            <w:r>
              <w:t>User clicks “Start”</w:t>
            </w:r>
          </w:p>
        </w:tc>
      </w:tr>
      <w:tr>
        <w:tc>
          <w:tcPr>
            <w:tcW w:type="dxa" w:w="1461"/>
            <w:vAlign w:val="center"/>
          </w:tcPr>
          <w:p>
            <w:r/>
          </w:p>
        </w:tc>
        <w:tc>
          <w:tcPr>
            <w:tcW w:type="dxa" w:w="1461"/>
            <w:vAlign w:val="center"/>
          </w:tcPr>
          <w:p>
            <w:r>
              <w:t>End Time</w:t>
            </w:r>
          </w:p>
        </w:tc>
        <w:tc>
          <w:tcPr>
            <w:tcW w:type="dxa" w:w="1461"/>
            <w:vAlign w:val="center"/>
          </w:tcPr>
          <w:p>
            <w:r>
              <w:t>Date-Time</w:t>
            </w:r>
          </w:p>
        </w:tc>
        <w:tc>
          <w:tcPr>
            <w:tcW w:type="dxa" w:w="1461"/>
            <w:vAlign w:val="center"/>
          </w:tcPr>
          <w:p>
            <w:r>
              <w:t>When changeover completed</w:t>
            </w:r>
          </w:p>
        </w:tc>
        <w:tc>
          <w:tcPr>
            <w:tcW w:type="dxa" w:w="1461"/>
            <w:vAlign w:val="center"/>
          </w:tcPr>
          <w:p>
            <w:r>
              <w:t>2026-09-13 08:45</w:t>
            </w:r>
          </w:p>
        </w:tc>
        <w:tc>
          <w:tcPr>
            <w:tcW w:type="dxa" w:w="1461"/>
            <w:vAlign w:val="center"/>
          </w:tcPr>
          <w:p>
            <w:r>
              <w:t>Yes</w:t>
            </w:r>
          </w:p>
        </w:tc>
        <w:tc>
          <w:tcPr>
            <w:tcW w:type="dxa" w:w="1461"/>
            <w:vAlign w:val="center"/>
          </w:tcPr>
          <w:p>
            <w:r>
              <w:t>User clicks “End”</w:t>
            </w:r>
          </w:p>
        </w:tc>
      </w:tr>
      <w:tr>
        <w:tc>
          <w:tcPr>
            <w:tcW w:type="dxa" w:w="1461"/>
            <w:vAlign w:val="center"/>
          </w:tcPr>
          <w:p>
            <w:r/>
          </w:p>
        </w:tc>
        <w:tc>
          <w:tcPr>
            <w:tcW w:type="dxa" w:w="1461"/>
            <w:vAlign w:val="center"/>
          </w:tcPr>
          <w:p>
            <w:r>
              <w:t>Reason Code</w:t>
            </w:r>
          </w:p>
        </w:tc>
        <w:tc>
          <w:tcPr>
            <w:tcW w:type="dxa" w:w="1461"/>
            <w:vAlign w:val="center"/>
          </w:tcPr>
          <w:p>
            <w:r>
              <w:t>Text</w:t>
            </w:r>
          </w:p>
        </w:tc>
        <w:tc>
          <w:tcPr>
            <w:tcW w:type="dxa" w:w="1461"/>
            <w:vAlign w:val="center"/>
          </w:tcPr>
          <w:p>
            <w:r>
              <w:t>Why changeover was needed</w:t>
            </w:r>
          </w:p>
        </w:tc>
        <w:tc>
          <w:tcPr>
            <w:tcW w:type="dxa" w:w="1461"/>
            <w:vAlign w:val="center"/>
          </w:tcPr>
          <w:p>
            <w:r>
              <w:t>R-001 (Product Change), R-003 (Die Swap)</w:t>
            </w:r>
          </w:p>
        </w:tc>
        <w:tc>
          <w:tcPr>
            <w:tcW w:type="dxa" w:w="1461"/>
            <w:vAlign w:val="center"/>
          </w:tcPr>
          <w:p>
            <w:r>
              <w:t>Yes</w:t>
            </w:r>
          </w:p>
        </w:tc>
        <w:tc>
          <w:tcPr>
            <w:tcW w:type="dxa" w:w="1461"/>
            <w:vAlign w:val="center"/>
          </w:tcPr>
          <w:p>
            <w:r>
              <w:t>From Reason Taxonomy</w:t>
            </w:r>
          </w:p>
        </w:tc>
      </w:tr>
      <w:tr>
        <w:tc>
          <w:tcPr>
            <w:tcW w:type="dxa" w:w="1461"/>
            <w:vAlign w:val="center"/>
          </w:tcPr>
          <w:p>
            <w:r>
              <w:t>Fault Taxonomy</w:t>
            </w:r>
          </w:p>
        </w:tc>
        <w:tc>
          <w:tcPr>
            <w:tcW w:type="dxa" w:w="1461"/>
            <w:vAlign w:val="center"/>
          </w:tcPr>
          <w:p>
            <w:r>
              <w:t>Fault Code</w:t>
            </w:r>
          </w:p>
        </w:tc>
        <w:tc>
          <w:tcPr>
            <w:tcW w:type="dxa" w:w="1461"/>
            <w:vAlign w:val="center"/>
          </w:tcPr>
          <w:p>
            <w:r>
              <w:t>Text</w:t>
            </w:r>
          </w:p>
        </w:tc>
        <w:tc>
          <w:tcPr>
            <w:tcW w:type="dxa" w:w="1461"/>
            <w:vAlign w:val="center"/>
          </w:tcPr>
          <w:p>
            <w:r>
              <w:t>Unique identifier for fault type</w:t>
            </w:r>
          </w:p>
        </w:tc>
        <w:tc>
          <w:tcPr>
            <w:tcW w:type="dxa" w:w="1461"/>
            <w:vAlign w:val="center"/>
          </w:tcPr>
          <w:p>
            <w:r>
              <w:t>F-001, F-012</w:t>
            </w:r>
          </w:p>
        </w:tc>
        <w:tc>
          <w:tcPr>
            <w:tcW w:type="dxa" w:w="1461"/>
            <w:vAlign w:val="center"/>
          </w:tcPr>
          <w:p>
            <w:r>
              <w:t>Yes</w:t>
            </w:r>
          </w:p>
        </w:tc>
        <w:tc>
          <w:tcPr>
            <w:tcW w:type="dxa" w:w="1461"/>
            <w:vAlign w:val="center"/>
          </w:tcPr>
          <w:p>
            <w:r>
              <w:t>System-controlled</w:t>
            </w:r>
          </w:p>
        </w:tc>
      </w:tr>
      <w:tr>
        <w:tc>
          <w:tcPr>
            <w:tcW w:type="dxa" w:w="1461"/>
            <w:vAlign w:val="center"/>
          </w:tcPr>
          <w:p>
            <w:r/>
          </w:p>
        </w:tc>
        <w:tc>
          <w:tcPr>
            <w:tcW w:type="dxa" w:w="1461"/>
            <w:vAlign w:val="center"/>
          </w:tcPr>
          <w:p>
            <w:r>
              <w:t>Description</w:t>
            </w:r>
          </w:p>
        </w:tc>
        <w:tc>
          <w:tcPr>
            <w:tcW w:type="dxa" w:w="1461"/>
            <w:vAlign w:val="center"/>
          </w:tcPr>
          <w:p>
            <w:r>
              <w:t>Text</w:t>
            </w:r>
          </w:p>
        </w:tc>
        <w:tc>
          <w:tcPr>
            <w:tcW w:type="dxa" w:w="1461"/>
            <w:vAlign w:val="center"/>
          </w:tcPr>
          <w:p>
            <w:r>
              <w:t>Human-readable fault name</w:t>
            </w:r>
          </w:p>
        </w:tc>
        <w:tc>
          <w:tcPr>
            <w:tcW w:type="dxa" w:w="1461"/>
            <w:vAlign w:val="center"/>
          </w:tcPr>
          <w:p>
            <w:r>
              <w:t>“Motor Overheat”, “Die Misalignment”</w:t>
            </w:r>
          </w:p>
        </w:tc>
        <w:tc>
          <w:tcPr>
            <w:tcW w:type="dxa" w:w="1461"/>
            <w:vAlign w:val="center"/>
          </w:tcPr>
          <w:p>
            <w:r>
              <w:t>Yes</w:t>
            </w:r>
          </w:p>
        </w:tc>
        <w:tc>
          <w:tcPr>
            <w:tcW w:type="dxa" w:w="1461"/>
            <w:vAlign w:val="center"/>
          </w:tcPr>
          <w:p>
            <w:r>
              <w:t>Max 100 chars</w:t>
            </w:r>
          </w:p>
        </w:tc>
      </w:tr>
      <w:tr>
        <w:tc>
          <w:tcPr>
            <w:tcW w:type="dxa" w:w="1461"/>
            <w:vAlign w:val="center"/>
          </w:tcPr>
          <w:p>
            <w:r/>
          </w:p>
        </w:tc>
        <w:tc>
          <w:tcPr>
            <w:tcW w:type="dxa" w:w="1461"/>
            <w:vAlign w:val="center"/>
          </w:tcPr>
          <w:p>
            <w:r>
              <w:t>Category</w:t>
            </w:r>
          </w:p>
        </w:tc>
        <w:tc>
          <w:tcPr>
            <w:tcW w:type="dxa" w:w="1461"/>
            <w:vAlign w:val="center"/>
          </w:tcPr>
          <w:p>
            <w:r>
              <w:t>Text</w:t>
            </w:r>
          </w:p>
        </w:tc>
        <w:tc>
          <w:tcPr>
            <w:tcW w:type="dxa" w:w="1461"/>
            <w:vAlign w:val="center"/>
          </w:tcPr>
          <w:p>
            <w:r>
              <w:t>High-level fault category</w:t>
            </w:r>
          </w:p>
        </w:tc>
        <w:tc>
          <w:tcPr>
            <w:tcW w:type="dxa" w:w="1461"/>
            <w:vAlign w:val="center"/>
          </w:tcPr>
          <w:p>
            <w:r>
              <w:t>Mechanical, Electrical, Quality</w:t>
            </w:r>
          </w:p>
        </w:tc>
        <w:tc>
          <w:tcPr>
            <w:tcW w:type="dxa" w:w="1461"/>
            <w:vAlign w:val="center"/>
          </w:tcPr>
          <w:p>
            <w:r>
              <w:t>Yes</w:t>
            </w:r>
          </w:p>
        </w:tc>
        <w:tc>
          <w:tcPr>
            <w:tcW w:type="dxa" w:w="1461"/>
            <w:vAlign w:val="center"/>
          </w:tcPr>
          <w:p>
            <w:r>
              <w:t>From fixed list</w:t>
            </w:r>
          </w:p>
        </w:tc>
      </w:tr>
      <w:tr>
        <w:tc>
          <w:tcPr>
            <w:tcW w:type="dxa" w:w="1461"/>
            <w:vAlign w:val="center"/>
          </w:tcPr>
          <w:p>
            <w:r>
              <w:t>Alert Record</w:t>
            </w:r>
          </w:p>
        </w:tc>
        <w:tc>
          <w:tcPr>
            <w:tcW w:type="dxa" w:w="1461"/>
            <w:vAlign w:val="center"/>
          </w:tcPr>
          <w:p>
            <w:r>
              <w:t>Anomaly Type</w:t>
            </w:r>
          </w:p>
        </w:tc>
        <w:tc>
          <w:tcPr>
            <w:tcW w:type="dxa" w:w="1461"/>
            <w:vAlign w:val="center"/>
          </w:tcPr>
          <w:p>
            <w:r>
              <w:t>Text</w:t>
            </w:r>
          </w:p>
        </w:tc>
        <w:tc>
          <w:tcPr>
            <w:tcW w:type="dxa" w:w="1461"/>
            <w:vAlign w:val="center"/>
          </w:tcPr>
          <w:p>
            <w:r>
              <w:t>Type of anomaly detected</w:t>
            </w:r>
          </w:p>
        </w:tc>
        <w:tc>
          <w:tcPr>
            <w:tcW w:type="dxa" w:w="1461"/>
            <w:vAlign w:val="center"/>
          </w:tcPr>
          <w:p>
            <w:r>
              <w:t>Vibration Spike, Temp Deviation</w:t>
            </w:r>
          </w:p>
        </w:tc>
        <w:tc>
          <w:tcPr>
            <w:tcW w:type="dxa" w:w="1461"/>
            <w:vAlign w:val="center"/>
          </w:tcPr>
          <w:p>
            <w:r>
              <w:t>Yes</w:t>
            </w:r>
          </w:p>
        </w:tc>
        <w:tc>
          <w:tcPr>
            <w:tcW w:type="dxa" w:w="1461"/>
            <w:vAlign w:val="center"/>
          </w:tcPr>
          <w:p>
            <w:r>
              <w:t>From Anomaly Taxonomy</w:t>
            </w:r>
          </w:p>
        </w:tc>
      </w:tr>
      <w:tr>
        <w:tc>
          <w:tcPr>
            <w:tcW w:type="dxa" w:w="1461"/>
            <w:vAlign w:val="center"/>
          </w:tcPr>
          <w:p>
            <w:r/>
          </w:p>
        </w:tc>
        <w:tc>
          <w:tcPr>
            <w:tcW w:type="dxa" w:w="1461"/>
            <w:vAlign w:val="center"/>
          </w:tcPr>
          <w:p>
            <w:r>
              <w:t>Status</w:t>
            </w:r>
          </w:p>
        </w:tc>
        <w:tc>
          <w:tcPr>
            <w:tcW w:type="dxa" w:w="1461"/>
            <w:vAlign w:val="center"/>
          </w:tcPr>
          <w:p>
            <w:r>
              <w:t>Text</w:t>
            </w:r>
          </w:p>
        </w:tc>
        <w:tc>
          <w:tcPr>
            <w:tcW w:type="dxa" w:w="1461"/>
            <w:vAlign w:val="center"/>
          </w:tcPr>
          <w:p>
            <w:r>
              <w:t>Current state of alert</w:t>
            </w:r>
          </w:p>
        </w:tc>
        <w:tc>
          <w:tcPr>
            <w:tcW w:type="dxa" w:w="1461"/>
            <w:vAlign w:val="center"/>
          </w:tcPr>
          <w:p>
            <w:r>
              <w:t>Open, Approved, Rejected</w:t>
            </w:r>
          </w:p>
        </w:tc>
        <w:tc>
          <w:tcPr>
            <w:tcW w:type="dxa" w:w="1461"/>
            <w:vAlign w:val="center"/>
          </w:tcPr>
          <w:p>
            <w:r>
              <w:t>Yes</w:t>
            </w:r>
          </w:p>
        </w:tc>
        <w:tc>
          <w:tcPr>
            <w:tcW w:type="dxa" w:w="1461"/>
            <w:vAlign w:val="center"/>
          </w:tcPr>
          <w:p>
            <w:r>
              <w:t>System-managed workflow</w:t>
            </w:r>
          </w:p>
        </w:tc>
      </w:tr>
      <w:tr>
        <w:tc>
          <w:tcPr>
            <w:tcW w:type="dxa" w:w="1461"/>
            <w:vAlign w:val="center"/>
          </w:tcPr>
          <w:p>
            <w:r/>
          </w:p>
        </w:tc>
        <w:tc>
          <w:tcPr>
            <w:tcW w:type="dxa" w:w="1461"/>
            <w:vAlign w:val="center"/>
          </w:tcPr>
          <w:p>
            <w:r>
              <w:t>Approved By</w:t>
            </w:r>
          </w:p>
        </w:tc>
        <w:tc>
          <w:tcPr>
            <w:tcW w:type="dxa" w:w="1461"/>
            <w:vAlign w:val="center"/>
          </w:tcPr>
          <w:p>
            <w:r>
              <w:t>Text</w:t>
            </w:r>
          </w:p>
        </w:tc>
        <w:tc>
          <w:tcPr>
            <w:tcW w:type="dxa" w:w="1461"/>
            <w:vAlign w:val="center"/>
          </w:tcPr>
          <w:p>
            <w:r>
              <w:t>User who approved/rejected</w:t>
            </w:r>
          </w:p>
        </w:tc>
        <w:tc>
          <w:tcPr>
            <w:tcW w:type="dxa" w:w="1461"/>
            <w:vAlign w:val="center"/>
          </w:tcPr>
          <w:p>
            <w:r>
              <w:t>USR-022 (Maintenance Lead)</w:t>
            </w:r>
          </w:p>
        </w:tc>
        <w:tc>
          <w:tcPr>
            <w:tcW w:type="dxa" w:w="1461"/>
            <w:vAlign w:val="center"/>
          </w:tcPr>
          <w:p>
            <w:r>
              <w:t>Conditional</w:t>
            </w:r>
          </w:p>
        </w:tc>
        <w:tc>
          <w:tcPr>
            <w:tcW w:type="dxa" w:w="1461"/>
            <w:vAlign w:val="center"/>
          </w:tcPr>
          <w:p>
            <w:r>
              <w:t>Required if status = Approved/Rejected</w:t>
            </w:r>
          </w:p>
        </w:tc>
      </w:tr>
    </w:tbl>
    <w:p/>
    <w:p>
      <w:r>
        <w:t>Dictionary Principles:</w:t>
      </w:r>
    </w:p>
    <w:p>
      <w:pPr>
        <w:pStyle w:val="ListBullet"/>
      </w:pPr>
      <w:r>
        <w:t>Attributes are defined at business usability level, not database schema level.</w:t>
      </w:r>
    </w:p>
    <w:p>
      <w:pPr>
        <w:pStyle w:val="ListBullet"/>
      </w:pPr>
      <w:r>
        <w:t>Validation rules are process controls (e.g., “From Fault Taxonomy only”), not SQL constraints.</w:t>
      </w:r>
    </w:p>
    <w:p>
      <w:pPr>
        <w:pStyle w:val="ListBullet"/>
      </w:pPr>
      <w:r>
        <w:t>All entities trace to requirements (FRs, NFRs) and business needs (N1–N6).</w:t>
      </w:r>
    </w:p>
    <w:p>
      <w:r>
        <w:t>---</w:t>
      </w:r>
    </w:p>
    <w:p>
      <w:pPr>
        <w:pStyle w:val="Heading1"/>
      </w:pPr>
      <w:r>
        <w:t>3. KPI Definitions (Consolidated from 05. Product Management)</w:t>
      </w:r>
    </w:p>
    <w:p>
      <w:r>
        <w:t>Purpose:</w:t>
      </w:r>
    </w:p>
    <w:p>
      <w:r>
        <w:t>To formally define KPIs with formula, data source, and ownership—aligned with 05. Product Management but extended for information governance.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2F3"/>
          </w:tcPr>
          <w:p>
            <w:r>
              <w:rPr>
                <w:b/>
              </w:rPr>
              <w:t>KPI IDKPI NameFormulaData SourceFrequencyOwner (Business Role)Linked Business Need</w:t>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r>
      <w:tr>
        <w:tc>
          <w:tcPr>
            <w:tcW w:type="dxa" w:w="1461"/>
            <w:vAlign w:val="center"/>
          </w:tcPr>
          <w:p>
            <w:r>
              <w:t>KPI-01</w:t>
            </w:r>
          </w:p>
        </w:tc>
        <w:tc>
          <w:tcPr>
            <w:tcW w:type="dxa" w:w="1461"/>
            <w:vAlign w:val="center"/>
          </w:tcPr>
          <w:p>
            <w:r>
              <w:t>Downtime Logging Compliance</w:t>
            </w:r>
          </w:p>
        </w:tc>
        <w:tc>
          <w:tcPr>
            <w:tcW w:type="dxa" w:w="1461"/>
            <w:vAlign w:val="center"/>
          </w:tcPr>
          <w:p>
            <w:r>
              <w:t>(Events with valid fault code / Total events) × 100</w:t>
            </w:r>
          </w:p>
        </w:tc>
        <w:tc>
          <w:tcPr>
            <w:tcW w:type="dxa" w:w="1461"/>
            <w:vAlign w:val="center"/>
          </w:tcPr>
          <w:p>
            <w:r>
              <w:t>Downtime Event entity</w:t>
            </w:r>
          </w:p>
        </w:tc>
        <w:tc>
          <w:tcPr>
            <w:tcW w:type="dxa" w:w="1461"/>
            <w:vAlign w:val="center"/>
          </w:tcPr>
          <w:p>
            <w:r>
              <w:t>Daily</w:t>
            </w:r>
          </w:p>
        </w:tc>
        <w:tc>
          <w:tcPr>
            <w:tcW w:type="dxa" w:w="1461"/>
            <w:vAlign w:val="center"/>
          </w:tcPr>
          <w:p>
            <w:r>
              <w:t>Plant Manager</w:t>
            </w:r>
          </w:p>
        </w:tc>
        <w:tc>
          <w:tcPr>
            <w:tcW w:type="dxa" w:w="1461"/>
            <w:vAlign w:val="center"/>
          </w:tcPr>
          <w:p>
            <w:r>
              <w:t>N1</w:t>
            </w:r>
          </w:p>
        </w:tc>
      </w:tr>
      <w:tr>
        <w:tc>
          <w:tcPr>
            <w:tcW w:type="dxa" w:w="1461"/>
            <w:vAlign w:val="center"/>
          </w:tcPr>
          <w:p>
            <w:r>
              <w:t>KPI-02</w:t>
            </w:r>
          </w:p>
        </w:tc>
        <w:tc>
          <w:tcPr>
            <w:tcW w:type="dxa" w:w="1461"/>
            <w:vAlign w:val="center"/>
          </w:tcPr>
          <w:p>
            <w:r>
              <w:t>Avg Changeover Duration</w:t>
            </w:r>
          </w:p>
        </w:tc>
        <w:tc>
          <w:tcPr>
            <w:tcW w:type="dxa" w:w="1461"/>
            <w:vAlign w:val="center"/>
          </w:tcPr>
          <w:p>
            <w:r>
              <w:t>Total changeover time / Number of changeovers</w:t>
            </w:r>
          </w:p>
        </w:tc>
        <w:tc>
          <w:tcPr>
            <w:tcW w:type="dxa" w:w="1461"/>
            <w:vAlign w:val="center"/>
          </w:tcPr>
          <w:p>
            <w:r>
              <w:t>Changeover Record entity</w:t>
            </w:r>
          </w:p>
        </w:tc>
        <w:tc>
          <w:tcPr>
            <w:tcW w:type="dxa" w:w="1461"/>
            <w:vAlign w:val="center"/>
          </w:tcPr>
          <w:p>
            <w:r>
              <w:t>Weekly</w:t>
            </w:r>
          </w:p>
        </w:tc>
        <w:tc>
          <w:tcPr>
            <w:tcW w:type="dxa" w:w="1461"/>
            <w:vAlign w:val="center"/>
          </w:tcPr>
          <w:p>
            <w:r>
              <w:t>Operations Manager</w:t>
            </w:r>
          </w:p>
        </w:tc>
        <w:tc>
          <w:tcPr>
            <w:tcW w:type="dxa" w:w="1461"/>
            <w:vAlign w:val="center"/>
          </w:tcPr>
          <w:p>
            <w:r>
              <w:t>N2</w:t>
            </w:r>
          </w:p>
        </w:tc>
      </w:tr>
      <w:tr>
        <w:tc>
          <w:tcPr>
            <w:tcW w:type="dxa" w:w="1461"/>
            <w:vAlign w:val="center"/>
          </w:tcPr>
          <w:p>
            <w:r>
              <w:t>KPI-03</w:t>
            </w:r>
          </w:p>
        </w:tc>
        <w:tc>
          <w:tcPr>
            <w:tcW w:type="dxa" w:w="1461"/>
            <w:vAlign w:val="center"/>
          </w:tcPr>
          <w:p>
            <w:r>
              <w:t>Alert Approval Timeliness</w:t>
            </w:r>
          </w:p>
        </w:tc>
        <w:tc>
          <w:tcPr>
            <w:tcW w:type="dxa" w:w="1461"/>
            <w:vAlign w:val="center"/>
          </w:tcPr>
          <w:p>
            <w:r>
              <w:t>(Alerts approved within 15 min / Total alerts) × 100</w:t>
            </w:r>
          </w:p>
        </w:tc>
        <w:tc>
          <w:tcPr>
            <w:tcW w:type="dxa" w:w="1461"/>
            <w:vAlign w:val="center"/>
          </w:tcPr>
          <w:p>
            <w:r>
              <w:t>Alert Record entity</w:t>
            </w:r>
          </w:p>
        </w:tc>
        <w:tc>
          <w:tcPr>
            <w:tcW w:type="dxa" w:w="1461"/>
            <w:vAlign w:val="center"/>
          </w:tcPr>
          <w:p>
            <w:r>
              <w:t>Daily (Phase 3+)</w:t>
            </w:r>
          </w:p>
        </w:tc>
        <w:tc>
          <w:tcPr>
            <w:tcW w:type="dxa" w:w="1461"/>
            <w:vAlign w:val="center"/>
          </w:tcPr>
          <w:p>
            <w:r>
              <w:t>Maintenance Lead</w:t>
            </w:r>
          </w:p>
        </w:tc>
        <w:tc>
          <w:tcPr>
            <w:tcW w:type="dxa" w:w="1461"/>
            <w:vAlign w:val="center"/>
          </w:tcPr>
          <w:p>
            <w:r>
              <w:t>N3</w:t>
            </w:r>
          </w:p>
        </w:tc>
      </w:tr>
      <w:tr>
        <w:tc>
          <w:tcPr>
            <w:tcW w:type="dxa" w:w="1461"/>
            <w:vAlign w:val="center"/>
          </w:tcPr>
          <w:p>
            <w:r>
              <w:t>KPI-04</w:t>
            </w:r>
          </w:p>
        </w:tc>
        <w:tc>
          <w:tcPr>
            <w:tcW w:type="dxa" w:w="1461"/>
            <w:vAlign w:val="center"/>
          </w:tcPr>
          <w:p>
            <w:r>
              <w:t>SOP Retrieval Time</w:t>
            </w:r>
          </w:p>
        </w:tc>
        <w:tc>
          <w:tcPr>
            <w:tcW w:type="dxa" w:w="1461"/>
            <w:vAlign w:val="center"/>
          </w:tcPr>
          <w:p>
            <w:r>
              <w:t>Avg time from fault log to SOP view</w:t>
            </w:r>
          </w:p>
        </w:tc>
        <w:tc>
          <w:tcPr>
            <w:tcW w:type="dxa" w:w="1461"/>
            <w:vAlign w:val="center"/>
          </w:tcPr>
          <w:p>
            <w:r>
              <w:t>SOP access logs</w:t>
            </w:r>
          </w:p>
        </w:tc>
        <w:tc>
          <w:tcPr>
            <w:tcW w:type="dxa" w:w="1461"/>
            <w:vAlign w:val="center"/>
          </w:tcPr>
          <w:p>
            <w:r>
              <w:t>Weekly</w:t>
            </w:r>
          </w:p>
        </w:tc>
        <w:tc>
          <w:tcPr>
            <w:tcW w:type="dxa" w:w="1461"/>
            <w:vAlign w:val="center"/>
          </w:tcPr>
          <w:p>
            <w:r>
              <w:t>Quality Manager</w:t>
            </w:r>
          </w:p>
        </w:tc>
        <w:tc>
          <w:tcPr>
            <w:tcW w:type="dxa" w:w="1461"/>
            <w:vAlign w:val="center"/>
          </w:tcPr>
          <w:p>
            <w:r>
              <w:t>N4</w:t>
            </w:r>
          </w:p>
        </w:tc>
      </w:tr>
      <w:tr>
        <w:tc>
          <w:tcPr>
            <w:tcW w:type="dxa" w:w="1461"/>
            <w:vAlign w:val="center"/>
          </w:tcPr>
          <w:p>
            <w:r>
              <w:t>KPI-05</w:t>
            </w:r>
          </w:p>
        </w:tc>
        <w:tc>
          <w:tcPr>
            <w:tcW w:type="dxa" w:w="1461"/>
            <w:vAlign w:val="center"/>
          </w:tcPr>
          <w:p>
            <w:r>
              <w:t>Fault Taxonomy Compliance</w:t>
            </w:r>
          </w:p>
        </w:tc>
        <w:tc>
          <w:tcPr>
            <w:tcW w:type="dxa" w:w="1461"/>
            <w:vAlign w:val="center"/>
          </w:tcPr>
          <w:p>
            <w:r>
              <w:t>(Faults with valid code / Total faults) × 100</w:t>
            </w:r>
          </w:p>
        </w:tc>
        <w:tc>
          <w:tcPr>
            <w:tcW w:type="dxa" w:w="1461"/>
            <w:vAlign w:val="center"/>
          </w:tcPr>
          <w:p>
            <w:r>
              <w:t>Downtime Event entity</w:t>
            </w:r>
          </w:p>
        </w:tc>
        <w:tc>
          <w:tcPr>
            <w:tcW w:type="dxa" w:w="1461"/>
            <w:vAlign w:val="center"/>
          </w:tcPr>
          <w:p>
            <w:r>
              <w:t>Daily</w:t>
            </w:r>
          </w:p>
        </w:tc>
        <w:tc>
          <w:tcPr>
            <w:tcW w:type="dxa" w:w="1461"/>
            <w:vAlign w:val="center"/>
          </w:tcPr>
          <w:p>
            <w:r>
              <w:t>Maintenance Lead</w:t>
            </w:r>
          </w:p>
        </w:tc>
        <w:tc>
          <w:tcPr>
            <w:tcW w:type="dxa" w:w="1461"/>
            <w:vAlign w:val="center"/>
          </w:tcPr>
          <w:p>
            <w:r>
              <w:t>N5</w:t>
            </w:r>
          </w:p>
        </w:tc>
      </w:tr>
      <w:tr>
        <w:tc>
          <w:tcPr>
            <w:tcW w:type="dxa" w:w="1461"/>
            <w:vAlign w:val="center"/>
          </w:tcPr>
          <w:p>
            <w:r>
              <w:t>KPI-06</w:t>
            </w:r>
          </w:p>
        </w:tc>
        <w:tc>
          <w:tcPr>
            <w:tcW w:type="dxa" w:w="1461"/>
            <w:vAlign w:val="center"/>
          </w:tcPr>
          <w:p>
            <w:r>
              <w:t>Dashboard Adoption Rate</w:t>
            </w:r>
          </w:p>
        </w:tc>
        <w:tc>
          <w:tcPr>
            <w:tcW w:type="dxa" w:w="1461"/>
            <w:vAlign w:val="center"/>
          </w:tcPr>
          <w:p>
            <w:r>
              <w:t>(Active dashboard users / Target users) × 100</w:t>
            </w:r>
          </w:p>
        </w:tc>
        <w:tc>
          <w:tcPr>
            <w:tcW w:type="dxa" w:w="1461"/>
            <w:vAlign w:val="center"/>
          </w:tcPr>
          <w:p>
            <w:r>
              <w:t>Dashboard access logs</w:t>
            </w:r>
          </w:p>
        </w:tc>
        <w:tc>
          <w:tcPr>
            <w:tcW w:type="dxa" w:w="1461"/>
            <w:vAlign w:val="center"/>
          </w:tcPr>
          <w:p>
            <w:r>
              <w:t>Weekly</w:t>
            </w:r>
          </w:p>
        </w:tc>
        <w:tc>
          <w:tcPr>
            <w:tcW w:type="dxa" w:w="1461"/>
            <w:vAlign w:val="center"/>
          </w:tcPr>
          <w:p>
            <w:r>
              <w:t>Shift Supervisors</w:t>
            </w:r>
          </w:p>
        </w:tc>
        <w:tc>
          <w:tcPr>
            <w:tcW w:type="dxa" w:w="1461"/>
            <w:vAlign w:val="center"/>
          </w:tcPr>
          <w:p>
            <w:r>
              <w:t>N6</w:t>
            </w:r>
          </w:p>
        </w:tc>
      </w:tr>
      <w:tr>
        <w:tc>
          <w:tcPr>
            <w:tcW w:type="dxa" w:w="1461"/>
            <w:vAlign w:val="center"/>
          </w:tcPr>
          <w:p>
            <w:r>
              <w:t>KPI-07</w:t>
            </w:r>
          </w:p>
        </w:tc>
        <w:tc>
          <w:tcPr>
            <w:tcW w:type="dxa" w:w="1461"/>
            <w:vAlign w:val="center"/>
          </w:tcPr>
          <w:p>
            <w:r>
              <w:t>Audit Log Completeness</w:t>
            </w:r>
          </w:p>
        </w:tc>
        <w:tc>
          <w:tcPr>
            <w:tcW w:type="dxa" w:w="1461"/>
            <w:vAlign w:val="center"/>
          </w:tcPr>
          <w:p>
            <w:r>
              <w:t>(Actions with timestamp &amp; user ID / Total actions) × 100</w:t>
            </w:r>
          </w:p>
        </w:tc>
        <w:tc>
          <w:tcPr>
            <w:tcW w:type="dxa" w:w="1461"/>
            <w:vAlign w:val="center"/>
          </w:tcPr>
          <w:p>
            <w:r>
              <w:t>Audit Log entity</w:t>
            </w:r>
          </w:p>
        </w:tc>
        <w:tc>
          <w:tcPr>
            <w:tcW w:type="dxa" w:w="1461"/>
            <w:vAlign w:val="center"/>
          </w:tcPr>
          <w:p>
            <w:r>
              <w:t>Real-time</w:t>
            </w:r>
          </w:p>
        </w:tc>
        <w:tc>
          <w:tcPr>
            <w:tcW w:type="dxa" w:w="1461"/>
            <w:vAlign w:val="center"/>
          </w:tcPr>
          <w:p>
            <w:r>
              <w:t>IT Manager</w:t>
            </w:r>
          </w:p>
        </w:tc>
        <w:tc>
          <w:tcPr>
            <w:tcW w:type="dxa" w:w="1461"/>
            <w:vAlign w:val="center"/>
          </w:tcPr>
          <w:p>
            <w:r>
              <w:t>All</w:t>
            </w:r>
          </w:p>
        </w:tc>
      </w:tr>
    </w:tbl>
    <w:p/>
    <w:p>
      <w:r>
        <w:t>KPI Governance Rules:</w:t>
      </w:r>
    </w:p>
    <w:p>
      <w:pPr>
        <w:pStyle w:val="ListBullet"/>
      </w:pPr>
      <w:r>
        <w:t>No KPI is reported without a clear data source and owner.</w:t>
      </w:r>
    </w:p>
    <w:p>
      <w:pPr>
        <w:pStyle w:val="ListBullet"/>
      </w:pPr>
      <w:r>
        <w:t>Baselines to be captured in Phase 0; targets are directional until validated.</w:t>
      </w:r>
    </w:p>
    <w:p>
      <w:pPr>
        <w:pStyle w:val="ListBullet"/>
      </w:pPr>
      <w:r>
        <w:t>KPIs are reviewed monthly in governance cadence (08. Governance &amp; Delivery).</w:t>
      </w:r>
    </w:p>
    <w:p>
      <w:r>
        <w:t>---</w:t>
      </w:r>
    </w:p>
    <w:p>
      <w:pPr>
        <w:pStyle w:val="Heading1"/>
      </w:pPr>
      <w:r>
        <w:t>4. High-Level Data Flow</w:t>
      </w:r>
    </w:p>
    <w:p>
      <w:r>
        <w:t>Purpose:</w:t>
      </w:r>
    </w:p>
    <w:p>
      <w:r>
        <w:t>To show how data moves through the solution at a conceptual level, without integration architecture or protocol specs.</w:t>
      </w:r>
    </w:p>
    <w:p>
      <w:r>
        <w:t>Data Flow Stages:</w:t>
      </w:r>
    </w:p>
    <w:p>
      <w:pPr>
        <w:pStyle w:val="ListNumber"/>
      </w:pPr>
      <w:r>
        <w:t>Data Creation</w:t>
      </w:r>
    </w:p>
    <w:p>
      <w:pPr>
        <w:pStyle w:val="ListBullet"/>
      </w:pPr>
      <w:r>
        <w:t>Operators/Supervisors log downtime and changeover via web forms.</w:t>
      </w:r>
    </w:p>
    <w:p>
      <w:pPr>
        <w:pStyle w:val="ListBullet"/>
      </w:pPr>
      <w:r>
        <w:t>System auto-captures timestamp, user ID, line/asset context.</w:t>
      </w:r>
    </w:p>
    <w:p>
      <w:pPr>
        <w:pStyle w:val="ListNumber"/>
      </w:pPr>
      <w:r>
        <w:t>Data Ingestion (Optional Integration)</w:t>
      </w:r>
    </w:p>
    <w:p>
      <w:pPr>
        <w:pStyle w:val="ListBullet"/>
      </w:pPr>
      <w:r>
        <w:t>Historical data imported from CMMS via scheduled export (CSV/API).</w:t>
      </w:r>
    </w:p>
    <w:p>
      <w:pPr>
        <w:pStyle w:val="ListBullet"/>
      </w:pPr>
      <w:r>
        <w:t>Manual entry used as fallback if integration delayed.</w:t>
      </w:r>
    </w:p>
    <w:p>
      <w:pPr>
        <w:pStyle w:val="ListNumber"/>
      </w:pPr>
      <w:r>
        <w:t>Data Storage (Conceptual)</w:t>
      </w:r>
    </w:p>
    <w:p>
      <w:pPr>
        <w:pStyle w:val="ListBullet"/>
      </w:pPr>
      <w:r>
        <w:t>Unified operational data store (logical, not physical schema).</w:t>
      </w:r>
    </w:p>
    <w:p>
      <w:pPr>
        <w:pStyle w:val="ListBullet"/>
      </w:pPr>
      <w:r>
        <w:t>Audit log captures all create/edit/approve actions.</w:t>
      </w:r>
    </w:p>
    <w:p>
      <w:pPr>
        <w:pStyle w:val="ListNumber"/>
      </w:pPr>
      <w:r>
        <w:t>Data Processing</w:t>
      </w:r>
    </w:p>
    <w:p>
      <w:pPr>
        <w:pStyle w:val="ListBullet"/>
      </w:pPr>
      <w:r>
        <w:t>Duration calculations (changeover time).</w:t>
      </w:r>
    </w:p>
    <w:p>
      <w:pPr>
        <w:pStyle w:val="ListBullet"/>
      </w:pPr>
      <w:r>
        <w:t>Aggregations (downtime frequency by line, fault category).</w:t>
      </w:r>
    </w:p>
    <w:p>
      <w:pPr>
        <w:pStyle w:val="ListBullet"/>
      </w:pPr>
      <w:r>
        <w:t>Anomaly scoring (Phase 3+, if data readiness validated).</w:t>
      </w:r>
    </w:p>
    <w:p>
      <w:pPr>
        <w:pStyle w:val="ListNumber"/>
      </w:pPr>
      <w:r>
        <w:t>Data Presentation</w:t>
      </w:r>
    </w:p>
    <w:p>
      <w:pPr>
        <w:pStyle w:val="ListBullet"/>
      </w:pPr>
      <w:r>
        <w:t>Dashboards show real-time line status, alerts, trends.</w:t>
      </w:r>
    </w:p>
    <w:p>
      <w:pPr>
        <w:pStyle w:val="ListBullet"/>
      </w:pPr>
      <w:r>
        <w:t>Reports exported to CSV/Excel for management review.</w:t>
      </w:r>
    </w:p>
    <w:p>
      <w:pPr>
        <w:pStyle w:val="ListNumber"/>
      </w:pPr>
      <w:r>
        <w:t>Data Governance</w:t>
      </w:r>
    </w:p>
    <w:p>
      <w:pPr>
        <w:pStyle w:val="ListBullet"/>
      </w:pPr>
      <w:r>
        <w:t>Role-based access controls (aligned with IT security).</w:t>
      </w:r>
    </w:p>
    <w:p>
      <w:pPr>
        <w:pStyle w:val="ListBullet"/>
      </w:pPr>
      <w:r>
        <w:t>Audit trail for compliance and traceability.</w:t>
      </w:r>
    </w:p>
    <w:p>
      <w:r>
        <w:t>Specialist Boundary Note:</w:t>
      </w:r>
    </w:p>
    <w:p>
      <w:pPr>
        <w:pStyle w:val="ListBullet"/>
      </w:pPr>
      <w:r>
        <w:t>Physical data pipeline design (ETL, streaming, lakehouse) is owned by Data Engineering specialists.</w:t>
      </w:r>
    </w:p>
    <w:p>
      <w:pPr>
        <w:pStyle w:val="ListBullet"/>
      </w:pPr>
      <w:r>
        <w:t>This flow describes business information movement, not technical architecture.</w:t>
      </w:r>
    </w:p>
    <w:p>
      <w:r>
        <w:t>---</w:t>
      </w:r>
    </w:p>
    <w:p>
      <w:pPr>
        <w:pStyle w:val="Heading1"/>
      </w:pPr>
      <w:r>
        <w:t>5. Information Model</w:t>
      </w:r>
    </w:p>
    <w:p>
      <w:r>
        <w:t>Purpose:</w:t>
      </w:r>
    </w:p>
    <w:p>
      <w:r>
        <w:t>To illustrate key entity relationships at a business-conceptual level, supporting traceability and understanding.</w:t>
      </w:r>
    </w:p>
    <w:p>
      <w:r>
        <w:t>Core Entities &amp; Relationships:</w:t>
      </w:r>
    </w:p>
    <w:p>
      <w:pPr>
        <w:pStyle w:val="ListBullet"/>
      </w:pPr>
      <w:r>
        <w:t>Production Line (1) -&gt; (N) Asset</w:t>
      </w:r>
    </w:p>
    <w:p>
      <w:pPr>
        <w:pStyle w:val="ListBullet"/>
      </w:pPr>
      <w:r>
        <w:t>A line contains multiple assets (machines, dies, tooling).</w:t>
      </w:r>
    </w:p>
    <w:p>
      <w:pPr>
        <w:pStyle w:val="ListBullet"/>
      </w:pPr>
      <w:r>
        <w:t>Asset (1) -&gt; (N) Downtime Event</w:t>
      </w:r>
    </w:p>
    <w:p>
      <w:pPr>
        <w:pStyle w:val="ListBullet"/>
      </w:pPr>
      <w:r>
        <w:t>An asset can have multiple downtime events logged against it.</w:t>
      </w:r>
    </w:p>
    <w:p>
      <w:pPr>
        <w:pStyle w:val="ListBullet"/>
      </w:pPr>
      <w:r>
        <w:t>Asset (1) -&gt; (N) Alert Record</w:t>
      </w:r>
    </w:p>
    <w:p>
      <w:pPr>
        <w:pStyle w:val="ListBullet"/>
      </w:pPr>
      <w:r>
        <w:t>An asset can generate multiple alerts (if predictive enabled).</w:t>
      </w:r>
    </w:p>
    <w:p>
      <w:pPr>
        <w:pStyle w:val="ListBullet"/>
      </w:pPr>
      <w:r>
        <w:t>Fault Taxonomy (1) -&gt; (N) Downtime Event</w:t>
      </w:r>
    </w:p>
    <w:p>
      <w:pPr>
        <w:pStyle w:val="ListBullet"/>
      </w:pPr>
      <w:r>
        <w:t>Each downtime event references one fault code from the taxonomy.</w:t>
      </w:r>
    </w:p>
    <w:p>
      <w:pPr>
        <w:pStyle w:val="ListBullet"/>
      </w:pPr>
      <w:r>
        <w:t>User (1) -&gt; (N) Downtime Event / Changeover Record / Alert Record</w:t>
      </w:r>
    </w:p>
    <w:p>
      <w:pPr>
        <w:pStyle w:val="ListBullet"/>
      </w:pPr>
      <w:r>
        <w:t>Users log events, changeovers, and approve/reject alerts.</w:t>
      </w:r>
    </w:p>
    <w:p>
      <w:pPr>
        <w:pStyle w:val="ListBullet"/>
      </w:pPr>
      <w:r>
        <w:t>SOP Document (N) ↔ (N) Fault Code / Asset</w:t>
      </w:r>
    </w:p>
    <w:p>
      <w:pPr>
        <w:pStyle w:val="ListBullet"/>
      </w:pPr>
      <w:r>
        <w:t>SOPs can be linked to multiple fault codes or assets (many-to-many via RAG).</w:t>
      </w:r>
    </w:p>
    <w:p>
      <w:pPr>
        <w:pStyle w:val="ListBullet"/>
      </w:pPr>
      <w:r>
        <w:t>Changeover Record (N) -&gt; (1) Production Line</w:t>
      </w:r>
    </w:p>
    <w:p>
      <w:pPr>
        <w:pStyle w:val="ListBullet"/>
      </w:pPr>
      <w:r>
        <w:t>Each changeover is associated with one production line.</w:t>
      </w:r>
    </w:p>
    <w:p>
      <w:r>
        <w:t>Model Principles:</w:t>
      </w:r>
    </w:p>
    <w:p>
      <w:pPr>
        <w:pStyle w:val="ListBullet"/>
      </w:pPr>
      <w:r>
        <w:t>Relationships are business-relevant, not database-normalized.</w:t>
      </w:r>
    </w:p>
    <w:p>
      <w:pPr>
        <w:pStyle w:val="ListBullet"/>
      </w:pPr>
      <w:r>
        <w:t>No primary/foreign key specs; no cardinality enforcement rules.</w:t>
      </w:r>
    </w:p>
    <w:p>
      <w:pPr>
        <w:pStyle w:val="ListBullet"/>
      </w:pPr>
      <w:r>
        <w:t>Model supports traceability: Event -&gt; Asset -&gt; Line -&gt; KPI -&gt; Business Objective.</w:t>
      </w:r>
    </w:p>
    <w:p>
      <w:r>
        <w:t>---</w:t>
      </w:r>
    </w:p>
    <w:p>
      <w:pPr>
        <w:pStyle w:val="Heading1"/>
      </w:pPr>
      <w:r>
        <w:t>6. Data Readiness Assessment</w:t>
      </w:r>
    </w:p>
    <w:p>
      <w:r>
        <w:t>Purpose:</w:t>
      </w:r>
    </w:p>
    <w:p>
      <w:r>
        <w:t>To explicitly assess data readiness for predictive use cases, per prompt’s emphasis on not assuming ML-ready data.</w:t>
      </w:r>
    </w:p>
    <w:p>
      <w:r>
        <w:t>Assessment Dimensions: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tcPr>
          <w:p>
            <w:r>
              <w:rPr>
                <w:b/>
              </w:rPr>
              <w:t>DimensionCurrent State (Hypothetical Assumption)Target StateGapMitigation in Phase 1</w:t>
            </w:r>
          </w:p>
        </w:tc>
        <w:tc>
          <w:tcPr>
            <w:tcW w:type="dxa" w:w="2045"/>
            <w:shd w:fill="D9E2F3"/>
          </w:tcPr>
          <w:p>
            <w:r>
              <w:rPr>
                <w:b/>
              </w:rPr>
            </w:r>
          </w:p>
        </w:tc>
        <w:tc>
          <w:tcPr>
            <w:tcW w:type="dxa" w:w="2045"/>
            <w:shd w:fill="D9E2F3"/>
          </w:tcPr>
          <w:p>
            <w:r>
              <w:rPr>
                <w:b/>
              </w:rPr>
            </w:r>
          </w:p>
        </w:tc>
        <w:tc>
          <w:tcPr>
            <w:tcW w:type="dxa" w:w="2045"/>
            <w:shd w:fill="D9E2F3"/>
          </w:tcPr>
          <w:p>
            <w:r>
              <w:rPr>
                <w:b/>
              </w:rPr>
            </w:r>
          </w:p>
        </w:tc>
        <w:tc>
          <w:tcPr>
            <w:tcW w:type="dxa" w:w="2045"/>
            <w:shd w:fill="D9E2F3"/>
          </w:tcPr>
          <w:p>
            <w:r>
              <w:rPr>
                <w:b/>
              </w:rPr>
            </w:r>
          </w:p>
        </w:tc>
      </w:tr>
      <w:tr>
        <w:tc>
          <w:tcPr>
            <w:tcW w:type="dxa" w:w="2045"/>
            <w:vAlign w:val="center"/>
          </w:tcPr>
          <w:p>
            <w:r>
              <w:t>Data Availability</w:t>
            </w:r>
          </w:p>
        </w:tc>
        <w:tc>
          <w:tcPr>
            <w:tcW w:type="dxa" w:w="2045"/>
            <w:vAlign w:val="center"/>
          </w:tcPr>
          <w:p>
            <w:r>
              <w:t>Fragmented: Excel logs, paper records, partial CMMS data</w:t>
            </w:r>
          </w:p>
        </w:tc>
        <w:tc>
          <w:tcPr>
            <w:tcW w:type="dxa" w:w="2045"/>
            <w:vAlign w:val="center"/>
          </w:tcPr>
          <w:p>
            <w:r>
              <w:t>Unified digital logs for all downtime/changeover events</w:t>
            </w:r>
          </w:p>
        </w:tc>
        <w:tc>
          <w:tcPr>
            <w:tcW w:type="dxa" w:w="2045"/>
            <w:vAlign w:val="center"/>
          </w:tcPr>
          <w:p>
            <w:r>
              <w:t>High</w:t>
            </w:r>
          </w:p>
        </w:tc>
        <w:tc>
          <w:tcPr>
            <w:tcW w:type="dxa" w:w="2045"/>
            <w:vAlign w:val="center"/>
          </w:tcPr>
          <w:p>
            <w:r>
              <w:t>Manual web forms ensure new data is captured consistently</w:t>
            </w:r>
          </w:p>
        </w:tc>
      </w:tr>
      <w:tr>
        <w:tc>
          <w:tcPr>
            <w:tcW w:type="dxa" w:w="2045"/>
            <w:vAlign w:val="center"/>
          </w:tcPr>
          <w:p>
            <w:r>
              <w:t>Data Quality</w:t>
            </w:r>
          </w:p>
        </w:tc>
        <w:tc>
          <w:tcPr>
            <w:tcW w:type="dxa" w:w="2045"/>
            <w:vAlign w:val="center"/>
          </w:tcPr>
          <w:p>
            <w:r>
              <w:t>Inconsistent fault codes; missing timestamps; no standard taxonomy</w:t>
            </w:r>
          </w:p>
        </w:tc>
        <w:tc>
          <w:tcPr>
            <w:tcW w:type="dxa" w:w="2045"/>
            <w:vAlign w:val="center"/>
          </w:tcPr>
          <w:p>
            <w:r>
              <w:t>Enforced fault taxonomy; auto-timestamps; mandatory fields</w:t>
            </w:r>
          </w:p>
        </w:tc>
        <w:tc>
          <w:tcPr>
            <w:tcW w:type="dxa" w:w="2045"/>
            <w:vAlign w:val="center"/>
          </w:tcPr>
          <w:p>
            <w:r>
              <w:t>High</w:t>
            </w:r>
          </w:p>
        </w:tc>
        <w:tc>
          <w:tcPr>
            <w:tcW w:type="dxa" w:w="2045"/>
            <w:vAlign w:val="center"/>
          </w:tcPr>
          <w:p>
            <w:r>
              <w:t>Validation rules in forms (e.g., fault code dropdown)</w:t>
            </w:r>
          </w:p>
        </w:tc>
      </w:tr>
      <w:tr>
        <w:tc>
          <w:tcPr>
            <w:tcW w:type="dxa" w:w="2045"/>
            <w:vAlign w:val="center"/>
          </w:tcPr>
          <w:p>
            <w:r>
              <w:t>Data Volume</w:t>
            </w:r>
          </w:p>
        </w:tc>
        <w:tc>
          <w:tcPr>
            <w:tcW w:type="dxa" w:w="2045"/>
            <w:vAlign w:val="center"/>
          </w:tcPr>
          <w:p>
            <w:r>
              <w:t>Unknown; no historical baseline</w:t>
            </w:r>
          </w:p>
        </w:tc>
        <w:tc>
          <w:tcPr>
            <w:tcW w:type="dxa" w:w="2045"/>
            <w:vAlign w:val="center"/>
          </w:tcPr>
          <w:p>
            <w:r>
              <w:t>3–6 months of clean, structured data post-MVP</w:t>
            </w:r>
          </w:p>
        </w:tc>
        <w:tc>
          <w:tcPr>
            <w:tcW w:type="dxa" w:w="2045"/>
            <w:vAlign w:val="center"/>
          </w:tcPr>
          <w:p>
            <w:r>
              <w:t>Medium</w:t>
            </w:r>
          </w:p>
        </w:tc>
        <w:tc>
          <w:tcPr>
            <w:tcW w:type="dxa" w:w="2045"/>
            <w:vAlign w:val="center"/>
          </w:tcPr>
          <w:p>
            <w:r>
              <w:t>MVP focuses on new data capture; historical import optional</w:t>
            </w:r>
          </w:p>
        </w:tc>
      </w:tr>
      <w:tr>
        <w:tc>
          <w:tcPr>
            <w:tcW w:type="dxa" w:w="2045"/>
            <w:vAlign w:val="center"/>
          </w:tcPr>
          <w:p>
            <w:r>
              <w:t>Data Labeling</w:t>
            </w:r>
          </w:p>
        </w:tc>
        <w:tc>
          <w:tcPr>
            <w:tcW w:type="dxa" w:w="2045"/>
            <w:vAlign w:val="center"/>
          </w:tcPr>
          <w:p>
            <w:r>
              <w:t>No root-cause tags; faults not categorized</w:t>
            </w:r>
          </w:p>
        </w:tc>
        <w:tc>
          <w:tcPr>
            <w:tcW w:type="dxa" w:w="2045"/>
            <w:vAlign w:val="center"/>
          </w:tcPr>
          <w:p>
            <w:r>
              <w:t>All events tagged with fault taxonomy code</w:t>
            </w:r>
          </w:p>
        </w:tc>
        <w:tc>
          <w:tcPr>
            <w:tcW w:type="dxa" w:w="2045"/>
            <w:vAlign w:val="center"/>
          </w:tcPr>
          <w:p>
            <w:r>
              <w:t>High</w:t>
            </w:r>
          </w:p>
        </w:tc>
        <w:tc>
          <w:tcPr>
            <w:tcW w:type="dxa" w:w="2045"/>
            <w:vAlign w:val="center"/>
          </w:tcPr>
          <w:p>
            <w:r>
              <w:t>Fault Code Selector (F-05) enforces tagging</w:t>
            </w:r>
          </w:p>
        </w:tc>
      </w:tr>
      <w:tr>
        <w:tc>
          <w:tcPr>
            <w:tcW w:type="dxa" w:w="2045"/>
            <w:vAlign w:val="center"/>
          </w:tcPr>
          <w:p>
            <w:r>
              <w:t>Data Accessibility</w:t>
            </w:r>
          </w:p>
        </w:tc>
        <w:tc>
          <w:tcPr>
            <w:tcW w:type="dxa" w:w="2045"/>
            <w:vAlign w:val="center"/>
          </w:tcPr>
          <w:p>
            <w:r>
              <w:t>Siloed in spreadsheets and paper; no API access</w:t>
            </w:r>
          </w:p>
        </w:tc>
        <w:tc>
          <w:tcPr>
            <w:tcW w:type="dxa" w:w="2045"/>
            <w:vAlign w:val="center"/>
          </w:tcPr>
          <w:p>
            <w:r>
              <w:t>Centralized operational data store with export capability</w:t>
            </w:r>
          </w:p>
        </w:tc>
        <w:tc>
          <w:tcPr>
            <w:tcW w:type="dxa" w:w="2045"/>
            <w:vAlign w:val="center"/>
          </w:tcPr>
          <w:p>
            <w:r>
              <w:t>Medium</w:t>
            </w:r>
          </w:p>
        </w:tc>
        <w:tc>
          <w:tcPr>
            <w:tcW w:type="dxa" w:w="2045"/>
            <w:vAlign w:val="center"/>
          </w:tcPr>
          <w:p>
            <w:r>
              <w:t>CSV export (F-08) enables interim analysis</w:t>
            </w:r>
          </w:p>
        </w:tc>
      </w:tr>
      <w:tr>
        <w:tc>
          <w:tcPr>
            <w:tcW w:type="dxa" w:w="2045"/>
            <w:vAlign w:val="center"/>
          </w:tcPr>
          <w:p>
            <w:r>
              <w:t>Predictive Readiness</w:t>
            </w:r>
          </w:p>
        </w:tc>
        <w:tc>
          <w:tcPr>
            <w:tcW w:type="dxa" w:w="2045"/>
            <w:vAlign w:val="center"/>
          </w:tcPr>
          <w:p>
            <w:r>
              <w:t>Not ready: no structured historical failure labels</w:t>
            </w:r>
          </w:p>
        </w:tc>
        <w:tc>
          <w:tcPr>
            <w:tcW w:type="dxa" w:w="2045"/>
            <w:vAlign w:val="center"/>
          </w:tcPr>
          <w:p>
            <w:r>
              <w:t>Ready for anomaly detection after 3–6 months of clean data</w:t>
            </w:r>
          </w:p>
        </w:tc>
        <w:tc>
          <w:tcPr>
            <w:tcW w:type="dxa" w:w="2045"/>
            <w:vAlign w:val="center"/>
          </w:tcPr>
          <w:p>
            <w:r>
              <w:t>Very High</w:t>
            </w:r>
          </w:p>
        </w:tc>
        <w:tc>
          <w:tcPr>
            <w:tcW w:type="dxa" w:w="2045"/>
            <w:vAlign w:val="center"/>
          </w:tcPr>
          <w:p>
            <w:r>
              <w:t>Phase 1 = visibility only; predictive deferred to Phase 3</w:t>
            </w:r>
          </w:p>
        </w:tc>
      </w:tr>
    </w:tbl>
    <w:p/>
    <w:p>
      <w:r>
        <w:t>Readiness Gates for Predictive AI (Phase 3 Entry Criteria):</w:t>
      </w:r>
    </w:p>
    <w:p>
      <w:pPr>
        <w:pStyle w:val="ListBullet"/>
      </w:pPr>
      <w:r>
        <w:t>≥ 90% downtime events logged with valid fault codes (KPI-01).</w:t>
      </w:r>
    </w:p>
    <w:p>
      <w:pPr>
        <w:pStyle w:val="ListBullet"/>
      </w:pPr>
      <w:r>
        <w:t>≥ 3 months of continuous, structured data available.</w:t>
      </w:r>
    </w:p>
    <w:p>
      <w:pPr>
        <w:pStyle w:val="ListBullet"/>
      </w:pPr>
      <w:r>
        <w:t>Fault taxonomy compliance ≥ 95% (KPI-05).</w:t>
      </w:r>
    </w:p>
    <w:p>
      <w:pPr>
        <w:pStyle w:val="ListBullet"/>
      </w:pPr>
      <w:r>
        <w:t>Maintenance team trained on alert approval workflow.</w:t>
      </w:r>
    </w:p>
    <w:p>
      <w:pPr>
        <w:pStyle w:val="ListBullet"/>
      </w:pPr>
      <w:r>
        <w:t>Data sampling shows sufficient signal for anomaly detection (validated by Data/ML specialists).</w:t>
      </w:r>
    </w:p>
    <w:p>
      <w:r>
        <w:t>Defensibility Note:</w:t>
      </w:r>
    </w:p>
    <w:p>
      <w:pPr>
        <w:pStyle w:val="ListBullet"/>
      </w:pPr>
      <w:r>
        <w:t>This assessment explicitly does not assume ML-ready data—aligning with prompt’s “data readiness gates” principle.</w:t>
      </w:r>
    </w:p>
    <w:p>
      <w:pPr>
        <w:pStyle w:val="ListBullet"/>
      </w:pPr>
      <w:r>
        <w:t>Predictive AI is gated behind validated readiness, not promised upfront.</w:t>
      </w:r>
    </w:p>
    <w:p>
      <w:r>
        <w:t>---</w:t>
      </w:r>
    </w:p>
    <w:p>
      <w:pPr>
        <w:pStyle w:val="Heading1"/>
      </w:pPr>
      <w:r>
        <w:t>7. Reporting Requirements</w:t>
      </w:r>
    </w:p>
    <w:p>
      <w:r>
        <w:t>Purpose:</w:t>
      </w:r>
    </w:p>
    <w:p>
      <w:r>
        <w:t>To define what reports business users need, at what frequency, and for what decisions—without BI tool specs.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2F3"/>
          </w:tcPr>
          <w:p>
            <w:r>
              <w:rPr>
                <w:b/>
              </w:rPr>
              <w:t>Report IDReport NameAudienceFrequencyKey MetricsPurposeLinked KPI</w:t>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c>
          <w:tcPr>
            <w:tcW w:type="dxa" w:w="1461"/>
            <w:shd w:fill="D9E2F3"/>
          </w:tcPr>
          <w:p>
            <w:r>
              <w:rPr>
                <w:b/>
              </w:rPr>
            </w:r>
          </w:p>
        </w:tc>
      </w:tr>
      <w:tr>
        <w:tc>
          <w:tcPr>
            <w:tcW w:type="dxa" w:w="1461"/>
            <w:vAlign w:val="center"/>
          </w:tcPr>
          <w:p>
            <w:r>
              <w:t>RPT-01</w:t>
            </w:r>
          </w:p>
        </w:tc>
        <w:tc>
          <w:tcPr>
            <w:tcW w:type="dxa" w:w="1461"/>
            <w:vAlign w:val="center"/>
          </w:tcPr>
          <w:p>
            <w:r>
              <w:t>Daily Downtime Summary</w:t>
            </w:r>
          </w:p>
        </w:tc>
        <w:tc>
          <w:tcPr>
            <w:tcW w:type="dxa" w:w="1461"/>
            <w:vAlign w:val="center"/>
          </w:tcPr>
          <w:p>
            <w:r>
              <w:t>Shift Supervisors, Plant Manager</w:t>
            </w:r>
          </w:p>
        </w:tc>
        <w:tc>
          <w:tcPr>
            <w:tcW w:type="dxa" w:w="1461"/>
            <w:vAlign w:val="center"/>
          </w:tcPr>
          <w:p>
            <w:r>
              <w:t>Daily</w:t>
            </w:r>
          </w:p>
        </w:tc>
        <w:tc>
          <w:tcPr>
            <w:tcW w:type="dxa" w:w="1461"/>
            <w:vAlign w:val="center"/>
          </w:tcPr>
          <w:p>
            <w:r>
              <w:t>Downtime events by line, fault category, top assets</w:t>
            </w:r>
          </w:p>
        </w:tc>
        <w:tc>
          <w:tcPr>
            <w:tcW w:type="dxa" w:w="1461"/>
            <w:vAlign w:val="center"/>
          </w:tcPr>
          <w:p>
            <w:r>
              <w:t>Identify daily hotspots</w:t>
            </w:r>
          </w:p>
        </w:tc>
        <w:tc>
          <w:tcPr>
            <w:tcW w:type="dxa" w:w="1461"/>
            <w:vAlign w:val="center"/>
          </w:tcPr>
          <w:p>
            <w:r>
              <w:t>KPI-01, KPI-05</w:t>
            </w:r>
          </w:p>
        </w:tc>
      </w:tr>
      <w:tr>
        <w:tc>
          <w:tcPr>
            <w:tcW w:type="dxa" w:w="1461"/>
            <w:vAlign w:val="center"/>
          </w:tcPr>
          <w:p>
            <w:r>
              <w:t>RPT-02</w:t>
            </w:r>
          </w:p>
        </w:tc>
        <w:tc>
          <w:tcPr>
            <w:tcW w:type="dxa" w:w="1461"/>
            <w:vAlign w:val="center"/>
          </w:tcPr>
          <w:p>
            <w:r>
              <w:t>Weekly Changeover Trends</w:t>
            </w:r>
          </w:p>
        </w:tc>
        <w:tc>
          <w:tcPr>
            <w:tcW w:type="dxa" w:w="1461"/>
            <w:vAlign w:val="center"/>
          </w:tcPr>
          <w:p>
            <w:r>
              <w:t>Operations Manager, Plant Manager</w:t>
            </w:r>
          </w:p>
        </w:tc>
        <w:tc>
          <w:tcPr>
            <w:tcW w:type="dxa" w:w="1461"/>
            <w:vAlign w:val="center"/>
          </w:tcPr>
          <w:p>
            <w:r>
              <w:t>Weekly</w:t>
            </w:r>
          </w:p>
        </w:tc>
        <w:tc>
          <w:tcPr>
            <w:tcW w:type="dxa" w:w="1461"/>
            <w:vAlign w:val="center"/>
          </w:tcPr>
          <w:p>
            <w:r>
              <w:t>Avg changeover duration by line, reason code distribution</w:t>
            </w:r>
          </w:p>
        </w:tc>
        <w:tc>
          <w:tcPr>
            <w:tcW w:type="dxa" w:w="1461"/>
            <w:vAlign w:val="center"/>
          </w:tcPr>
          <w:p>
            <w:r>
              <w:t>Track improvement progress</w:t>
            </w:r>
          </w:p>
        </w:tc>
        <w:tc>
          <w:tcPr>
            <w:tcW w:type="dxa" w:w="1461"/>
            <w:vAlign w:val="center"/>
          </w:tcPr>
          <w:p>
            <w:r>
              <w:t>KPI-02</w:t>
            </w:r>
          </w:p>
        </w:tc>
      </w:tr>
      <w:tr>
        <w:tc>
          <w:tcPr>
            <w:tcW w:type="dxa" w:w="1461"/>
            <w:vAlign w:val="center"/>
          </w:tcPr>
          <w:p>
            <w:r>
              <w:t>RPT-03</w:t>
            </w:r>
          </w:p>
        </w:tc>
        <w:tc>
          <w:tcPr>
            <w:tcW w:type="dxa" w:w="1461"/>
            <w:vAlign w:val="center"/>
          </w:tcPr>
          <w:p>
            <w:r>
              <w:t>Alert Activity Report (Phase 3+)</w:t>
            </w:r>
          </w:p>
        </w:tc>
        <w:tc>
          <w:tcPr>
            <w:tcW w:type="dxa" w:w="1461"/>
            <w:vAlign w:val="center"/>
          </w:tcPr>
          <w:p>
            <w:r>
              <w:t>Maintenance Lead, COO</w:t>
            </w:r>
          </w:p>
        </w:tc>
        <w:tc>
          <w:tcPr>
            <w:tcW w:type="dxa" w:w="1461"/>
            <w:vAlign w:val="center"/>
          </w:tcPr>
          <w:p>
            <w:r>
              <w:t>Daily/Weekly</w:t>
            </w:r>
          </w:p>
        </w:tc>
        <w:tc>
          <w:tcPr>
            <w:tcW w:type="dxa" w:w="1461"/>
            <w:vAlign w:val="center"/>
          </w:tcPr>
          <w:p>
            <w:r>
              <w:t>Alerts generated, approved, rejected; avg approval time</w:t>
            </w:r>
          </w:p>
        </w:tc>
        <w:tc>
          <w:tcPr>
            <w:tcW w:type="dxa" w:w="1461"/>
            <w:vAlign w:val="center"/>
          </w:tcPr>
          <w:p>
            <w:r>
              <w:t>Monitor predictive maintenance effectiveness</w:t>
            </w:r>
          </w:p>
        </w:tc>
        <w:tc>
          <w:tcPr>
            <w:tcW w:type="dxa" w:w="1461"/>
            <w:vAlign w:val="center"/>
          </w:tcPr>
          <w:p>
            <w:r>
              <w:t>KPI-03</w:t>
            </w:r>
          </w:p>
        </w:tc>
      </w:tr>
      <w:tr>
        <w:tc>
          <w:tcPr>
            <w:tcW w:type="dxa" w:w="1461"/>
            <w:vAlign w:val="center"/>
          </w:tcPr>
          <w:p>
            <w:r>
              <w:t>RPT-04</w:t>
            </w:r>
          </w:p>
        </w:tc>
        <w:tc>
          <w:tcPr>
            <w:tcW w:type="dxa" w:w="1461"/>
            <w:vAlign w:val="center"/>
          </w:tcPr>
          <w:p>
            <w:r>
              <w:t>SOP Usage Analytics</w:t>
            </w:r>
          </w:p>
        </w:tc>
        <w:tc>
          <w:tcPr>
            <w:tcW w:type="dxa" w:w="1461"/>
            <w:vAlign w:val="center"/>
          </w:tcPr>
          <w:p>
            <w:r>
              <w:t>Quality Manager, Maintenance Lead</w:t>
            </w:r>
          </w:p>
        </w:tc>
        <w:tc>
          <w:tcPr>
            <w:tcW w:type="dxa" w:w="1461"/>
            <w:vAlign w:val="center"/>
          </w:tcPr>
          <w:p>
            <w:r>
              <w:t>Weekly</w:t>
            </w:r>
          </w:p>
        </w:tc>
        <w:tc>
          <w:tcPr>
            <w:tcW w:type="dxa" w:w="1461"/>
            <w:vAlign w:val="center"/>
          </w:tcPr>
          <w:p>
            <w:r>
              <w:t>SOP searches by fault code, avg retrieval time</w:t>
            </w:r>
          </w:p>
        </w:tc>
        <w:tc>
          <w:tcPr>
            <w:tcW w:type="dxa" w:w="1461"/>
            <w:vAlign w:val="center"/>
          </w:tcPr>
          <w:p>
            <w:r>
              <w:t>Measure decision support adoption</w:t>
            </w:r>
          </w:p>
        </w:tc>
        <w:tc>
          <w:tcPr>
            <w:tcW w:type="dxa" w:w="1461"/>
            <w:vAlign w:val="center"/>
          </w:tcPr>
          <w:p>
            <w:r>
              <w:t>KPI-04</w:t>
            </w:r>
          </w:p>
        </w:tc>
      </w:tr>
      <w:tr>
        <w:tc>
          <w:tcPr>
            <w:tcW w:type="dxa" w:w="1461"/>
            <w:vAlign w:val="center"/>
          </w:tcPr>
          <w:p>
            <w:r>
              <w:t>RPT-05</w:t>
            </w:r>
          </w:p>
        </w:tc>
        <w:tc>
          <w:tcPr>
            <w:tcW w:type="dxa" w:w="1461"/>
            <w:vAlign w:val="center"/>
          </w:tcPr>
          <w:p>
            <w:r>
              <w:t>Monthly Operational Performance</w:t>
            </w:r>
          </w:p>
        </w:tc>
        <w:tc>
          <w:tcPr>
            <w:tcW w:type="dxa" w:w="1461"/>
            <w:vAlign w:val="center"/>
          </w:tcPr>
          <w:p>
            <w:r>
              <w:t>COO, Plant Manager</w:t>
            </w:r>
          </w:p>
        </w:tc>
        <w:tc>
          <w:tcPr>
            <w:tcW w:type="dxa" w:w="1461"/>
            <w:vAlign w:val="center"/>
          </w:tcPr>
          <w:p>
            <w:r>
              <w:t>Monthly</w:t>
            </w:r>
          </w:p>
        </w:tc>
        <w:tc>
          <w:tcPr>
            <w:tcW w:type="dxa" w:w="1461"/>
            <w:vAlign w:val="center"/>
          </w:tcPr>
          <w:p>
            <w:r>
              <w:t>All KPIs (KPI-01 to KPI-07), trends, insights</w:t>
            </w:r>
          </w:p>
        </w:tc>
        <w:tc>
          <w:tcPr>
            <w:tcW w:type="dxa" w:w="1461"/>
            <w:vAlign w:val="center"/>
          </w:tcPr>
          <w:p>
            <w:r>
              <w:t>Executive review; roadmap adjustments</w:t>
            </w:r>
          </w:p>
        </w:tc>
        <w:tc>
          <w:tcPr>
            <w:tcW w:type="dxa" w:w="1461"/>
            <w:vAlign w:val="center"/>
          </w:tcPr>
          <w:p>
            <w:r>
              <w:t>All KPIs</w:t>
            </w:r>
          </w:p>
        </w:tc>
      </w:tr>
      <w:tr>
        <w:tc>
          <w:tcPr>
            <w:tcW w:type="dxa" w:w="1461"/>
            <w:vAlign w:val="center"/>
          </w:tcPr>
          <w:p>
            <w:r>
              <w:t>RPT-06</w:t>
            </w:r>
          </w:p>
        </w:tc>
        <w:tc>
          <w:tcPr>
            <w:tcW w:type="dxa" w:w="1461"/>
            <w:vAlign w:val="center"/>
          </w:tcPr>
          <w:p>
            <w:r>
              <w:t>Audit Log Summary</w:t>
            </w:r>
          </w:p>
        </w:tc>
        <w:tc>
          <w:tcPr>
            <w:tcW w:type="dxa" w:w="1461"/>
            <w:vAlign w:val="center"/>
          </w:tcPr>
          <w:p>
            <w:r>
              <w:t>IT Manager, Compliance</w:t>
            </w:r>
          </w:p>
        </w:tc>
        <w:tc>
          <w:tcPr>
            <w:tcW w:type="dxa" w:w="1461"/>
            <w:vAlign w:val="center"/>
          </w:tcPr>
          <w:p>
            <w:r>
              <w:t>On-demand</w:t>
            </w:r>
          </w:p>
        </w:tc>
        <w:tc>
          <w:tcPr>
            <w:tcW w:type="dxa" w:w="1461"/>
            <w:vAlign w:val="center"/>
          </w:tcPr>
          <w:p>
            <w:r>
              <w:t>User actions by type, anomalies in access patterns</w:t>
            </w:r>
          </w:p>
        </w:tc>
        <w:tc>
          <w:tcPr>
            <w:tcW w:type="dxa" w:w="1461"/>
            <w:vAlign w:val="center"/>
          </w:tcPr>
          <w:p>
            <w:r>
              <w:t>Security and compliance review</w:t>
            </w:r>
          </w:p>
        </w:tc>
        <w:tc>
          <w:tcPr>
            <w:tcW w:type="dxa" w:w="1461"/>
            <w:vAlign w:val="center"/>
          </w:tcPr>
          <w:p>
            <w:r>
              <w:t>KPI-07</w:t>
            </w:r>
          </w:p>
        </w:tc>
      </w:tr>
    </w:tbl>
    <w:p/>
    <w:p>
      <w:r>
        <w:t>Reporting Principles:</w:t>
      </w:r>
    </w:p>
    <w:p>
      <w:pPr>
        <w:pStyle w:val="ListBullet"/>
      </w:pPr>
      <w:r>
        <w:t>Reports are exportable to CSV/Excel in MVP (F-08); no live BI dashboards required initially.</w:t>
      </w:r>
    </w:p>
    <w:p>
      <w:pPr>
        <w:pStyle w:val="ListBullet"/>
      </w:pPr>
      <w:r>
        <w:t>Report definitions are business-owned (e.g., Plant Manager defines “Daily Downtime Summary” columns).</w:t>
      </w:r>
    </w:p>
    <w:p>
      <w:pPr>
        <w:pStyle w:val="ListBullet"/>
      </w:pPr>
      <w:r>
        <w:t>No report includes invented ROI or financial benefits—only operational KPIs.</w:t>
      </w:r>
    </w:p>
    <w:p>
      <w:r>
        <w:t>---</w:t>
      </w:r>
    </w:p>
    <w:p>
      <w:pPr>
        <w:pStyle w:val="Heading1"/>
      </w:pPr>
      <w:r>
        <w:t>AI Involvement Disclosure (Internal Control Note)</w:t>
      </w:r>
    </w:p>
    <w:p>
      <w:r>
        <w:t>This Data &amp; Information document was drafted with AI assistance for structuring, data dictionary formatting, and readiness-assessment framing. All data entities, attributes, KPI definitions, flow descriptions, and reporting requirements were reviewed and finalized by the author. All data examples are hypothetical assumptions requiring client validation. No data engineering or database architecture specs were created.</w:t>
      </w:r>
    </w:p>
    <w:p>
      <w:r>
        <w:t>---</w:t>
      </w:r>
    </w:p>
    <w:p>
      <w:pPr>
        <w:pStyle w:val="Heading1"/>
      </w:pPr>
      <w:r>
        <w:t>Next Step Confirmation</w:t>
      </w:r>
    </w:p>
    <w:p>
      <w:r>
        <w:t>06. Data &amp; Information is now complete at draft v0.1, fully traceable to 01–05 and explicitly gated by data-readiness principles.</w:t>
      </w:r>
    </w:p>
    <w:p>
      <w:r>
        <w:t>Shall I proceed to Step 7: 07. Presales &amp; Solutioning (Platform Comparison -&gt; Competitive Analysis -&gt; Solution Comparison -&gt; Value Proposition -&gt; Business Value Assessment -&gt; Presales Solution Notes)?</w:t>
      </w:r>
    </w:p>
    <w:p>
      <w:r>
        <w:t>Do, one thing draft all the proposed documents in a signle go</w:t>
      </w:r>
    </w:p>
    <w:p>
      <w:r>
        <w:t>svg</w:t>
      </w:r>
    </w:p>
    <w:p>
      <w:r>
        <w:t>Understood. I will now draft all remaining working documents and submission-ready outputs in a single consolidated pass, following the frozen structure and maintaining full traceability, defensibility, and AI disclosure compliance.</w:t>
      </w:r>
    </w:p>
    <w:p>
      <w:r>
        <w:t>This will include:</w:t>
      </w:r>
    </w:p>
    <w:p>
      <w:pPr>
        <w:pStyle w:val="ListBullet"/>
      </w:pPr>
      <w:r>
        <w:t>07. Presales &amp; Solutioning</w:t>
      </w:r>
    </w:p>
    <w:p>
      <w:pPr>
        <w:pStyle w:val="ListBullet"/>
      </w:pPr>
      <w:r>
        <w:t>08. Governance &amp; Delivery</w:t>
      </w:r>
    </w:p>
    <w:p>
      <w:pPr>
        <w:pStyle w:val="ListBullet"/>
      </w:pPr>
      <w:r>
        <w:t>09. Digital Twin, Predictive Intelligence &amp; AI</w:t>
      </w:r>
    </w:p>
    <w:p>
      <w:pPr>
        <w:pStyle w:val="ListBullet"/>
      </w:pPr>
      <w:r>
        <w:t>Submission Documents 01–04 (consolidated client-ready outputs)</w:t>
      </w:r>
    </w:p>
    <w:p>
      <w:pPr>
        <w:pStyle w:val="ListBullet"/>
      </w:pPr>
      <w:r>
        <w:t>Presentation (20-slide structure with speaker notes)</w:t>
      </w:r>
    </w:p>
    <w:p>
      <w:pPr>
        <w:pStyle w:val="ListBullet"/>
      </w:pPr>
      <w:r>
        <w:t>Final AI Involvement Disclosure (embedded per prompt requirements)</w:t>
      </w:r>
    </w:p>
    <w:p>
      <w:r>
        <w:t>All content will be business-level, assumption-labeled, and specialist-boundary compliant.</w:t>
      </w:r>
    </w:p>
    <w:p>
      <w:r>
        <w:t>---</w:t>
      </w:r>
    </w:p>
    <w:p>
      <w:pPr>
        <w:pStyle w:val="Heading1"/>
      </w:pPr>
      <w:r>
        <w:t>COMPLETE ANTIER PROJECT ASSIGNMENT</w:t>
      </w:r>
    </w:p>
    <w:p>
      <w:r>
        <w:t>Baseline Date: 13 September 2026</w:t>
      </w:r>
    </w:p>
    <w:p>
      <w:r>
        <w:t>Document Status: Final Draft v1.0</w:t>
      </w:r>
    </w:p>
    <w:p>
      <w:r>
        <w:t>Positioning: Senior Business Analyst | Senior Project Manager – AI &amp; Client Delivery | Presales Consultant</w:t>
      </w:r>
    </w:p>
    <w:p>
      <w: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