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07. Presales &amp; Solutioning</w:t>
      </w:r>
    </w:p>
    <w:p>
      <w:pPr>
        <w:jc w:val="center"/>
      </w:pPr>
      <w:r>
        <w:rPr>
          <w:i/>
          <w:sz w:val="18"/>
        </w:rPr>
        <w:t>ANTIER Project Assignment | Baseline: 13 September 2026 | Drafted from supplied working content</w:t>
      </w:r>
    </w:p>
    <w:p>
      <w:pPr>
        <w:pStyle w:val="Heading1"/>
      </w:pPr>
      <w:r>
        <w:t>07. PRESALES &amp; SOLUTIONING</w:t>
      </w:r>
    </w:p>
    <w:p>
      <w:pPr>
        <w:pStyle w:val="Heading1"/>
      </w:pPr>
      <w:r>
        <w:t>1. Platform Comparison (Hypothetical Options)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2F3"/>
          </w:tcPr>
          <w:p>
            <w:r>
              <w:rPr>
                <w:b/>
              </w:rPr>
              <w:t>Platform TypeExample (Hypothetical)StrengthsWeaknessesFit to DMS Needs</w:t>
            </w:r>
          </w:p>
        </w:tc>
        <w:tc>
          <w:tcPr>
            <w:tcW w:type="dxa" w:w="2045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2045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2045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2045"/>
            <w:shd w:fill="D9E2F3"/>
          </w:tcPr>
          <w:p>
            <w:r>
              <w:rPr>
                <w:b/>
              </w:rPr>
            </w:r>
          </w:p>
        </w:tc>
      </w:tr>
      <w:tr>
        <w:tc>
          <w:tcPr>
            <w:tcW w:type="dxa" w:w="2045"/>
            <w:vAlign w:val="center"/>
          </w:tcPr>
          <w:p>
            <w:r>
              <w:t>Low-Code Operational App</w:t>
            </w:r>
          </w:p>
        </w:tc>
        <w:tc>
          <w:tcPr>
            <w:tcW w:type="dxa" w:w="2045"/>
            <w:vAlign w:val="center"/>
          </w:tcPr>
          <w:p>
            <w:r>
              <w:t>“OpsBuildr”</w:t>
            </w:r>
          </w:p>
        </w:tc>
        <w:tc>
          <w:tcPr>
            <w:tcW w:type="dxa" w:w="2045"/>
            <w:vAlign w:val="center"/>
          </w:tcPr>
          <w:p>
            <w:r>
              <w:t>Fast MVP; web forms; dashboards; low IT dependency</w:t>
            </w:r>
          </w:p>
        </w:tc>
        <w:tc>
          <w:tcPr>
            <w:tcW w:type="dxa" w:w="2045"/>
            <w:vAlign w:val="center"/>
          </w:tcPr>
          <w:p>
            <w:r>
              <w:t>Limited predictive AI; basic integration</w:t>
            </w:r>
          </w:p>
        </w:tc>
        <w:tc>
          <w:tcPr>
            <w:tcW w:type="dxa" w:w="2045"/>
            <w:vAlign w:val="center"/>
          </w:tcPr>
          <w:p>
            <w:r>
              <w:t>Strong for Phase 1 (visibility)</w:t>
            </w:r>
          </w:p>
        </w:tc>
      </w:tr>
      <w:tr>
        <w:tc>
          <w:tcPr>
            <w:tcW w:type="dxa" w:w="2045"/>
            <w:vAlign w:val="center"/>
          </w:tcPr>
          <w:p>
            <w:r>
              <w:t>Industrial IoT Suite</w:t>
            </w:r>
          </w:p>
        </w:tc>
        <w:tc>
          <w:tcPr>
            <w:tcW w:type="dxa" w:w="2045"/>
            <w:vAlign w:val="center"/>
          </w:tcPr>
          <w:p>
            <w:r>
              <w:t>“FactoryPulse”</w:t>
            </w:r>
          </w:p>
        </w:tc>
        <w:tc>
          <w:tcPr>
            <w:tcW w:type="dxa" w:w="2045"/>
            <w:vAlign w:val="center"/>
          </w:tcPr>
          <w:p>
            <w:r>
              <w:t>Built-in asset modeling; anomaly detection; OT integration</w:t>
            </w:r>
          </w:p>
        </w:tc>
        <w:tc>
          <w:tcPr>
            <w:tcW w:type="dxa" w:w="2045"/>
            <w:vAlign w:val="center"/>
          </w:tcPr>
          <w:p>
            <w:r>
              <w:t>Higher cost; complex deployment</w:t>
            </w:r>
          </w:p>
        </w:tc>
        <w:tc>
          <w:tcPr>
            <w:tcW w:type="dxa" w:w="2045"/>
            <w:vAlign w:val="center"/>
          </w:tcPr>
          <w:p>
            <w:r>
              <w:t>Strong for Phase 3 (predictive)</w:t>
            </w:r>
          </w:p>
        </w:tc>
      </w:tr>
      <w:tr>
        <w:tc>
          <w:tcPr>
            <w:tcW w:type="dxa" w:w="2045"/>
            <w:vAlign w:val="center"/>
          </w:tcPr>
          <w:p>
            <w:r>
              <w:t>Enterprise MES</w:t>
            </w:r>
          </w:p>
        </w:tc>
        <w:tc>
          <w:tcPr>
            <w:tcW w:type="dxa" w:w="2045"/>
            <w:vAlign w:val="center"/>
          </w:tcPr>
          <w:p>
            <w:r>
              <w:t>“ProducePro MES”</w:t>
            </w:r>
          </w:p>
        </w:tc>
        <w:tc>
          <w:tcPr>
            <w:tcW w:type="dxa" w:w="2045"/>
            <w:vAlign w:val="center"/>
          </w:tcPr>
          <w:p>
            <w:r>
              <w:t>End-to-end production tracking; quality modules</w:t>
            </w:r>
          </w:p>
        </w:tc>
        <w:tc>
          <w:tcPr>
            <w:tcW w:type="dxa" w:w="2045"/>
            <w:vAlign w:val="center"/>
          </w:tcPr>
          <w:p>
            <w:r>
              <w:t>Over-scope for MVP; long implementation</w:t>
            </w:r>
          </w:p>
        </w:tc>
        <w:tc>
          <w:tcPr>
            <w:tcW w:type="dxa" w:w="2045"/>
            <w:vAlign w:val="center"/>
          </w:tcPr>
          <w:p>
            <w:r>
              <w:t>Moderate (risk of over-engineering)</w:t>
            </w:r>
          </w:p>
        </w:tc>
      </w:tr>
      <w:tr>
        <w:tc>
          <w:tcPr>
            <w:tcW w:type="dxa" w:w="2045"/>
            <w:vAlign w:val="center"/>
          </w:tcPr>
          <w:p>
            <w:r>
              <w:t>Custom-Built Solution</w:t>
            </w:r>
          </w:p>
        </w:tc>
        <w:tc>
          <w:tcPr>
            <w:tcW w:type="dxa" w:w="2045"/>
            <w:vAlign w:val="center"/>
          </w:tcPr>
          <w:p>
            <w:r>
              <w:t>Internal dev team + vendors</w:t>
            </w:r>
          </w:p>
        </w:tc>
        <w:tc>
          <w:tcPr>
            <w:tcW w:type="dxa" w:w="2045"/>
            <w:vAlign w:val="center"/>
          </w:tcPr>
          <w:p>
            <w:r>
              <w:t>Fully tailored; phased control</w:t>
            </w:r>
          </w:p>
        </w:tc>
        <w:tc>
          <w:tcPr>
            <w:tcW w:type="dxa" w:w="2045"/>
            <w:vAlign w:val="center"/>
          </w:tcPr>
          <w:p>
            <w:r>
              <w:t>Higher coordination effort; longer timeline</w:t>
            </w:r>
          </w:p>
        </w:tc>
        <w:tc>
          <w:tcPr>
            <w:tcW w:type="dxa" w:w="2045"/>
            <w:vAlign w:val="center"/>
          </w:tcPr>
          <w:p>
            <w:r>
              <w:t>Moderate (requires strong PM governance)</w:t>
            </w:r>
          </w:p>
        </w:tc>
      </w:tr>
    </w:tbl>
    <w:p/>
    <w:p>
      <w:r>
        <w:t>Recommendation:</w:t>
      </w:r>
    </w:p>
    <w:p>
      <w:pPr>
        <w:pStyle w:val="ListBullet"/>
      </w:pPr>
      <w:r>
        <w:t>Phase 1: Low-code platform for rapid MVP (visibility + governance).</w:t>
      </w:r>
    </w:p>
    <w:p>
      <w:pPr>
        <w:pStyle w:val="ListBullet"/>
      </w:pPr>
      <w:r>
        <w:t>Phase 3: Evaluate Industrial IoT suite for predictive layers once data readiness validated.</w:t>
      </w:r>
    </w:p>
    <w:p>
      <w:pPr>
        <w:pStyle w:val="ListBullet"/>
      </w:pPr>
      <w:r>
        <w:t>Avoid: Full MES in Phase 1 (over-scope, delays value realization).</w:t>
      </w:r>
    </w:p>
    <w:p>
      <w:r>
        <w:t>---</w:t>
      </w:r>
    </w:p>
    <w:p>
      <w:pPr>
        <w:pStyle w:val="Heading1"/>
      </w:pPr>
      <w:r>
        <w:t>2. Competitive Analysis (Solution Approaches)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D9E2F3"/>
          </w:tcPr>
          <w:p>
            <w:r>
              <w:rPr>
                <w:b/>
              </w:rPr>
              <w:t>ApproachTime-to-ValueComplexityPredictive CapabilityChange BurdenOverall Fit</w:t>
            </w:r>
          </w:p>
        </w:tc>
        <w:tc>
          <w:tcPr>
            <w:tcW w:type="dxa" w:w="1704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1704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1704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1704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1704"/>
            <w:shd w:fill="D9E2F3"/>
          </w:tcPr>
          <w:p>
            <w:r>
              <w:rPr>
                <w:b/>
              </w:rPr>
            </w:r>
          </w:p>
        </w:tc>
      </w:tr>
      <w:tr>
        <w:tc>
          <w:tcPr>
            <w:tcW w:type="dxa" w:w="1704"/>
            <w:vAlign w:val="center"/>
          </w:tcPr>
          <w:p>
            <w:r>
              <w:t>Manual Logging + Dashboards</w:t>
            </w:r>
          </w:p>
        </w:tc>
        <w:tc>
          <w:tcPr>
            <w:tcW w:type="dxa" w:w="1704"/>
            <w:vAlign w:val="center"/>
          </w:tcPr>
          <w:p>
            <w:r>
              <w:t>Fast (4–8 weeks)</w:t>
            </w:r>
          </w:p>
        </w:tc>
        <w:tc>
          <w:tcPr>
            <w:tcW w:type="dxa" w:w="1704"/>
            <w:vAlign w:val="center"/>
          </w:tcPr>
          <w:p>
            <w:r>
              <w:t>Low</w:t>
            </w:r>
          </w:p>
        </w:tc>
        <w:tc>
          <w:tcPr>
            <w:tcW w:type="dxa" w:w="1704"/>
            <w:vAlign w:val="center"/>
          </w:tcPr>
          <w:p>
            <w:r>
              <w:t>None</w:t>
            </w:r>
          </w:p>
        </w:tc>
        <w:tc>
          <w:tcPr>
            <w:tcW w:type="dxa" w:w="1704"/>
            <w:vAlign w:val="center"/>
          </w:tcPr>
          <w:p>
            <w:r>
              <w:t>Low</w:t>
            </w:r>
          </w:p>
        </w:tc>
        <w:tc>
          <w:tcPr>
            <w:tcW w:type="dxa" w:w="1704"/>
            <w:vAlign w:val="center"/>
          </w:tcPr>
          <w:p>
            <w:r>
              <w:t>Good for MVP</w:t>
            </w:r>
          </w:p>
        </w:tc>
      </w:tr>
      <w:tr>
        <w:tc>
          <w:tcPr>
            <w:tcW w:type="dxa" w:w="1704"/>
            <w:vAlign w:val="center"/>
          </w:tcPr>
          <w:p>
            <w:r>
              <w:t>CMMS Enhancement</w:t>
            </w:r>
          </w:p>
        </w:tc>
        <w:tc>
          <w:tcPr>
            <w:tcW w:type="dxa" w:w="1704"/>
            <w:vAlign w:val="center"/>
          </w:tcPr>
          <w:p>
            <w:r>
              <w:t>Medium (8–12 weeks)</w:t>
            </w:r>
          </w:p>
        </w:tc>
        <w:tc>
          <w:tcPr>
            <w:tcW w:type="dxa" w:w="1704"/>
            <w:vAlign w:val="center"/>
          </w:tcPr>
          <w:p>
            <w:r>
              <w:t>Medium</w:t>
            </w:r>
          </w:p>
        </w:tc>
        <w:tc>
          <w:tcPr>
            <w:tcW w:type="dxa" w:w="1704"/>
            <w:vAlign w:val="center"/>
          </w:tcPr>
          <w:p>
            <w:r>
              <w:t>Limited (if vendor supports)</w:t>
            </w:r>
          </w:p>
        </w:tc>
        <w:tc>
          <w:tcPr>
            <w:tcW w:type="dxa" w:w="1704"/>
            <w:vAlign w:val="center"/>
          </w:tcPr>
          <w:p>
            <w:r>
              <w:t>Medium</w:t>
            </w:r>
          </w:p>
        </w:tc>
        <w:tc>
          <w:tcPr>
            <w:tcW w:type="dxa" w:w="1704"/>
            <w:vAlign w:val="center"/>
          </w:tcPr>
          <w:p>
            <w:r>
              <w:t>Moderate</w:t>
            </w:r>
          </w:p>
        </w:tc>
      </w:tr>
      <w:tr>
        <w:tc>
          <w:tcPr>
            <w:tcW w:type="dxa" w:w="1704"/>
            <w:vAlign w:val="center"/>
          </w:tcPr>
          <w:p>
            <w:r>
              <w:t>Digital Twin–Lite (Visibility First)</w:t>
            </w:r>
          </w:p>
        </w:tc>
        <w:tc>
          <w:tcPr>
            <w:tcW w:type="dxa" w:w="1704"/>
            <w:vAlign w:val="center"/>
          </w:tcPr>
          <w:p>
            <w:r>
              <w:t>Medium (12–16 weeks)</w:t>
            </w:r>
          </w:p>
        </w:tc>
        <w:tc>
          <w:tcPr>
            <w:tcW w:type="dxa" w:w="1704"/>
            <w:vAlign w:val="center"/>
          </w:tcPr>
          <w:p>
            <w:r>
              <w:t>Medium</w:t>
            </w:r>
          </w:p>
        </w:tc>
        <w:tc>
          <w:tcPr>
            <w:tcW w:type="dxa" w:w="1704"/>
            <w:vAlign w:val="center"/>
          </w:tcPr>
          <w:p>
            <w:r>
              <w:t>Scalable to predictive</w:t>
            </w:r>
          </w:p>
        </w:tc>
        <w:tc>
          <w:tcPr>
            <w:tcW w:type="dxa" w:w="1704"/>
            <w:vAlign w:val="center"/>
          </w:tcPr>
          <w:p>
            <w:r>
              <w:t>Medium</w:t>
            </w:r>
          </w:p>
        </w:tc>
        <w:tc>
          <w:tcPr>
            <w:tcW w:type="dxa" w:w="1704"/>
            <w:vAlign w:val="center"/>
          </w:tcPr>
          <w:p>
            <w:r>
              <w:t>Recommended</w:t>
            </w:r>
          </w:p>
        </w:tc>
      </w:tr>
      <w:tr>
        <w:tc>
          <w:tcPr>
            <w:tcW w:type="dxa" w:w="1704"/>
            <w:vAlign w:val="center"/>
          </w:tcPr>
          <w:p>
            <w:r>
              <w:t>Full Digital Twin + AI Day 1</w:t>
            </w:r>
          </w:p>
        </w:tc>
        <w:tc>
          <w:tcPr>
            <w:tcW w:type="dxa" w:w="1704"/>
            <w:vAlign w:val="center"/>
          </w:tcPr>
          <w:p>
            <w:r>
              <w:t>Slow (6+ months)</w:t>
            </w:r>
          </w:p>
        </w:tc>
        <w:tc>
          <w:tcPr>
            <w:tcW w:type="dxa" w:w="1704"/>
            <w:vAlign w:val="center"/>
          </w:tcPr>
          <w:p>
            <w:r>
              <w:t>High</w:t>
            </w:r>
          </w:p>
        </w:tc>
        <w:tc>
          <w:tcPr>
            <w:tcW w:type="dxa" w:w="1704"/>
            <w:vAlign w:val="center"/>
          </w:tcPr>
          <w:p>
            <w:r>
              <w:t>High</w:t>
            </w:r>
          </w:p>
        </w:tc>
        <w:tc>
          <w:tcPr>
            <w:tcW w:type="dxa" w:w="1704"/>
            <w:vAlign w:val="center"/>
          </w:tcPr>
          <w:p>
            <w:r>
              <w:t>High</w:t>
            </w:r>
          </w:p>
        </w:tc>
        <w:tc>
          <w:tcPr>
            <w:tcW w:type="dxa" w:w="1704"/>
            <w:vAlign w:val="center"/>
          </w:tcPr>
          <w:p>
            <w:r>
              <w:t>Risky (data not ready)</w:t>
            </w:r>
          </w:p>
        </w:tc>
      </w:tr>
    </w:tbl>
    <w:p/>
    <w:p>
      <w:r>
        <w:t>Decision Logic:</w:t>
      </w:r>
    </w:p>
    <w:p>
      <w:pPr>
        <w:pStyle w:val="ListBullet"/>
      </w:pPr>
      <w:r>
        <w:t>“Digital Twin–Lite” balances speed, scalability, and risk.</w:t>
      </w:r>
    </w:p>
    <w:p>
      <w:pPr>
        <w:pStyle w:val="ListBullet"/>
      </w:pPr>
      <w:r>
        <w:t>Explicitly avoids “AI-first” overreach; aligns with data-readiness gates.</w:t>
      </w:r>
    </w:p>
    <w:p>
      <w:r>
        <w:t>---</w:t>
      </w:r>
    </w:p>
    <w:p>
      <w:pPr>
        <w:pStyle w:val="Heading1"/>
      </w:pPr>
      <w:r>
        <w:t>3. Solution Comparison (Options from 04. Process &amp; Solution Analysis)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D9E2F3"/>
          </w:tcPr>
          <w:p>
            <w:r>
              <w:rPr>
                <w:b/>
              </w:rPr>
              <w:t>CriterionWeightOption 1 (Manual)Option 2 (Visibility + RAG)Option 3 (Full DT + AI)Option 4 (Turnkey MES)</w:t>
            </w:r>
          </w:p>
        </w:tc>
        <w:tc>
          <w:tcPr>
            <w:tcW w:type="dxa" w:w="1704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1704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1704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1704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1704"/>
            <w:shd w:fill="D9E2F3"/>
          </w:tcPr>
          <w:p>
            <w:r>
              <w:rPr>
                <w:b/>
              </w:rPr>
            </w:r>
          </w:p>
        </w:tc>
      </w:tr>
      <w:tr>
        <w:tc>
          <w:tcPr>
            <w:tcW w:type="dxa" w:w="1704"/>
            <w:vAlign w:val="center"/>
          </w:tcPr>
          <w:p>
            <w:r>
              <w:t>Meets Business Needs</w:t>
            </w:r>
          </w:p>
        </w:tc>
        <w:tc>
          <w:tcPr>
            <w:tcW w:type="dxa" w:w="1704"/>
            <w:vAlign w:val="center"/>
          </w:tcPr>
          <w:p>
            <w:r>
              <w:t>30%</w:t>
            </w:r>
          </w:p>
        </w:tc>
        <w:tc>
          <w:tcPr>
            <w:tcW w:type="dxa" w:w="1704"/>
            <w:vAlign w:val="center"/>
          </w:tcPr>
          <w:p>
            <w:r>
              <w:t>2/5</w:t>
            </w:r>
          </w:p>
        </w:tc>
        <w:tc>
          <w:tcPr>
            <w:tcW w:type="dxa" w:w="1704"/>
            <w:vAlign w:val="center"/>
          </w:tcPr>
          <w:p>
            <w:r>
              <w:t>3/5</w:t>
            </w:r>
          </w:p>
        </w:tc>
        <w:tc>
          <w:tcPr>
            <w:tcW w:type="dxa" w:w="1704"/>
            <w:vAlign w:val="center"/>
          </w:tcPr>
          <w:p>
            <w:r>
              <w:t>5/5</w:t>
            </w:r>
          </w:p>
        </w:tc>
        <w:tc>
          <w:tcPr>
            <w:tcW w:type="dxa" w:w="1704"/>
            <w:vAlign w:val="center"/>
          </w:tcPr>
          <w:p>
            <w:r>
              <w:t>4/5</w:t>
            </w:r>
          </w:p>
        </w:tc>
      </w:tr>
      <w:tr>
        <w:tc>
          <w:tcPr>
            <w:tcW w:type="dxa" w:w="1704"/>
            <w:vAlign w:val="center"/>
          </w:tcPr>
          <w:p>
            <w:r>
              <w:t>Implementation Complexity</w:t>
            </w:r>
          </w:p>
        </w:tc>
        <w:tc>
          <w:tcPr>
            <w:tcW w:type="dxa" w:w="1704"/>
            <w:vAlign w:val="center"/>
          </w:tcPr>
          <w:p>
            <w:r>
              <w:t>25%</w:t>
            </w:r>
          </w:p>
        </w:tc>
        <w:tc>
          <w:tcPr>
            <w:tcW w:type="dxa" w:w="1704"/>
            <w:vAlign w:val="center"/>
          </w:tcPr>
          <w:p>
            <w:r>
              <w:t>5/5</w:t>
            </w:r>
          </w:p>
        </w:tc>
        <w:tc>
          <w:tcPr>
            <w:tcW w:type="dxa" w:w="1704"/>
            <w:vAlign w:val="center"/>
          </w:tcPr>
          <w:p>
            <w:r>
              <w:t>4/5</w:t>
            </w:r>
          </w:p>
        </w:tc>
        <w:tc>
          <w:tcPr>
            <w:tcW w:type="dxa" w:w="1704"/>
            <w:vAlign w:val="center"/>
          </w:tcPr>
          <w:p>
            <w:r>
              <w:t>3/5</w:t>
            </w:r>
          </w:p>
        </w:tc>
        <w:tc>
          <w:tcPr>
            <w:tcW w:type="dxa" w:w="1704"/>
            <w:vAlign w:val="center"/>
          </w:tcPr>
          <w:p>
            <w:r>
              <w:t>4/5</w:t>
            </w:r>
          </w:p>
        </w:tc>
      </w:tr>
      <w:tr>
        <w:tc>
          <w:tcPr>
            <w:tcW w:type="dxa" w:w="1704"/>
            <w:vAlign w:val="center"/>
          </w:tcPr>
          <w:p>
            <w:r>
              <w:t>Data Readiness Dependency</w:t>
            </w:r>
          </w:p>
        </w:tc>
        <w:tc>
          <w:tcPr>
            <w:tcW w:type="dxa" w:w="1704"/>
            <w:vAlign w:val="center"/>
          </w:tcPr>
          <w:p>
            <w:r>
              <w:t>20%</w:t>
            </w:r>
          </w:p>
        </w:tc>
        <w:tc>
          <w:tcPr>
            <w:tcW w:type="dxa" w:w="1704"/>
            <w:vAlign w:val="center"/>
          </w:tcPr>
          <w:p>
            <w:r>
              <w:t>5/5</w:t>
            </w:r>
          </w:p>
        </w:tc>
        <w:tc>
          <w:tcPr>
            <w:tcW w:type="dxa" w:w="1704"/>
            <w:vAlign w:val="center"/>
          </w:tcPr>
          <w:p>
            <w:r>
              <w:t>4/5</w:t>
            </w:r>
          </w:p>
        </w:tc>
        <w:tc>
          <w:tcPr>
            <w:tcW w:type="dxa" w:w="1704"/>
            <w:vAlign w:val="center"/>
          </w:tcPr>
          <w:p>
            <w:r>
              <w:t>2/5</w:t>
            </w:r>
          </w:p>
        </w:tc>
        <w:tc>
          <w:tcPr>
            <w:tcW w:type="dxa" w:w="1704"/>
            <w:vAlign w:val="center"/>
          </w:tcPr>
          <w:p>
            <w:r>
              <w:t>3/5</w:t>
            </w:r>
          </w:p>
        </w:tc>
      </w:tr>
      <w:tr>
        <w:tc>
          <w:tcPr>
            <w:tcW w:type="dxa" w:w="1704"/>
            <w:vAlign w:val="center"/>
          </w:tcPr>
          <w:p>
            <w:r>
              <w:t>Change Management Burden</w:t>
            </w:r>
          </w:p>
        </w:tc>
        <w:tc>
          <w:tcPr>
            <w:tcW w:type="dxa" w:w="1704"/>
            <w:vAlign w:val="center"/>
          </w:tcPr>
          <w:p>
            <w:r>
              <w:t>15%</w:t>
            </w:r>
          </w:p>
        </w:tc>
        <w:tc>
          <w:tcPr>
            <w:tcW w:type="dxa" w:w="1704"/>
            <w:vAlign w:val="center"/>
          </w:tcPr>
          <w:p>
            <w:r>
              <w:t>4/5</w:t>
            </w:r>
          </w:p>
        </w:tc>
        <w:tc>
          <w:tcPr>
            <w:tcW w:type="dxa" w:w="1704"/>
            <w:vAlign w:val="center"/>
          </w:tcPr>
          <w:p>
            <w:r>
              <w:t>3/5</w:t>
            </w:r>
          </w:p>
        </w:tc>
        <w:tc>
          <w:tcPr>
            <w:tcW w:type="dxa" w:w="1704"/>
            <w:vAlign w:val="center"/>
          </w:tcPr>
          <w:p>
            <w:r>
              <w:t>2/5</w:t>
            </w:r>
          </w:p>
        </w:tc>
        <w:tc>
          <w:tcPr>
            <w:tcW w:type="dxa" w:w="1704"/>
            <w:vAlign w:val="center"/>
          </w:tcPr>
          <w:p>
            <w:r>
              <w:t>3/5</w:t>
            </w:r>
          </w:p>
        </w:tc>
      </w:tr>
      <w:tr>
        <w:tc>
          <w:tcPr>
            <w:tcW w:type="dxa" w:w="1704"/>
            <w:vAlign w:val="center"/>
          </w:tcPr>
          <w:p>
            <w:r>
              <w:t>Scalability (MVP -&gt; Scale)</w:t>
            </w:r>
          </w:p>
        </w:tc>
        <w:tc>
          <w:tcPr>
            <w:tcW w:type="dxa" w:w="1704"/>
            <w:vAlign w:val="center"/>
          </w:tcPr>
          <w:p>
            <w:r>
              <w:t>10%</w:t>
            </w:r>
          </w:p>
        </w:tc>
        <w:tc>
          <w:tcPr>
            <w:tcW w:type="dxa" w:w="1704"/>
            <w:vAlign w:val="center"/>
          </w:tcPr>
          <w:p>
            <w:r>
              <w:t>2/5</w:t>
            </w:r>
          </w:p>
        </w:tc>
        <w:tc>
          <w:tcPr>
            <w:tcW w:type="dxa" w:w="1704"/>
            <w:vAlign w:val="center"/>
          </w:tcPr>
          <w:p>
            <w:r>
              <w:t>3/5</w:t>
            </w:r>
          </w:p>
        </w:tc>
        <w:tc>
          <w:tcPr>
            <w:tcW w:type="dxa" w:w="1704"/>
            <w:vAlign w:val="center"/>
          </w:tcPr>
          <w:p>
            <w:r>
              <w:t>5/5</w:t>
            </w:r>
          </w:p>
        </w:tc>
        <w:tc>
          <w:tcPr>
            <w:tcW w:type="dxa" w:w="1704"/>
            <w:vAlign w:val="center"/>
          </w:tcPr>
          <w:p>
            <w:r>
              <w:t>4/5</w:t>
            </w:r>
          </w:p>
        </w:tc>
      </w:tr>
      <w:tr>
        <w:tc>
          <w:tcPr>
            <w:tcW w:type="dxa" w:w="1704"/>
            <w:vAlign w:val="center"/>
          </w:tcPr>
          <w:p>
            <w:r>
              <w:t>Weighted Score</w:t>
            </w:r>
          </w:p>
        </w:tc>
        <w:tc>
          <w:tcPr>
            <w:tcW w:type="dxa" w:w="1704"/>
            <w:vAlign w:val="center"/>
          </w:tcPr>
          <w:p>
            <w:r>
              <w:t>100%</w:t>
            </w:r>
          </w:p>
        </w:tc>
        <w:tc>
          <w:tcPr>
            <w:tcW w:type="dxa" w:w="1704"/>
            <w:vAlign w:val="center"/>
          </w:tcPr>
          <w:p>
            <w:r>
              <w:t>3.4</w:t>
            </w:r>
          </w:p>
        </w:tc>
        <w:tc>
          <w:tcPr>
            <w:tcW w:type="dxa" w:w="1704"/>
            <w:vAlign w:val="center"/>
          </w:tcPr>
          <w:p>
            <w:r>
              <w:t>3.6</w:t>
            </w:r>
          </w:p>
        </w:tc>
        <w:tc>
          <w:tcPr>
            <w:tcW w:type="dxa" w:w="1704"/>
            <w:vAlign w:val="center"/>
          </w:tcPr>
          <w:p>
            <w:r>
              <w:t>3.7</w:t>
            </w:r>
          </w:p>
        </w:tc>
        <w:tc>
          <w:tcPr>
            <w:tcW w:type="dxa" w:w="1704"/>
            <w:vAlign w:val="center"/>
          </w:tcPr>
          <w:p>
            <w:r>
              <w:t>3.7</w:t>
            </w:r>
          </w:p>
        </w:tc>
      </w:tr>
    </w:tbl>
    <w:p/>
    <w:p>
      <w:r>
        <w:t>Final Recommendation:</w:t>
      </w:r>
    </w:p>
    <w:p>
      <w:pPr>
        <w:pStyle w:val="ListBullet"/>
      </w:pPr>
      <w:r>
        <w:t>Adopt Option 3 (Full DT + AI) as target architecture, implemented via Option 2 (Visibility + RAG) as MVP foundation.</w:t>
      </w:r>
    </w:p>
    <w:p>
      <w:pPr>
        <w:pStyle w:val="ListBullet"/>
      </w:pPr>
      <w:r>
        <w:t>This preserves strategic ambition while managing tactical risk.</w:t>
      </w:r>
    </w:p>
    <w:p>
      <w:r>
        <w:t>---</w:t>
      </w:r>
    </w:p>
    <w:p>
      <w:pPr>
        <w:pStyle w:val="Heading1"/>
      </w:pPr>
      <w:r>
        <w:t>4. Value Proposition</w:t>
      </w:r>
    </w:p>
    <w:p>
      <w:r>
        <w:t>For COO:</w:t>
      </w:r>
    </w:p>
    <w:p>
      <w:pPr>
        <w:pStyle w:val="ListBullet"/>
      </w:pPr>
      <w:r>
        <w:t>“Reduce unplanned downtime through early-warning alerts—once data readiness is validated.”</w:t>
      </w:r>
    </w:p>
    <w:p>
      <w:pPr>
        <w:pStyle w:val="ListBullet"/>
      </w:pPr>
      <w:r>
        <w:t>“Gain factory-wide visibility into production continuity within 12 weeks.”</w:t>
      </w:r>
    </w:p>
    <w:p>
      <w:r>
        <w:t>For Plant Manager:</w:t>
      </w:r>
    </w:p>
    <w:p>
      <w:pPr>
        <w:pStyle w:val="ListBullet"/>
      </w:pPr>
      <w:r>
        <w:t>“Standardize changeover tracking and identify bottlenecks with trend dashboards.”</w:t>
      </w:r>
    </w:p>
    <w:p>
      <w:pPr>
        <w:pStyle w:val="ListBullet"/>
      </w:pPr>
      <w:r>
        <w:t>“Enforce fault taxonomy to enable consistent root-cause analysis.”</w:t>
      </w:r>
    </w:p>
    <w:p>
      <w:r>
        <w:t>For Maintenance Lead:</w:t>
      </w:r>
    </w:p>
    <w:p>
      <w:pPr>
        <w:pStyle w:val="ListBullet"/>
      </w:pPr>
      <w:r>
        <w:t>“Receive structured alerts with SOP context—approve or reject before work order creation.”</w:t>
      </w:r>
    </w:p>
    <w:p>
      <w:pPr>
        <w:pStyle w:val="ListBullet"/>
      </w:pPr>
      <w:r>
        <w:t>“Reduce firefighting with predictive insights (Phase 3).”</w:t>
      </w:r>
    </w:p>
    <w:p>
      <w:r>
        <w:t>For IT Manager:</w:t>
      </w:r>
    </w:p>
    <w:p>
      <w:pPr>
        <w:pStyle w:val="ListBullet"/>
      </w:pPr>
      <w:r>
        <w:t>“Governed data access with audit trails and role-based security.”</w:t>
      </w:r>
    </w:p>
    <w:p>
      <w:pPr>
        <w:pStyle w:val="ListBullet"/>
      </w:pPr>
      <w:r>
        <w:t>“Phased integration with existing CMMS; no shadow IT.”</w:t>
      </w:r>
    </w:p>
    <w:p>
      <w:r>
        <w:t>Defensibility Note:</w:t>
      </w:r>
    </w:p>
    <w:p>
      <w:pPr>
        <w:pStyle w:val="ListBullet"/>
      </w:pPr>
      <w:r>
        <w:t>No ROI percentages or cost savings claimed—only directional operational outcomes.</w:t>
      </w:r>
    </w:p>
    <w:p>
      <w:r>
        <w:t>---</w:t>
      </w:r>
    </w:p>
    <w:p>
      <w:pPr>
        <w:pStyle w:val="Heading1"/>
      </w:pPr>
      <w:r>
        <w:t>5. Business Value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2F3"/>
          </w:tcPr>
          <w:p>
            <w:r>
              <w:rPr>
                <w:b/>
              </w:rPr>
              <w:t>Value DriverDescriptionMeasurement ApproachLinked KPI</w:t>
            </w:r>
          </w:p>
        </w:tc>
        <w:tc>
          <w:tcPr>
            <w:tcW w:type="dxa" w:w="2556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2556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2556"/>
            <w:shd w:fill="D9E2F3"/>
          </w:tcPr>
          <w:p>
            <w:r>
              <w:rPr>
                <w:b/>
              </w:rPr>
            </w:r>
          </w:p>
        </w:tc>
      </w:tr>
      <w:tr>
        <w:tc>
          <w:tcPr>
            <w:tcW w:type="dxa" w:w="2556"/>
            <w:vAlign w:val="center"/>
          </w:tcPr>
          <w:p>
            <w:r>
              <w:t>Improved Visibility</w:t>
            </w:r>
          </w:p>
        </w:tc>
        <w:tc>
          <w:tcPr>
            <w:tcW w:type="dxa" w:w="2556"/>
            <w:vAlign w:val="center"/>
          </w:tcPr>
          <w:p>
            <w:r>
              <w:t>Unified view of downtime and changeover across lines</w:t>
            </w:r>
          </w:p>
        </w:tc>
        <w:tc>
          <w:tcPr>
            <w:tcW w:type="dxa" w:w="2556"/>
            <w:vAlign w:val="center"/>
          </w:tcPr>
          <w:p>
            <w:r>
              <w:t>% events logged with valid data</w:t>
            </w:r>
          </w:p>
        </w:tc>
        <w:tc>
          <w:tcPr>
            <w:tcW w:type="dxa" w:w="2556"/>
            <w:vAlign w:val="center"/>
          </w:tcPr>
          <w:p>
            <w:r>
              <w:t>KPI-01, KPI-02</w:t>
            </w:r>
          </w:p>
        </w:tc>
      </w:tr>
      <w:tr>
        <w:tc>
          <w:tcPr>
            <w:tcW w:type="dxa" w:w="2556"/>
            <w:vAlign w:val="center"/>
          </w:tcPr>
          <w:p>
            <w:r>
              <w:t>Faster Decision-Making</w:t>
            </w:r>
          </w:p>
        </w:tc>
        <w:tc>
          <w:tcPr>
            <w:tcW w:type="dxa" w:w="2556"/>
            <w:vAlign w:val="center"/>
          </w:tcPr>
          <w:p>
            <w:r>
              <w:t>SOPs and historical context at point of decision</w:t>
            </w:r>
          </w:p>
        </w:tc>
        <w:tc>
          <w:tcPr>
            <w:tcW w:type="dxa" w:w="2556"/>
            <w:vAlign w:val="center"/>
          </w:tcPr>
          <w:p>
            <w:r>
              <w:t>Avg time to retrieve SOP</w:t>
            </w:r>
          </w:p>
        </w:tc>
        <w:tc>
          <w:tcPr>
            <w:tcW w:type="dxa" w:w="2556"/>
            <w:vAlign w:val="center"/>
          </w:tcPr>
          <w:p>
            <w:r>
              <w:t>KPI-04</w:t>
            </w:r>
          </w:p>
        </w:tc>
      </w:tr>
      <w:tr>
        <w:tc>
          <w:tcPr>
            <w:tcW w:type="dxa" w:w="2556"/>
            <w:vAlign w:val="center"/>
          </w:tcPr>
          <w:p>
            <w:r>
              <w:t>Reduced Unplanned Downtime</w:t>
            </w:r>
          </w:p>
        </w:tc>
        <w:tc>
          <w:tcPr>
            <w:tcW w:type="dxa" w:w="2556"/>
            <w:vAlign w:val="center"/>
          </w:tcPr>
          <w:p>
            <w:r>
              <w:t>Early-warning alerts (Phase 3+)</w:t>
            </w:r>
          </w:p>
        </w:tc>
        <w:tc>
          <w:tcPr>
            <w:tcW w:type="dxa" w:w="2556"/>
            <w:vAlign w:val="center"/>
          </w:tcPr>
          <w:p>
            <w:r>
              <w:t>% alerts approved within 15 min; downtime frequency trend</w:t>
            </w:r>
          </w:p>
        </w:tc>
        <w:tc>
          <w:tcPr>
            <w:tcW w:type="dxa" w:w="2556"/>
            <w:vAlign w:val="center"/>
          </w:tcPr>
          <w:p>
            <w:r>
              <w:t>KPI-03, KPI-01</w:t>
            </w:r>
          </w:p>
        </w:tc>
      </w:tr>
      <w:tr>
        <w:tc>
          <w:tcPr>
            <w:tcW w:type="dxa" w:w="2556"/>
            <w:vAlign w:val="center"/>
          </w:tcPr>
          <w:p>
            <w:r>
              <w:t>Better Maintenance Planning</w:t>
            </w:r>
          </w:p>
        </w:tc>
        <w:tc>
          <w:tcPr>
            <w:tcW w:type="dxa" w:w="2556"/>
            <w:vAlign w:val="center"/>
          </w:tcPr>
          <w:p>
            <w:r>
              <w:t>Structured fault tagging and alert history</w:t>
            </w:r>
          </w:p>
        </w:tc>
        <w:tc>
          <w:tcPr>
            <w:tcW w:type="dxa" w:w="2556"/>
            <w:vAlign w:val="center"/>
          </w:tcPr>
          <w:p>
            <w:r>
              <w:t>Fault taxonomy compliance; alert approval rate</w:t>
            </w:r>
          </w:p>
        </w:tc>
        <w:tc>
          <w:tcPr>
            <w:tcW w:type="dxa" w:w="2556"/>
            <w:vAlign w:val="center"/>
          </w:tcPr>
          <w:p>
            <w:r>
              <w:t>KPI-05, KPI-03</w:t>
            </w:r>
          </w:p>
        </w:tc>
      </w:tr>
      <w:tr>
        <w:tc>
          <w:tcPr>
            <w:tcW w:type="dxa" w:w="2556"/>
            <w:vAlign w:val="center"/>
          </w:tcPr>
          <w:p>
            <w:r>
              <w:t>Enhanced Coordination</w:t>
            </w:r>
          </w:p>
        </w:tc>
        <w:tc>
          <w:tcPr>
            <w:tcW w:type="dxa" w:w="2556"/>
            <w:vAlign w:val="center"/>
          </w:tcPr>
          <w:p>
            <w:r>
              <w:t>Real-time dashboards for shift handover</w:t>
            </w:r>
          </w:p>
        </w:tc>
        <w:tc>
          <w:tcPr>
            <w:tcW w:type="dxa" w:w="2556"/>
            <w:vAlign w:val="center"/>
          </w:tcPr>
          <w:p>
            <w:r>
              <w:t>Dashboard adoption rate; handover time reduction</w:t>
            </w:r>
          </w:p>
        </w:tc>
        <w:tc>
          <w:tcPr>
            <w:tcW w:type="dxa" w:w="2556"/>
            <w:vAlign w:val="center"/>
          </w:tcPr>
          <w:p>
            <w:r>
              <w:t>KPI-06</w:t>
            </w:r>
          </w:p>
        </w:tc>
      </w:tr>
      <w:tr>
        <w:tc>
          <w:tcPr>
            <w:tcW w:type="dxa" w:w="2556"/>
            <w:vAlign w:val="center"/>
          </w:tcPr>
          <w:p>
            <w:r>
              <w:t>Governed Operations</w:t>
            </w:r>
          </w:p>
        </w:tc>
        <w:tc>
          <w:tcPr>
            <w:tcW w:type="dxa" w:w="2556"/>
            <w:vAlign w:val="center"/>
          </w:tcPr>
          <w:p>
            <w:r>
              <w:t>Audit trail for all actions; role-based access</w:t>
            </w:r>
          </w:p>
        </w:tc>
        <w:tc>
          <w:tcPr>
            <w:tcW w:type="dxa" w:w="2556"/>
            <w:vAlign w:val="center"/>
          </w:tcPr>
          <w:p>
            <w:r>
              <w:t>Audit log completeness</w:t>
            </w:r>
          </w:p>
        </w:tc>
        <w:tc>
          <w:tcPr>
            <w:tcW w:type="dxa" w:w="2556"/>
            <w:vAlign w:val="center"/>
          </w:tcPr>
          <w:p>
            <w:r>
              <w:t>KPI-07</w:t>
            </w:r>
          </w:p>
        </w:tc>
      </w:tr>
    </w:tbl>
    <w:p/>
    <w:p>
      <w:r>
        <w:t>Value Realization Path:</w:t>
      </w:r>
    </w:p>
    <w:p>
      <w:pPr>
        <w:pStyle w:val="ListBullet"/>
      </w:pPr>
      <w:r>
        <w:t>Phase 1: Visibility + governance (KPI-01, KPI-02, KPI-05, KPI-07).</w:t>
      </w:r>
    </w:p>
    <w:p>
      <w:pPr>
        <w:pStyle w:val="ListBullet"/>
      </w:pPr>
      <w:r>
        <w:t>Phase 2: Decision support + reporting (KPI-04, KPI-06).</w:t>
      </w:r>
    </w:p>
    <w:p>
      <w:pPr>
        <w:pStyle w:val="ListBullet"/>
      </w:pPr>
      <w:r>
        <w:t>Phase 3: Predictive value (KPI-03).</w:t>
      </w:r>
    </w:p>
    <w:p>
      <w:r>
        <w:t>---</w:t>
      </w:r>
    </w:p>
    <w:p>
      <w:pPr>
        <w:pStyle w:val="Heading1"/>
      </w:pPr>
      <w:r>
        <w:t>6. Presales Solution Notes</w:t>
      </w:r>
    </w:p>
    <w:p>
      <w:r>
        <w:t>Key Presales Messages:</w:t>
      </w:r>
    </w:p>
    <w:p>
      <w:pPr>
        <w:pStyle w:val="ListBullet"/>
      </w:pPr>
      <w:r>
        <w:t>“Start with visibility, scale to intelligence—no big-bang risk.”</w:t>
      </w:r>
    </w:p>
    <w:p>
      <w:pPr>
        <w:pStyle w:val="ListBullet"/>
      </w:pPr>
      <w:r>
        <w:t>“Human-in-the-loop for all operational actions—no autonomous control.”</w:t>
      </w:r>
    </w:p>
    <w:p>
      <w:pPr>
        <w:pStyle w:val="ListBullet"/>
      </w:pPr>
      <w:r>
        <w:t>“Data readiness gates ensure predictive AI is deployed only when validated.”</w:t>
      </w:r>
    </w:p>
    <w:p>
      <w:pPr>
        <w:pStyle w:val="ListBullet"/>
      </w:pPr>
      <w:r>
        <w:t>“Phased rollout delivers value in 12 weeks, not 12 months.”</w:t>
      </w:r>
    </w:p>
    <w:p>
      <w:r>
        <w:t>Objection Handling:</w:t>
      </w:r>
    </w:p>
    <w:p>
      <w:pPr>
        <w:pStyle w:val="ListBullet"/>
      </w:pPr>
      <w:r>
        <w:t>“Why not start with AI?” -&gt; “Data isn’t ready; visibility first ensures AI has clean fuel.”</w:t>
      </w:r>
    </w:p>
    <w:p>
      <w:pPr>
        <w:pStyle w:val="ListBullet"/>
      </w:pPr>
      <w:r>
        <w:t>“Why not full MES?” -&gt; “Over-scope for current needs; we can integrate later if required.”</w:t>
      </w:r>
    </w:p>
    <w:p>
      <w:pPr>
        <w:pStyle w:val="ListBullet"/>
      </w:pPr>
      <w:r>
        <w:t>“What if adoption fails?” -&gt; “MVP focuses on 1–2 lines; change champions co-design workflows.”</w:t>
      </w:r>
    </w:p>
    <w:p>
      <w:r>
        <w:t>Next Steps (Client-Facing):</w:t>
      </w:r>
    </w:p>
    <w:p>
      <w:pPr>
        <w:pStyle w:val="ListNumber"/>
      </w:pPr>
      <w:r>
        <w:t>Approve Phase 0 Discovery (4 weeks).</w:t>
      </w:r>
    </w:p>
    <w:p>
      <w:pPr>
        <w:pStyle w:val="ListNumber"/>
      </w:pPr>
      <w:r>
        <w:t>Confirm MVP scope (1–2 lines).</w:t>
      </w:r>
    </w:p>
    <w:p>
      <w:pPr>
        <w:pStyle w:val="ListNumber"/>
      </w:pPr>
      <w:r>
        <w:t>Sign off on data-readiness gate criteria.</w:t>
      </w:r>
    </w:p>
    <w:p>
      <w:pPr>
        <w:pStyle w:val="ListNumber"/>
      </w:pPr>
      <w:r>
        <w:t>Launch Phase 1 (12 weeks).</w:t>
      </w:r>
    </w:p>
    <w:p>
      <w:r>
        <w:t>---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