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Submission 04 - Supporting Artefacts</w:t>
      </w:r>
    </w:p>
    <w:p>
      <w:pPr>
        <w:jc w:val="center"/>
      </w:pPr>
      <w:r>
        <w:rPr>
          <w:i/>
          <w:sz w:val="18"/>
        </w:rPr>
        <w:t>ANTIER Project Assignment | Baseline: 13 September 2026 | Drafted from supplied working content</w:t>
      </w:r>
    </w:p>
    <w:p>
      <w:pPr>
        <w:pStyle w:val="Heading1"/>
      </w:pPr>
      <w:r>
        <w:t>SUBMISSION DOCUMENT 04: SUPPORTING ARTEFACTS</w:t>
      </w:r>
    </w:p>
    <w:p>
      <w:r>
        <w:t>Data Dictionary</w:t>
      </w:r>
    </w:p>
    <w:p>
      <w:pPr>
        <w:pStyle w:val="ListBullet"/>
      </w:pPr>
      <w:r>
        <w:t>Entities, attributes, validation rules (see 06. Data &amp; Information).</w:t>
      </w:r>
    </w:p>
    <w:p>
      <w:r>
        <w:t>KPI Definitions</w:t>
      </w:r>
    </w:p>
    <w:p>
      <w:pPr>
        <w:pStyle w:val="ListBullet"/>
      </w:pPr>
      <w:r>
        <w:t>KPI-01 to KPI-07 with formulas, owners, sources (see 06. Data &amp; Information).</w:t>
      </w:r>
    </w:p>
    <w:p>
      <w:r>
        <w:t>Platform Comparison</w:t>
      </w:r>
    </w:p>
    <w:p>
      <w:pPr>
        <w:pStyle w:val="ListBullet"/>
      </w:pPr>
      <w:r>
        <w:t>Low-code vs. IIoT vs. MES vs. Custom (see 07. Presales &amp; Solutioning).</w:t>
      </w:r>
    </w:p>
    <w:p>
      <w:r>
        <w:t>RACI Matrix</w:t>
      </w:r>
    </w:p>
    <w:p>
      <w:pPr>
        <w:pStyle w:val="ListBullet"/>
      </w:pPr>
      <w:r>
        <w:t>Full matrix (see 08. Governance &amp; Delivery).</w:t>
      </w:r>
    </w:p>
    <w:p>
      <w:r>
        <w:t>Process Maps</w:t>
      </w:r>
    </w:p>
    <w:p>
      <w:pPr>
        <w:pStyle w:val="ListBullet"/>
      </w:pPr>
      <w:r>
        <w:t>As-Is and To-Be flows (see 04. Process &amp; Solution Analysis).</w:t>
      </w:r>
    </w:p>
    <w:p>
      <w:r>
        <w:t>Digital Twin Model</w:t>
      </w:r>
    </w:p>
    <w:p>
      <w:pPr>
        <w:pStyle w:val="ListBullet"/>
      </w:pPr>
      <w:r>
        <w:t>Entity relationships (Line -&gt; Asset -&gt; Event -&gt; Fault Code) (see 09. Digital Twin).</w:t>
      </w:r>
    </w:p>
    <w:p>
      <w:r>
        <w:t>Digital Thread Model</w:t>
      </w:r>
    </w:p>
    <w:p>
      <w:pPr>
        <w:pStyle w:val="ListBullet"/>
      </w:pPr>
      <w:r>
        <w:t>Physical -&gt; Data -&gt; Twin -&gt; Analytics -&gt; Decision -&gt; Action -&gt; Learning (see 09. Digital Twin).</w:t>
      </w:r>
    </w:p>
    <w:p>
      <w:r>
        <w:t>Selected Architecture Diagram</w:t>
      </w:r>
    </w:p>
    <w:p>
      <w:pPr>
        <w:pStyle w:val="ListBullet"/>
      </w:pPr>
      <w:r>
        <w:t>8-layer business view (Physical to Action) (see 09. Digital Twin).</w:t>
      </w:r>
    </w:p>
    <w:p>
      <w:r>
        <w:t>Selected Supporting Matrices</w:t>
      </w:r>
    </w:p>
    <w:p>
      <w:pPr>
        <w:pStyle w:val="ListBullet"/>
      </w:pPr>
      <w:r>
        <w:t>Feature Prioritization (MoSCoW), Risk Register, Milestone Plan.</w:t>
      </w:r>
    </w:p>
    <w:p>
      <w:r>
        <w:t>AI Involvement Disclosure</w:t>
      </w:r>
    </w:p>
    <w:p>
      <w:r>
        <w:t>AI assisted with artefact structuring and consistency checks. All matrices, dictionaries, and models were reviewed and finalized by the author. All technical content is at business/conceptual level.</w:t>
      </w:r>
    </w:p>
    <w:p>
      <w:r>
        <w:t>---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