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spacing w:after="300"/>
        <w:jc w:val="center"/>
      </w:pPr>
      <w:r>
        <w:rPr>
          <w:b/>
          <w:bCs/>
          <w:color w:val="1F3864"/>
          <w:sz w:val="44"/>
          <w:szCs w:val="44"/>
        </w:rPr>
        <w:t xml:space="preserve">DMS PROJECT MASTER DEFINITION</w:t>
      </w:r>
    </w:p>
    <w:p>
      <w:pPr>
        <w:spacing w:after="600"/>
        <w:jc w:val="center"/>
      </w:pPr>
      <w:r>
        <w:rPr>
          <w:b/>
          <w:bCs/>
          <w:color w:val="B8860B"/>
          <w:sz w:val="26"/>
          <w:szCs w:val="26"/>
        </w:rPr>
        <w:t xml:space="preserve">Working Document 1 of 16</w:t>
      </w:r>
    </w:p>
    <w:p>
      <w:pPr>
        <w:spacing w:after="150"/>
        <w:jc w:val="center"/>
      </w:pPr>
      <w:r>
        <w:rPr>
          <w:sz w:val="24"/>
          <w:szCs w:val="24"/>
        </w:rPr>
        <w:t xml:space="preserve">DMS Dewas Factory-Wide Operational Intelligence Transformation Program</w:t>
      </w:r>
    </w:p>
    <w:p>
      <w:pPr>
        <w:spacing w:after="150"/>
        <w:jc w:val="center"/>
      </w:pPr>
      <w:r>
        <w:rPr>
          <w:i/>
          <w:iCs/>
          <w:sz w:val="22"/>
          <w:szCs w:val="22"/>
        </w:rPr>
        <w:t xml:space="preserve">Client: Dewas Metal Sections Pvt. Ltd. (hypothetical engagement — case study)</w:t>
      </w:r>
    </w:p>
    <w:p>
      <w:pPr>
        <w:spacing w:after="800"/>
        <w:jc w:val="center"/>
      </w:pPr>
      <w:r>
        <w:rPr>
          <w:sz w:val="22"/>
          <w:szCs w:val="22"/>
        </w:rPr>
        <w:t xml:space="preserve">Status: Draft for Sign-off</w:t>
      </w:r>
    </w:p>
    <w:p>
      <w:pPr>
        <w:pStyle w:val="Heading2"/>
        <w:spacing w:after="150" w:before="300"/>
      </w:pPr>
      <w:r>
        <w:t xml:space="preserve">Classification Key Used Throughout</w:t>
      </w:r>
    </w:p>
    <w:p>
      <w:pPr>
        <w:spacing w:after="100"/>
      </w:pPr>
      <w:r>
        <w:rPr>
          <w:b/>
          <w:bCs/>
          <w:color w:val="2E7D32"/>
        </w:rPr>
        <w:t xml:space="preserve">DMS FACT</w:t>
      </w:r>
      <w:r>
        <w:t xml:space="preserve"> — supported by publicly available DMS information</w:t>
      </w:r>
    </w:p>
    <w:p>
      <w:pPr>
        <w:spacing w:after="100"/>
      </w:pPr>
      <w:r>
        <w:rPr>
          <w:b/>
          <w:bCs/>
          <w:color w:val="B8860B"/>
        </w:rPr>
        <w:t xml:space="preserve">ASSUMPTION</w:t>
      </w:r>
      <w:r>
        <w:t xml:space="preserve"> — created for this case study because internal DMS information is unavailable</w:t>
      </w:r>
    </w:p>
    <w:p>
      <w:pPr>
        <w:spacing w:after="100"/>
      </w:pPr>
      <w:r>
        <w:rPr>
          <w:b/>
          <w:bCs/>
          <w:color w:val="1F3864"/>
        </w:rPr>
        <w:t xml:space="preserve">RECOMMENDATION</w:t>
      </w:r>
      <w:r>
        <w:t xml:space="preserve"> — our proposed solution, architecture, process or delivery decision</w:t>
      </w:r>
    </w:p>
    <w:p>
      <w:pPr>
        <w:spacing w:after="100"/>
      </w:pPr>
      <w:r>
        <w:rPr>
          <w:b/>
          <w:bCs/>
          <w:color w:val="B00020"/>
        </w:rPr>
        <w:t xml:space="preserve">TO BE VALIDATED</w:t>
      </w:r>
      <w:r>
        <w:t xml:space="preserve"> — requires confirmation during a real client engagement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1. Project Definition</w:t>
      </w:r>
    </w:p>
    <w:p>
      <w:pPr>
        <w:spacing w:after="150"/>
      </w:pPr>
      <w:r>
        <w:rPr>
          <w:b/>
          <w:bCs/>
        </w:rPr>
        <w:t xml:space="preserve">Project Name: </w:t>
      </w:r>
    </w:p>
    <w:p>
      <w:pPr>
        <w:spacing w:after="150"/>
      </w:pPr>
      <w:r>
        <w:t xml:space="preserve">DMS Dewas Factory-Wide Operational Intelligence Transformation Program</w:t>
      </w:r>
    </w:p>
    <w:p>
      <w:pPr>
        <w:spacing w:after="150"/>
      </w:pPr>
      <w:r>
        <w:rPr>
          <w:b/>
          <w:bCs/>
        </w:rPr>
        <w:t xml:space="preserve">Client: </w:t>
      </w:r>
    </w:p>
    <w:p>
      <w:pPr>
        <w:spacing w:after="150"/>
      </w:pPr>
      <w:r>
        <w:t xml:space="preserve">Dewas Metal Sections Pvt. Ltd. (hypothetical client engagement for case-study purposes)</w:t>
      </w:r>
    </w:p>
    <w:p>
      <w:pPr>
        <w:spacing w:after="150"/>
      </w:pPr>
      <w:r>
        <w:rPr>
          <w:b/>
          <w:bCs/>
        </w:rPr>
        <w:t xml:space="preserve">Facility: </w:t>
      </w:r>
    </w:p>
    <w:p>
      <w:pPr>
        <w:spacing w:after="150"/>
      </w:pPr>
      <w:r>
        <w:t xml:space="preserve">Dewas manufacturing plant only</w:t>
      </w:r>
    </w:p>
    <w:p>
      <w:pPr>
        <w:pStyle w:val="Heading2"/>
        <w:spacing w:after="150" w:before="300"/>
      </w:pPr>
      <w:r>
        <w:t xml:space="preserve">One-line definition</w:t>
      </w:r>
    </w:p>
    <w:p>
      <w:pPr>
        <w:pBdr>
          <w:left w:val="single" w:color="B8860B" w:sz="18" w:space="8"/>
        </w:pBdr>
        <w:spacing w:after="150" w:before="150"/>
        <w:ind w:left="400"/>
      </w:pPr>
      <w:r>
        <w:rPr>
          <w:b/>
          <w:bCs/>
          <w:i/>
          <w:iCs/>
          <w:color w:val="1F3864"/>
        </w:rPr>
        <w:t xml:space="preserve">A factory-wide operational transformation, enabled by a Digital Twin and predictive intelligence, that lets DMS see what is happening, understand why, predict what's likely to happen next, and act before it costs production, quality or time.</w:t>
      </w:r>
    </w:p>
    <w:p>
      <w:pPr>
        <w:spacing w:after="150"/>
      </w:pPr>
      <w:r>
        <w:rPr>
          <w:b/>
          <w:bCs/>
        </w:rPr>
        <w:t xml:space="preserve">What this is NOT: </w:t>
      </w:r>
    </w:p>
    <w:p>
      <w:pPr>
        <w:spacing w:after="150"/>
      </w:pPr>
      <w:r>
        <w:t xml:space="preserve">This is not "a Digital Twin implementation." The Digital Twin and predictive AI are the enabling mechanism — the thing being delivered is earlier, better decisions across the factory.</w:t>
      </w:r>
    </w:p>
    <w:p>
      <w:pPr>
        <w:pStyle w:val="Heading1"/>
        <w:spacing w:after="200" w:before="400"/>
      </w:pPr>
      <w:r>
        <w:t xml:space="preserve">2. Business Problem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Level</w:t>
            </w:r>
          </w:p>
        </w:tc>
        <w:tc>
          <w:tcPr>
            <w:tcW w:type="dxa" w:w="6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Statement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Business Problem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DMS's Dewas operations run on fragmented, delayed information, so problems are discovered after they've already cost time, material or quality — not before.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Operational Problems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Unplanned downtime; reactive maintenance; changeover-driven losses; late-detected quality defects; schedule deviation; poor cross-line visibility; delayed management reporting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Root Causes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 unified real-time visibility across lines; maintenance driven by failure/calendar rather than condition; changeover knowledge held informally by operators; quality checked end-of-line rather than correlated upstream; no structured historical dataset linking cause to effect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Impact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Lost production time; higher scrap/rework; unpredictable delivery; maintenance cost concentrated in emergency repairs; decisions made on lagging indicators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Business Need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 connected, factory-wide operational data foundation supporting early detection and prediction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Desired Outcome</w:t>
            </w:r>
          </w:p>
        </w:tc>
        <w:tc>
          <w:tcPr>
            <w:tcW w:type="dxa" w:w="6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Reduced unplanned downtime, reduced changeover loss, improved on-time delivery, lower reactive maintenance cost, faster and more confident decisions</w:t>
            </w:r>
          </w:p>
        </w:tc>
      </w:tr>
    </w:tbl>
    <w:p>
      <w:pPr>
        <w:spacing w:after="200"/>
      </w:pPr>
    </w:p>
    <w:p>
      <w:r>
        <w:rPr>
          <w:i/>
          <w:iCs/>
        </w:rPr>
        <w:t xml:space="preserve">Classification: </w:t>
      </w:r>
      <w:r>
        <w:rPr>
          <w:b/>
          <w:bCs/>
          <w:color w:val="1F3864"/>
        </w:rPr>
        <w:t xml:space="preserve">RECOMMENDATION</w:t>
      </w:r>
      <w:r>
        <w:rPr>
          <w:i/>
          <w:iCs/>
        </w:rPr>
        <w:t xml:space="preserve"> (problem hierarchy) built on </w:t>
      </w:r>
      <w:r>
        <w:rPr>
          <w:b/>
          <w:bCs/>
          <w:color w:val="B8860B"/>
        </w:rPr>
        <w:t xml:space="preserve">ASSUMPTION</w:t>
      </w:r>
      <w:r>
        <w:rPr>
          <w:i/>
          <w:iCs/>
        </w:rPr>
        <w:t xml:space="preserve"> (specific operational pain points) — labelled explicitly wherever this appears downstream.</w:t>
      </w:r>
    </w:p>
    <w:p>
      <w:pPr>
        <w:pStyle w:val="Heading1"/>
        <w:spacing w:after="200" w:before="400"/>
      </w:pPr>
      <w:r>
        <w:t xml:space="preserve">3. Transformation Objective</w:t>
      </w:r>
    </w:p>
    <w:p>
      <w:pPr>
        <w:pBdr>
          <w:left w:val="single" w:color="B8860B" w:sz="18" w:space="8"/>
        </w:pBdr>
        <w:spacing w:after="150" w:before="150"/>
        <w:ind w:left="400"/>
      </w:pPr>
      <w:r>
        <w:rPr>
          <w:b/>
          <w:bCs/>
          <w:i/>
          <w:iCs/>
          <w:color w:val="1F3864"/>
        </w:rPr>
        <w:t xml:space="preserve">SEE → UNDERSTAND → PREDICT → ACT → LEARN</w:t>
      </w:r>
    </w:p>
    <w:p>
      <w:pPr>
        <w:spacing w:after="150"/>
      </w:pPr>
      <w:r>
        <w:t xml:space="preserve">Delivered through: Digital Twin + Data Foundation + Analytics + Predictive AI + Prescriptive Intelligence</w:t>
      </w:r>
    </w:p>
    <w:p>
      <w:pPr>
        <w:spacing w:after="150"/>
      </w:pPr>
      <w:r>
        <w:rPr>
          <w:b/>
          <w:bCs/>
        </w:rPr>
        <w:t xml:space="preserve">Hero business capability: </w:t>
      </w:r>
    </w:p>
    <w:p>
      <w:pPr>
        <w:spacing w:after="150"/>
      </w:pPr>
      <w:r>
        <w:t xml:space="preserve">Predictive Production Continuity — the ability to see disruption coming, regardless of its source (machine, changeover, schedule, quality), and act before production is affected.</w:t>
      </w:r>
    </w:p>
    <w:p>
      <w:pPr>
        <w:pStyle w:val="Heading1"/>
        <w:spacing w:after="200" w:before="400"/>
      </w:pPr>
      <w:r>
        <w:t xml:space="preserve">4. Business Objectives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Establish factory-wide real-time operational visibility (Dewas)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unplanned downtime through early detection and prediction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Reduce changeover-related time and quality loss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Shift maintenance from reactive → condition-based → predictive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 production schedule reliability and on-time delivery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Improve quality traceability, catching deviation earlier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Give leadership a single, trustworthy operational data source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Build a reusable, AI-ready data foundation for continuous improvement and future expansion</w:t>
      </w:r>
    </w:p>
    <w:p>
      <w:pPr>
        <w:spacing w:after="200"/>
      </w:pPr>
    </w:p>
    <w:p>
      <w:pPr>
        <w:spacing w:after="150"/>
      </w:pPr>
      <w:r>
        <w:rPr>
          <w:i/>
          <w:iCs/>
        </w:rPr>
        <w:t xml:space="preserve">Each objective traces directly to a row in the Business Problem hierarchy (Section 2) — no objective exists without a stated originating problem.</w:t>
      </w:r>
    </w:p>
    <w:p>
      <w:pPr>
        <w:pStyle w:val="Heading1"/>
        <w:spacing w:after="200" w:before="400"/>
      </w:pPr>
      <w:r>
        <w:t xml:space="preserve">5. Scope</w:t>
      </w:r>
    </w:p>
    <w:p>
      <w:pPr>
        <w:pStyle w:val="Heading2"/>
        <w:spacing w:after="150" w:before="300"/>
      </w:pPr>
      <w:r>
        <w:t xml:space="preserve">In Scope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Entire DMS Dewas facility (all assumed production lines and shared processes)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Slitting, roll forming, cutting/pressing, tool room/die shop, quality/inspection, maintenance, production planning, material movement, dispatch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Design and delivery planning for the full Digital Twin, analytics, and predictive/prescriptive intelligence capability, with implementation maturity progressing through the defined phases as data readiness allows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Program governance, multi-workstream delivery, change management, training, hypercare, BAU handover</w:t>
      </w:r>
    </w:p>
    <w:p>
      <w:pPr>
        <w:pStyle w:val="Heading2"/>
        <w:spacing w:after="150" w:before="300"/>
      </w:pPr>
      <w:r>
        <w:t xml:space="preserve">Out of Scope (current program)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Pune facility — flagged as future expansion candidate (RECOMMENDATION)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Ranipet facility — same treatment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Autonomous machine/control actions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PLC/control system or ERP replacement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Autonomous AI decision-making without human approval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AI action-taking beyond approved notification/ticket-creation workflows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Full 3D visualization (not required to prove the concept)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Production-grade ML models, real IoT integration, real MES/ERP integration specs (case-study assignment, not a real build)</w:t>
      </w:r>
    </w:p>
    <w:p>
      <w:r>
        <w:br w:type="page"/>
      </w:r>
    </w:p>
    <w:p>
      <w:pPr>
        <w:pStyle w:val="Heading1"/>
        <w:spacing w:after="200" w:before="400"/>
      </w:pPr>
      <w:r>
        <w:t xml:space="preserve">6. Factory Assumptions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4800"/>
      </w:tblGrid>
      <w:tr>
        <w:trPr>
          <w:tblHeader/>
        </w:trPr>
        <w:tc>
          <w:tcPr>
            <w:tcW w:type="dxa" w:w="2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Element</w:t>
            </w:r>
          </w:p>
        </w:tc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Classification</w:t>
            </w:r>
          </w:p>
        </w:tc>
        <w:tc>
          <w:tcPr>
            <w:tcW w:type="dxa" w:w="4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Statement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Facility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DMS FACT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Dewas is DMS's HQ and primary site; est. 1979; cold roll forming; products span Automobile, Railways, Solar Mounting, Air Pollution Control, ERW Tubes, General Engineering, Elevators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Historical footprint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DMS FACT (historical)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Slitting, nine roll-forming mills, band saws, circular saws, power presses documented historically (SEBI filing)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 count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ASSUMPTION (sizing only)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 roll-forming lines (RFL-01–06) assumed as present-day consolidation of the historical footprint — not a claim about DMS's actual configuration; replaced by verified inventory in Phase 0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Slitting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ASSUMPTION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 shared slitting lines feeding all 6 RFLs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Tool Room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ASSUMPTION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1 shared tool room / die shop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Quality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ASSUMPTION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6 line-level inline inspection points + 1 centralized QA lab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Asset count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ASSUMPTION (sizing only)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~26–28 monitored assets total, used for program sizing / effort estimation only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 prioritization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RECOMMENDATION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Weighted scoring model (volume, revenue criticality, downtime impact, failure history, data readiness, SLA criticality) determines rollout wave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Systems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ASSUMPTION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Mixed PLC maturity; no MES; partial ERP not integrated with shop floor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Historical data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ASSUMPTION (conservative)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Fragmented, partial — not a clean ML-ready dataset from day one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Maintenance model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ASSUMPTION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Predominantly reactive today</w:t>
            </w:r>
          </w:p>
        </w:tc>
      </w:tr>
      <w:tr>
        <w:tc>
          <w:tcPr>
            <w:tcW w:type="dxa" w:w="2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Shifts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ASSUMPTION</w:t>
            </w:r>
          </w:p>
        </w:tc>
        <w:tc>
          <w:tcPr>
            <w:tcW w:type="dxa" w:w="4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2–3 shifts, 6-day operation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b/>
          <w:bCs/>
          <w:color w:val="B00020"/>
        </w:rPr>
        <w:t xml:space="preserve">Sign-off required: </w:t>
      </w:r>
    </w:p>
    <w:p>
      <w:pPr>
        <w:spacing w:after="150"/>
      </w:pPr>
      <w:r>
        <w:t xml:space="preserve">The line count (6) and asset count (~26–28) drive every downstream effort estimate, WBS line item and cost model. Confirm or adjust before these propagate further.</w:t>
      </w:r>
    </w:p>
    <w:p>
      <w:pPr>
        <w:pStyle w:val="Heading1"/>
        <w:spacing w:after="200" w:before="400"/>
      </w:pPr>
      <w:r>
        <w:t xml:space="preserve">7. Stakeholders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5000"/>
      </w:tblGrid>
      <w:tr>
        <w:trPr>
          <w:tblHeader/>
        </w:trPr>
        <w:tc>
          <w:tcPr>
            <w:tcW w:type="dxa" w:w="4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5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Primary Concern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Executive Sponsor / Business Leadership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ROI, risk, timeline, business outcomes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Plant Manager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Cross-line performance, capacity, escalations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Production Manager (per line)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Line-level output, downtime, schedule adherence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Maintenance Manager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Asset health, work order prioritization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Quality Manager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Defect trends, root cause, spec compliance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Tool Room / Changeover Lead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Changeover time, tooling availability</w:t>
            </w:r>
          </w:p>
        </w:tc>
      </w:tr>
      <w:tr>
        <w:tc>
          <w:tcPr>
            <w:tcW w:type="dxa" w:w="4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IT/OT Lead</w:t>
            </w:r>
          </w:p>
        </w:tc>
        <w:tc>
          <w:tcPr>
            <w:tcW w:type="dxa" w:w="5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Security, integration, infrastructure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i/>
          <w:iCs/>
        </w:rPr>
        <w:t xml:space="preserve">All classified ASSUMPTION — real stakeholder map is a Phase 0 discovery output.</w:t>
      </w:r>
    </w:p>
    <w:p>
      <w:pPr>
        <w:pStyle w:val="Heading1"/>
        <w:spacing w:after="200" w:before="400"/>
      </w:pPr>
      <w:r>
        <w:t xml:space="preserve">8. Decision Model</w:t>
      </w:r>
    </w:p>
    <w:p>
      <w:pPr>
        <w:spacing w:after="150"/>
      </w:pPr>
      <w:r>
        <w:t xml:space="preserve">The system is designed around decisions, not dashboards: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000"/>
      </w:tblGrid>
      <w:tr>
        <w:trPr>
          <w:tblHeader/>
        </w:trPr>
        <w:tc>
          <w:tcPr>
            <w:tcW w:type="dxa" w:w="24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Persona</w:t>
            </w:r>
          </w:p>
        </w:tc>
        <w:tc>
          <w:tcPr>
            <w:tcW w:type="dxa" w:w="36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Key Decision</w:t>
            </w:r>
          </w:p>
        </w:tc>
        <w:tc>
          <w:tcPr>
            <w:tcW w:type="dxa" w:w="30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Enabled By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Plant Manager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Which line needs attention right now?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Cross-line health ranking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Production Manager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Will today's target be met?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Shortfall prediction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Maintenance Manager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Which asset should be serviced next?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Failure risk ranking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Quality Manager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 a defect trend emerging, and where?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Quality anomaly correlation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Tool Room Lead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Which tooling needs attention before next changeover?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Changeover risk prediction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Business Leadership</w:t>
            </w:r>
          </w:p>
        </w:tc>
        <w:tc>
          <w:tcPr>
            <w:tcW w:type="dxa" w:w="3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Is the program delivering value; where to invest next?</w:t>
            </w:r>
          </w:p>
        </w:tc>
        <w:tc>
          <w:tcPr>
            <w:tcW w:type="dxa" w:w="30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KPI / ROI trend reporting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i/>
          <w:iCs/>
        </w:rPr>
        <w:t xml:space="preserve">This model is the traceability anchor: any dashboard element, alert, or prediction that doesn't map to a row here doesn't get built.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9. Target Operating Model</w:t>
      </w:r>
    </w:p>
    <w:p>
      <w:pPr>
        <w:spacing w:after="150"/>
      </w:pPr>
      <w:r>
        <w:rPr>
          <w:b/>
          <w:bCs/>
        </w:rPr>
        <w:t xml:space="preserve">Current-State Hypothesis (ASSUMPTION): </w:t>
      </w:r>
    </w:p>
    <w:p>
      <w:pPr>
        <w:spacing w:after="150"/>
      </w:pPr>
      <w:r>
        <w:t xml:space="preserve">Fragmented data across manual logs / spreadsheets / partial ERP; no cross-line real-time visibility; reactive maintenance; tacit changeover knowledge; end-of-line quality checks; manual, delayed management reporting.</w:t>
      </w:r>
    </w:p>
    <w:p>
      <w:pPr>
        <w:spacing w:after="150"/>
      </w:pPr>
      <w:r>
        <w:rPr>
          <w:b/>
          <w:bCs/>
        </w:rPr>
        <w:t xml:space="preserve">Target State: </w:t>
      </w:r>
    </w:p>
    <w:p>
      <w:pPr>
        <w:spacing w:after="150"/>
      </w:pPr>
      <w:r>
        <w:t xml:space="preserve">Unified near-real-time Digital Twin across all Dewas lines; condition-based and progressively predictive maintenance; actively monitored and improving changeover performance; quality issues flagged before full-batch impact; leadership decisions supported by live, trustworthy data; continuous improvement loop driven by captured outcomes.</w:t>
      </w:r>
    </w:p>
    <w:p>
      <w:pPr>
        <w:pStyle w:val="Heading1"/>
        <w:spacing w:after="200" w:before="400"/>
      </w:pPr>
      <w:r>
        <w:t xml:space="preserve">10. Digital Twin Definition</w:t>
      </w:r>
    </w:p>
    <w:p>
      <w:pPr>
        <w:spacing w:after="150"/>
      </w:pPr>
      <w:r>
        <w:t xml:space="preserve">Explicit layer separation (load-bearing for the architecture document):</w:t>
      </w:r>
    </w:p>
    <w:p>
      <w:pPr>
        <w:pBdr>
          <w:left w:val="single" w:color="B8860B" w:sz="18" w:space="8"/>
        </w:pBdr>
        <w:spacing w:after="150" w:before="150"/>
        <w:ind w:left="400"/>
      </w:pPr>
      <w:r>
        <w:rPr>
          <w:b/>
          <w:bCs/>
          <w:i/>
          <w:iCs/>
          <w:color w:val="1F3864"/>
        </w:rPr>
        <w:t xml:space="preserve">Physical Layer → Data Platform → Digital Twin Model → Analytics Platform → Application Layer → Action Layer</w:t>
      </w:r>
    </w:p>
    <w:p>
      <w:pPr>
        <w:pStyle w:val="Heading2"/>
        <w:spacing w:after="150" w:before="300"/>
      </w:pPr>
      <w:r>
        <w:t xml:space="preserve">State Model (per domain)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Domain</w:t>
            </w:r>
          </w:p>
        </w:tc>
        <w:tc>
          <w:tcPr>
            <w:tcW w:type="dxa" w:w="6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States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Machine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Running, Idle, Setup/Changeover, Fault, Maintenance, Planned Stop, Unplanned Stop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Production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Planned, In Production, Behind Schedule, At Risk, Completed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Quality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Normal, Warning, Deviation, Hold, Rejected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Maintenance</w:t>
            </w:r>
          </w:p>
        </w:tc>
        <w:tc>
          <w:tcPr>
            <w:tcW w:type="dxa" w:w="6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Healthy, Monitoring, Inspection Required, Maintenance Scheduled, Fault, Under Repair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b/>
          <w:bCs/>
        </w:rPr>
        <w:t xml:space="preserve">Digital Thread: </w:t>
      </w:r>
    </w:p>
    <w:p>
      <w:pPr>
        <w:spacing w:after="150"/>
      </w:pPr>
      <w:r>
        <w:t xml:space="preserve">Order → Product → Material → Production Line → Machine → Tooling → Process Parameters → Quality Result → Maintenance Event → Finished Product</w:t>
      </w:r>
    </w:p>
    <w:p>
      <w:pPr>
        <w:pStyle w:val="Heading1"/>
        <w:spacing w:after="200" w:before="400"/>
      </w:pPr>
      <w:r>
        <w:t xml:space="preserve">11. AI Strategy</w:t>
      </w:r>
    </w:p>
    <w:p>
      <w:pPr>
        <w:spacing w:after="150"/>
      </w:pPr>
      <w:r>
        <w:rPr>
          <w:b/>
          <w:bCs/>
        </w:rPr>
        <w:t xml:space="preserve">Governing principle: </w:t>
      </w:r>
    </w:p>
    <w:p>
      <w:pPr>
        <w:spacing w:after="150"/>
      </w:pPr>
      <w:r>
        <w:t xml:space="preserve">Use AI where learning from historical patterns creates measurable value beyond a deterministic rule. Use rules where rules are sufficient and cheaper to maintain.</w:t>
      </w:r>
    </w:p>
    <w:p>
      <w:pPr>
        <w:pStyle w:val="Heading2"/>
        <w:spacing w:after="150" w:before="300"/>
      </w:pPr>
      <w:r>
        <w:t xml:space="preserve">Six Predictive Use Cases (priority order)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Machine failure / unplanned downtime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Changeover-related downtime / quality risk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Production shortfall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Maintenance requirement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Quality anomaly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Bottleneck</w:t>
      </w:r>
    </w:p>
    <w:p>
      <w:pPr>
        <w:spacing w:after="200"/>
      </w:pPr>
    </w:p>
    <w:p>
      <w:pPr>
        <w:spacing w:after="150"/>
      </w:pPr>
      <w:r>
        <w:rPr>
          <w:b/>
          <w:bCs/>
        </w:rPr>
        <w:t xml:space="preserve">Model approach: </w:t>
      </w:r>
    </w:p>
    <w:p>
      <w:pPr>
        <w:spacing w:after="150"/>
      </w:pPr>
      <w:r>
        <w:t xml:space="preserve">Selected empirically per use case based on observed data — not prescribed upfront. Candidates include anomaly detection, classification, regression, time-series forecasting, survival/time-to-event; bottleneck prediction explicitly favors rules/queueing logic over ML.</w:t>
      </w:r>
    </w:p>
    <w:p>
      <w:pPr>
        <w:spacing w:after="150"/>
      </w:pPr>
      <w:r>
        <w:rPr>
          <w:b/>
          <w:bCs/>
        </w:rPr>
        <w:t xml:space="preserve">Activation gate: </w:t>
      </w:r>
    </w:p>
    <w:p>
      <w:pPr>
        <w:spacing w:after="150"/>
      </w:pPr>
      <w:r>
        <w:t xml:space="preserve">No use case/asset enters predictive maturity until it clears a Data Readiness Score (availability, completeness, quality, granularity, historical depth, labelling, consistency, context). No model ships on insufficient data.</w:t>
      </w:r>
    </w:p>
    <w:p>
      <w:pPr>
        <w:spacing w:after="150"/>
      </w:pPr>
      <w:r>
        <w:rPr>
          <w:b/>
          <w:bCs/>
        </w:rPr>
        <w:t xml:space="preserve">AI maturity path: </w:t>
      </w:r>
    </w:p>
    <w:p>
      <w:pPr>
        <w:spacing w:after="150"/>
      </w:pPr>
      <w:r>
        <w:t xml:space="preserve">Descriptive → Diagnostic → Predictive → Prescriptive → Assisted/Agentic — gated by data readiness at each step, not calendar time.</w:t>
      </w:r>
    </w:p>
    <w:p>
      <w:pPr>
        <w:spacing w:after="150"/>
      </w:pPr>
      <w:r>
        <w:rPr>
          <w:b/>
          <w:bCs/>
        </w:rPr>
        <w:t xml:space="preserve">Human-in-the-loop (non-negotiable): </w:t>
      </w:r>
    </w:p>
    <w:p>
      <w:pPr>
        <w:spacing w:after="150"/>
      </w:pPr>
      <w:r>
        <w:t xml:space="preserve">AI observes → alerts → predicts → recommends → human approves → system executes approved workflow only (ticket/notification — never machine control).</w:t>
      </w:r>
    </w:p>
    <w:p>
      <w:pPr>
        <w:spacing w:after="150"/>
      </w:pPr>
      <w:r>
        <w:rPr>
          <w:b/>
          <w:bCs/>
        </w:rPr>
        <w:t xml:space="preserve">Every prediction surfaces: </w:t>
      </w:r>
    </w:p>
    <w:p>
      <w:pPr>
        <w:spacing w:after="150"/>
      </w:pPr>
      <w:r>
        <w:t xml:space="preserve">probability, prediction window, confidence, top contributing signals, recommended action, business impact if ignored — never a bare risk score.</w:t>
      </w:r>
    </w:p>
    <w:p>
      <w:pPr>
        <w:spacing w:after="150"/>
      </w:pPr>
      <w:r>
        <w:rPr>
          <w:b/>
          <w:bCs/>
        </w:rPr>
        <w:t xml:space="preserve">RAG vs. Predictive AI: </w:t>
      </w:r>
    </w:p>
    <w:p>
      <w:pPr>
        <w:spacing w:after="150"/>
      </w:pPr>
      <w:r>
        <w:t xml:space="preserve">RAG answers "what does procedure say" (SOPs/manuals); Predictive AI answers "what's likely to happen" (operational data). AI Assistant blends both. AI Agent executes only approved workflows — no autonomous action.</w:t>
      </w:r>
    </w:p>
    <w:p>
      <w:r>
        <w:br w:type="page"/>
      </w:r>
    </w:p>
    <w:p>
      <w:pPr>
        <w:pStyle w:val="Heading1"/>
        <w:spacing w:after="200" w:before="400"/>
      </w:pPr>
      <w:r>
        <w:t xml:space="preserve">12. Program Phases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Phase</w:t>
            </w:r>
          </w:p>
        </w:tc>
        <w:tc>
          <w:tcPr>
            <w:tcW w:type="dxa" w:w="7200"/>
            <w:shd w:fill="1F3864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</w:rPr>
              <w:t xml:space="preserve">Objective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0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Discovery &amp; Assessment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1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Foundation &amp; Data Enablement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2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Digital Twin &amp; Real-Time Visibility (rolled out by prioritized wave, not simultaneously)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3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Advanced Analytics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4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Predictive Intelligence (activated per use case/asset against readiness gates)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5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Prescriptive Intelligence &amp; AI Assistance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Phase 6</w:t>
            </w:r>
          </w:p>
        </w:tc>
        <w:tc>
          <w:tcPr>
            <w:tcW w:type="dxa" w:w="7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color w:val="000000"/>
              </w:rPr>
              <w:t xml:space="preserve">Optimization &amp; Continuous Improvement</w:t>
            </w:r>
          </w:p>
        </w:tc>
      </w:tr>
    </w:tbl>
    <w:p>
      <w:pPr>
        <w:spacing w:after="200"/>
      </w:pPr>
    </w:p>
    <w:p>
      <w:pPr>
        <w:spacing w:after="150"/>
      </w:pPr>
      <w:r>
        <w:rPr>
          <w:b/>
          <w:bCs/>
        </w:rPr>
        <w:t xml:space="preserve">Duration: </w:t>
      </w:r>
    </w:p>
    <w:p>
      <w:pPr>
        <w:spacing w:after="150"/>
      </w:pPr>
      <w:r>
        <w:t xml:space="preserve">~14–16 months, illustrative — factory-wide commitment, phased execution, not a pilot-then-decide model.</w:t>
      </w:r>
    </w:p>
    <w:p>
      <w:pPr>
        <w:pStyle w:val="Heading1"/>
        <w:spacing w:after="200" w:before="400"/>
      </w:pPr>
      <w:r>
        <w:t xml:space="preserve">13. Golden Thread (Narrative Device)</w:t>
      </w:r>
    </w:p>
    <w:p>
      <w:pPr>
        <w:spacing w:after="150"/>
      </w:pPr>
      <w:r>
        <w:t xml:space="preserve">RFL-02 Bearing Degradation is the single worked scenario carried through every document — BA chain, architecture, AI use case, PM/KPI tie-back — as the primary illustration. Changeover-risk and production-shortfall scenarios serve as lighter, one-paragraph parallel proof points showing the pattern generalizes beyond machine failure.</w:t>
      </w:r>
    </w:p>
    <w:p>
      <w:pPr>
        <w:pStyle w:val="Heading1"/>
        <w:spacing w:after="200" w:before="400"/>
      </w:pPr>
      <w:r>
        <w:t xml:space="preserve">14. Success Criteria for the Assignment</w:t>
      </w:r>
    </w:p>
    <w:p>
      <w:pPr>
        <w:spacing w:after="150"/>
      </w:pPr>
      <w:r>
        <w:t xml:space="preserve">The assignment succeeds if Nikhil concludes: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Discovery-style thinking visibly precedes solution design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Factory-wide ambition is real, but execution risk is honestly managed via phasing and data-readiness gates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Every requirement, dashboard element, and AI claim traces to a stated decision or business need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 is applied with judgment (rules where sufficient, ML where it adds value) — not decoratively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The candidate is positioned as delivery owner, not architect/ML engineer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No invented numbers or unsupported ROI claims anywhere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AI-augmented delivery is disclosed transparently, with human ownership of decisions clearly retained</w:t>
      </w:r>
    </w:p>
    <w:p>
      <w:pPr>
        <w:pStyle w:val="Heading1"/>
        <w:spacing w:after="200" w:before="400"/>
      </w:pPr>
      <w:r>
        <w:t xml:space="preserve">15. Final Deliverables</w:t>
      </w:r>
    </w:p>
    <w:p>
      <w:pPr>
        <w:spacing w:after="150"/>
      </w:pPr>
      <w:r>
        <w:rPr>
          <w:b/>
          <w:bCs/>
        </w:rPr>
        <w:t xml:space="preserve">Submitted to Nikhil: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Case Study PDF (22–28 pages)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Executive Presentation PPTX (14–16 slides)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PM Workbook XLSX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(Optional) Technical Appendix PDF</w:t>
      </w:r>
    </w:p>
    <w:p>
      <w:pPr>
        <w:spacing w:after="200"/>
      </w:pPr>
    </w:p>
    <w:p>
      <w:pPr>
        <w:spacing w:after="150"/>
      </w:pPr>
      <w:r>
        <w:rPr>
          <w:b/>
          <w:bCs/>
        </w:rPr>
        <w:t xml:space="preserve">Built, not submitted (absorbed as source content into the three core deliverables above):</w:t>
      </w:r>
    </w:p>
    <w:p>
      <w:pPr>
        <w:spacing w:after="150"/>
      </w:pPr>
      <w:r>
        <w:t xml:space="preserve">Discovery Assessment, BRD, RTM, User Stories, Solution Architecture, Digital Twin/Digital Thread Design, Predictive Production Continuity Framework, AI Governance, ROI Model, Testing/UAT Strategy, Change Management Plan, Interview Defence Playbook</w:t>
      </w:r>
    </w:p>
    <w:p>
      <w:pPr>
        <w:spacing w:after="400"/>
      </w:pPr>
    </w:p>
    <w:p>
      <w:pPr>
        <w:jc w:val="center"/>
      </w:pPr>
      <w:r>
        <w:rPr>
          <w:i/>
          <w:iCs/>
          <w:color w:val="1F3864"/>
        </w:rPr>
        <w:t xml:space="preserve">— End of Document 1 — DMS Project Master Definition —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2026-09-12T01:37:56.975Z</dcterms:created>
  <dcterms:modified xsi:type="dcterms:W3CDTF">2026-09-12T01:37:56.985Z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