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rPr>
        <w:t xml:space="preserve"/>
      </w:r>
    </w:p>
    <w:p>
      <w:pPr>
        <w:spacing w:after="120" w:before="0"/>
        <w:jc w:val="center"/>
      </w:pPr>
      <w:r>
        <w:rPr>
          <w:rFonts w:ascii="Arial" w:cs="Arial" w:eastAsia="Arial" w:hAnsi="Arial"/>
          <w:b/>
          <w:bCs/>
          <w:caps/>
          <w:color w:val="C9A84C"/>
          <w:sz w:val="20"/>
          <w:szCs w:val="20"/>
        </w:rPr>
        <w:t xml:space="preserve">RESEARCH PAPER</w:t>
      </w:r>
    </w:p>
    <w:p>
      <w:pPr>
        <w:spacing w:after="60" w:before="0"/>
        <w:jc w:val="center"/>
      </w:pPr>
      <w:r>
        <w:rPr>
          <w:rFonts w:ascii="Arial" w:cs="Arial" w:eastAsia="Arial" w:hAnsi="Arial"/>
          <w:b/>
          <w:bCs/>
          <w:color w:val="0D1B2A"/>
          <w:sz w:val="52"/>
          <w:szCs w:val="52"/>
        </w:rPr>
        <w:t xml:space="preserve">Predictive Modeling and Risk Scoring</w:t>
      </w:r>
    </w:p>
    <w:p>
      <w:pPr>
        <w:spacing w:after="200" w:before="0"/>
        <w:jc w:val="center"/>
      </w:pPr>
      <w:r>
        <w:rPr>
          <w:rFonts w:ascii="Arial" w:cs="Arial" w:eastAsia="Arial" w:hAnsi="Arial"/>
          <w:b/>
          <w:bCs/>
          <w:color w:val="0D1B2A"/>
          <w:sz w:val="52"/>
          <w:szCs w:val="52"/>
        </w:rPr>
        <w:t xml:space="preserve">for Bank Customer Churn</w:t>
      </w:r>
    </w:p>
    <w:p>
      <w:pPr>
        <w:spacing w:after="600" w:before="0"/>
        <w:jc w:val="center"/>
      </w:pPr>
      <w:r>
        <w:rPr>
          <w:rFonts w:ascii="Arial" w:cs="Arial" w:eastAsia="Arial" w:hAnsi="Arial"/>
          <w:i/>
          <w:iCs/>
          <w:color w:val="1B4F72"/>
          <w:sz w:val="24"/>
          <w:szCs w:val="24"/>
        </w:rPr>
        <w:t xml:space="preserve">A Machine Learning Approach with SMOTE, Isotonic Calibration, and SHAP Explainability</w:t>
      </w:r>
    </w:p>
    <w:p>
      <w:pPr>
        <w:pBdr>
          <w:bottom w:val="single" w:color="C9A84C" w:sz="6" w:space="1"/>
        </w:pBdr>
        <w:spacing w:after="400" w:before="0"/>
      </w:pPr>
      <w:r>
        <w:t xml:space="preserve"/>
      </w:r>
    </w:p>
    <w:p>
      <w:pPr>
        <w:spacing w:after="60" w:before="0"/>
        <w:jc w:val="center"/>
      </w:pPr>
      <w:r>
        <w:rPr>
          <w:rFonts w:ascii="Arial" w:cs="Arial" w:eastAsia="Arial" w:hAnsi="Arial"/>
          <w:b/>
          <w:bCs/>
          <w:caps/>
          <w:color w:val="64748B"/>
          <w:sz w:val="20"/>
          <w:szCs w:val="20"/>
        </w:rPr>
        <w:t xml:space="preserve">Author</w:t>
      </w:r>
    </w:p>
    <w:p>
      <w:pPr>
        <w:spacing w:after="300" w:before="0"/>
        <w:jc w:val="center"/>
      </w:pPr>
      <w:r>
        <w:rPr>
          <w:rFonts w:ascii="Arial" w:cs="Arial" w:eastAsia="Arial" w:hAnsi="Arial"/>
          <w:b/>
          <w:bCs/>
          <w:color w:val="0D1B2A"/>
          <w:sz w:val="28"/>
          <w:szCs w:val="28"/>
        </w:rPr>
        <w:t xml:space="preserve">Anoop Puri</w:t>
      </w:r>
    </w:p>
    <w:p>
      <w:pPr>
        <w:spacing w:after="60" w:before="0"/>
        <w:jc w:val="center"/>
      </w:pPr>
      <w:r>
        <w:rPr>
          <w:rFonts w:ascii="Arial" w:cs="Arial" w:eastAsia="Arial" w:hAnsi="Arial"/>
          <w:b/>
          <w:bCs/>
          <w:caps/>
          <w:color w:val="64748B"/>
          <w:sz w:val="20"/>
          <w:szCs w:val="20"/>
        </w:rPr>
        <w:t xml:space="preserve">Dataset</w:t>
      </w:r>
    </w:p>
    <w:p>
      <w:pPr>
        <w:spacing w:after="300" w:before="0"/>
        <w:jc w:val="center"/>
      </w:pPr>
      <w:r>
        <w:rPr>
          <w:rFonts w:ascii="Arial" w:cs="Arial" w:eastAsia="Arial" w:hAnsi="Arial"/>
          <w:color w:val="1B4F72"/>
          <w:sz w:val="22"/>
          <w:szCs w:val="22"/>
        </w:rPr>
        <w:t xml:space="preserve">European Bank Customer Dataset — 10,000 Records</w:t>
      </w:r>
    </w:p>
    <w:p>
      <w:pPr>
        <w:spacing w:after="60" w:before="0"/>
        <w:jc w:val="center"/>
      </w:pPr>
      <w:r>
        <w:rPr>
          <w:rFonts w:ascii="Arial" w:cs="Arial" w:eastAsia="Arial" w:hAnsi="Arial"/>
          <w:b/>
          <w:bCs/>
          <w:caps/>
          <w:color w:val="64748B"/>
          <w:sz w:val="20"/>
          <w:szCs w:val="20"/>
        </w:rPr>
        <w:t xml:space="preserve">Models Evaluated</w:t>
      </w:r>
    </w:p>
    <w:p>
      <w:pPr>
        <w:spacing w:after="0" w:before="0"/>
        <w:jc w:val="center"/>
      </w:pPr>
      <w:r>
        <w:rPr>
          <w:rFonts w:ascii="Arial" w:cs="Arial" w:eastAsia="Arial" w:hAnsi="Arial"/>
          <w:color w:val="1a1a1a"/>
          <w:sz w:val="22"/>
          <w:szCs w:val="22"/>
        </w:rPr>
        <w:t xml:space="preserve">Logistic Regression  ·  Decision Tree  ·  Random Forest  ·  Gradient Boosting  ·  XGBoost</w:t>
      </w:r>
    </w:p>
    <w:p>
      <w:pPr>
        <w:spacing w:after="0" w:before="0"/>
      </w:pPr>
      <w:r>
        <w:br w:type="page"/>
      </w:r>
    </w:p>
    <w:p>
      <w:pPr>
        <w:pStyle w:val="Heading1"/>
        <w:pBdr>
          <w:bottom w:val="single" w:color="C9A84C" w:sz="4" w:space="3"/>
        </w:pBdr>
        <w:spacing w:after="120" w:before="320"/>
      </w:pPr>
      <w:r>
        <w:rPr>
          <w:rFonts w:ascii="Arial" w:cs="Arial" w:eastAsia="Arial" w:hAnsi="Arial"/>
          <w:b/>
          <w:bCs/>
          <w:color w:val="0D1B2A"/>
          <w:sz w:val="28"/>
          <w:szCs w:val="28"/>
        </w:rPr>
        <w:t xml:space="preserve">Abstract</w:t>
      </w:r>
    </w:p>
    <w:p>
      <w:pPr>
        <w:spacing w:after="100" w:before="60"/>
        <w:ind/>
        <w:jc w:val="both"/>
      </w:pPr>
      <w:r>
        <w:rPr>
          <w:rFonts w:ascii="Arial" w:cs="Arial" w:eastAsia="Arial" w:hAnsi="Arial"/>
          <w:i w:val="false"/>
          <w:iCs w:val="false"/>
          <w:color w:val="1a1a1a"/>
          <w:sz w:val="22"/>
          <w:szCs w:val="22"/>
        </w:rPr>
        <w:t xml:space="preserve">Customer churn represents one of the most material risks to retail bank profitability, eroding customer lifetime value, revenue stability, and competitive positioning. Traditional retrospective analysis explains historical churn but fails to enable proactive retention.</w:t>
      </w:r>
    </w:p>
    <w:p>
      <w:pPr>
        <w:spacing w:after="100" w:before="60"/>
        <w:ind/>
        <w:jc w:val="both"/>
      </w:pPr>
      <w:r>
        <w:rPr>
          <w:rFonts w:ascii="Arial" w:cs="Arial" w:eastAsia="Arial" w:hAnsi="Arial"/>
          <w:i w:val="false"/>
          <w:iCs w:val="false"/>
          <w:color w:val="1a1a1a"/>
          <w:sz w:val="22"/>
          <w:szCs w:val="22"/>
        </w:rPr>
        <w:t xml:space="preserve">This paper presents a predictive churn intelligence system that assigns calibrated probability scores to individual customers, enabling early intervention before departure occurs. We train and evaluate five machine learning models on a European bank dataset of 10,000 customers.</w:t>
      </w:r>
    </w:p>
    <w:p>
      <w:pPr>
        <w:spacing w:after="100" w:before="60"/>
        <w:ind/>
        <w:jc w:val="both"/>
      </w:pPr>
      <w:r>
        <w:rPr>
          <w:rFonts w:ascii="Arial" w:cs="Arial" w:eastAsia="Arial" w:hAnsi="Arial"/>
          <w:i w:val="false"/>
          <w:iCs w:val="false"/>
          <w:color w:val="1a1a1a"/>
          <w:sz w:val="22"/>
          <w:szCs w:val="22"/>
        </w:rPr>
        <w:t xml:space="preserve">The best-performing model — a tuned Gradient Boosting classifier enhanced with SMOTE oversampling and isotonic probability calibration — achieves a ROC-AUC of 0.8671, recall of 76.96%, and precision of 52.68%. We further provide SHAP-based model explainability, a four-tier risk banding system, and a production Streamlit dashboard for business users.</w:t>
      </w:r>
    </w:p>
    <w:p>
      <w:pPr>
        <w:spacing w:after="100" w:before="60"/>
        <w:ind/>
        <w:jc w:val="both"/>
      </w:pPr>
      <w:r>
        <w:rPr>
          <w:rFonts w:ascii="Arial" w:cs="Arial" w:eastAsia="Arial" w:hAnsi="Arial"/>
          <w:i w:val="false"/>
          <w:iCs w:val="false"/>
          <w:color w:val="1a1a1a"/>
          <w:sz w:val="22"/>
          <w:szCs w:val="22"/>
        </w:rPr>
        <w:t xml:space="preserve">Key findings include a 2× Germany-France churn differential, a product overload cliff where customers with three or more products churn at 82.7–100%, and an age inflection point at 45 years where churn risk increases sharply. The model's estimated deployment ROI is €1.2 million per campaign cycle based on conservative CLV assumptions.</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1. Introduction</w:t>
      </w:r>
    </w:p>
    <w:p>
      <w:pPr>
        <w:pStyle w:val="Heading2"/>
        <w:spacing w:after="80" w:before="240"/>
      </w:pPr>
      <w:r>
        <w:rPr>
          <w:rFonts w:ascii="Arial" w:cs="Arial" w:eastAsia="Arial" w:hAnsi="Arial"/>
          <w:b/>
          <w:bCs/>
          <w:color w:val="1B4F72"/>
          <w:sz w:val="24"/>
          <w:szCs w:val="24"/>
        </w:rPr>
        <w:t xml:space="preserve">1.1  Business Context</w:t>
      </w:r>
    </w:p>
    <w:p>
      <w:pPr>
        <w:spacing w:after="100" w:before="60"/>
        <w:ind/>
        <w:jc w:val="both"/>
      </w:pPr>
      <w:r>
        <w:rPr>
          <w:rFonts w:ascii="Arial" w:cs="Arial" w:eastAsia="Arial" w:hAnsi="Arial"/>
          <w:i w:val="false"/>
          <w:iCs w:val="false"/>
          <w:color w:val="1a1a1a"/>
          <w:sz w:val="22"/>
          <w:szCs w:val="22"/>
        </w:rPr>
        <w:t xml:space="preserve">Customer attrition in retail banking carries costs across multiple dimensions. Direct revenue loss includes lost interest income, fee revenue, and cross-sell potential. Customer acquisition cost (CAC) typically runs five to seven times the cost of retention, making each preventable churn an asymmetric loss event. Churn also clusters by segment, amplifying geographic or demographic exposure, and departing customers frequently migrate to identifiable competitors.</w:t>
      </w:r>
    </w:p>
    <w:p>
      <w:pPr>
        <w:spacing w:after="100" w:before="60"/>
        <w:ind/>
        <w:jc w:val="both"/>
      </w:pPr>
      <w:r>
        <w:rPr>
          <w:rFonts w:ascii="Arial" w:cs="Arial" w:eastAsia="Arial" w:hAnsi="Arial"/>
          <w:i w:val="false"/>
          <w:iCs w:val="false"/>
          <w:color w:val="1a1a1a"/>
          <w:sz w:val="22"/>
          <w:szCs w:val="22"/>
        </w:rPr>
        <w:t xml:space="preserve">The European retail banking sector loses an estimated €4–8 billion annually to preventable churn. Despite holding rich transactional, behavioural, and demographic data, most institutions lack the analytical infrastructure to act on it proactively.</w:t>
      </w:r>
    </w:p>
    <w:p>
      <w:pPr>
        <w:pStyle w:val="Heading2"/>
        <w:spacing w:after="80" w:before="240"/>
      </w:pPr>
      <w:r>
        <w:rPr>
          <w:rFonts w:ascii="Arial" w:cs="Arial" w:eastAsia="Arial" w:hAnsi="Arial"/>
          <w:b/>
          <w:bCs/>
          <w:color w:val="1B4F72"/>
          <w:sz w:val="24"/>
          <w:szCs w:val="24"/>
        </w:rPr>
        <w:t xml:space="preserve">1.2  Problem Definition</w:t>
      </w:r>
    </w:p>
    <w:p>
      <w:pPr>
        <w:spacing w:after="100" w:before="60"/>
        <w:ind/>
        <w:jc w:val="both"/>
      </w:pPr>
      <w:r>
        <w:rPr>
          <w:rFonts w:ascii="Arial" w:cs="Arial" w:eastAsia="Arial" w:hAnsi="Arial"/>
          <w:i w:val="false"/>
          <w:iCs w:val="false"/>
          <w:color w:val="1a1a1a"/>
          <w:sz w:val="22"/>
          <w:szCs w:val="22"/>
        </w:rPr>
        <w:t xml:space="preserve">The primary research question is: can we predict, with sufficient accuracy and interpretability for business deployment, which customers will churn before they do so?</w:t>
      </w:r>
    </w:p>
    <w:p>
      <w:pPr>
        <w:spacing w:after="100" w:before="60"/>
        <w:ind/>
        <w:jc w:val="both"/>
      </w:pPr>
      <w:r>
        <w:rPr>
          <w:rFonts w:ascii="Arial" w:cs="Arial" w:eastAsia="Arial" w:hAnsi="Arial"/>
          <w:i w:val="false"/>
          <w:iCs w:val="false"/>
          <w:color w:val="1a1a1a"/>
          <w:sz w:val="22"/>
          <w:szCs w:val="22"/>
        </w:rPr>
        <w:t xml:space="preserve">This requires four capabilities working together: a binary classification model with high recall to minimise missed churners; calibrated probability scores rather than binary predictions alone; explainable drivers for regulatory compliance and business trust; and a deployable interface accessible to non-technical retention teams.</w:t>
      </w:r>
    </w:p>
    <w:p>
      <w:pPr>
        <w:pStyle w:val="Heading2"/>
        <w:spacing w:after="80" w:before="240"/>
      </w:pPr>
      <w:r>
        <w:rPr>
          <w:rFonts w:ascii="Arial" w:cs="Arial" w:eastAsia="Arial" w:hAnsi="Arial"/>
          <w:b/>
          <w:bCs/>
          <w:color w:val="1B4F72"/>
          <w:sz w:val="24"/>
          <w:szCs w:val="24"/>
        </w:rPr>
        <w:t xml:space="preserve">1.3  Scope</w:t>
      </w:r>
    </w:p>
    <w:p>
      <w:pPr>
        <w:spacing w:after="100" w:before="60"/>
        <w:ind/>
        <w:jc w:val="both"/>
      </w:pPr>
      <w:r>
        <w:rPr>
          <w:rFonts w:ascii="Arial" w:cs="Arial" w:eastAsia="Arial" w:hAnsi="Arial"/>
          <w:i w:val="false"/>
          <w:iCs w:val="false"/>
          <w:color w:val="1a1a1a"/>
          <w:sz w:val="22"/>
          <w:szCs w:val="22"/>
        </w:rPr>
        <w:t xml:space="preserve">This analysis covers a single European bank portfolio across three geographies — France, Germany, and Spain — using customer-level demographic, account, and engagement data. The methodology is designed to be transferable to any retail bank dataset with analogous features.</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2. Dataset Description</w:t>
      </w:r>
    </w:p>
    <w:p>
      <w:pPr>
        <w:pStyle w:val="Heading2"/>
        <w:spacing w:after="80" w:before="240"/>
      </w:pPr>
      <w:r>
        <w:rPr>
          <w:rFonts w:ascii="Arial" w:cs="Arial" w:eastAsia="Arial" w:hAnsi="Arial"/>
          <w:b/>
          <w:bCs/>
          <w:color w:val="1B4F72"/>
          <w:sz w:val="24"/>
          <w:szCs w:val="24"/>
        </w:rPr>
        <w:t xml:space="preserve">2.1  Source and Structure</w:t>
      </w:r>
    </w:p>
    <w:p>
      <w:pPr>
        <w:spacing w:after="100" w:before="60"/>
        <w:ind/>
        <w:jc w:val="both"/>
      </w:pPr>
      <w:r>
        <w:rPr>
          <w:rFonts w:ascii="Arial" w:cs="Arial" w:eastAsia="Arial" w:hAnsi="Arial"/>
          <w:i w:val="false"/>
          <w:iCs w:val="false"/>
          <w:color w:val="1a1a1a"/>
          <w:sz w:val="22"/>
          <w:szCs w:val="22"/>
        </w:rPr>
        <w:t xml:space="preserve">The dataset contains 10,000 customer records with no missing values across 14 raw features and one binary target variable (Exited: 1 = churned, 0 = retained). The overall churn rate is 20.37%, representing 2,037 customers who left the bank.</w:t>
      </w:r>
    </w:p>
    <w:p>
      <w:pPr>
        <w:spacing w:after="60" w:before="0"/>
      </w:pPr>
      <w:r>
        <w:t xml:space="preserve"/>
      </w:r>
    </w:p>
    <w:p>
      <w:pPr>
        <w:spacing w:after="160" w:before="60"/>
        <w:jc w:val="center"/>
      </w:pPr>
      <w:r>
        <w:rPr>
          <w:rFonts w:ascii="Arial" w:cs="Arial" w:eastAsia="Arial" w:hAnsi="Arial"/>
          <w:i/>
          <w:iCs/>
          <w:color w:val="64748B"/>
          <w:sz w:val="19"/>
          <w:szCs w:val="19"/>
        </w:rPr>
        <w:t xml:space="preserve">Table 1 — Dataset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Property</w:t>
            </w:r>
          </w:p>
        </w:tc>
        <w:tc>
          <w:tcPr>
            <w:tcW w:type="dxa" w:w="6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Total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10,000 customers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Raw features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14 (12 predictors + CustomerId + Surname)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Target variable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Exited  (1 = churned, 0 = retained)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Churn rate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20.37%  (2,037 churners)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Geographies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France 5,014  ·  Germany 2,509  ·  Spain 2,477</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Missing values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None</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2.2  Feature Inventory</w:t>
      </w:r>
    </w:p>
    <w:p>
      <w:pPr>
        <w:spacing w:after="60" w:before="0"/>
      </w:pPr>
      <w:r>
        <w:t xml:space="preserve"/>
      </w:r>
    </w:p>
    <w:p>
      <w:pPr>
        <w:spacing w:after="160" w:before="60"/>
        <w:jc w:val="center"/>
      </w:pPr>
      <w:r>
        <w:rPr>
          <w:rFonts w:ascii="Arial" w:cs="Arial" w:eastAsia="Arial" w:hAnsi="Arial"/>
          <w:i/>
          <w:iCs/>
          <w:color w:val="64748B"/>
          <w:sz w:val="19"/>
          <w:szCs w:val="19"/>
        </w:rPr>
        <w:t xml:space="preserve">Table 2 — 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Feature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Type</w:t>
            </w:r>
          </w:p>
        </w:tc>
        <w:tc>
          <w:tcPr>
            <w:tcW w:type="dxa" w:w="4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CreditScore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Continuous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Customer creditworthiness  (350–850)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Geography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Categorical</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France / Germany / Spain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Categorical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Male / Female</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Age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Continuous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Customer age  (18–92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Tenure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Discrete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Years with the bank  (0–10)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Balance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Continuous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Account balance  (€0–€250,890)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NumOfProducts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Discrete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Bank products held  (1–4)</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HasCrCard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Binary</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Credit card ownership  (0/1)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IsActiveMember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Binary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Activity status  (0/1)</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EstimatedSalary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Continuous</w:t>
            </w:r>
          </w:p>
        </w:tc>
        <w:tc>
          <w:tcPr>
            <w:tcW w:type="dxa" w:w="4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Estimated annual salary</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2.3  Class Distribution</w:t>
      </w:r>
    </w:p>
    <w:p>
      <w:pPr>
        <w:spacing w:after="100" w:before="60"/>
        <w:ind/>
        <w:jc w:val="both"/>
      </w:pPr>
      <w:r>
        <w:rPr>
          <w:rFonts w:ascii="Arial" w:cs="Arial" w:eastAsia="Arial" w:hAnsi="Arial"/>
          <w:i w:val="false"/>
          <w:iCs w:val="false"/>
          <w:color w:val="1a1a1a"/>
          <w:sz w:val="22"/>
          <w:szCs w:val="22"/>
        </w:rPr>
        <w:t xml:space="preserve">The dataset exhibits moderate class imbalance at a 20/80 ratio. This is sufficiently imbalanced to bias standard classifiers toward the majority class. The project addresses this through SMOTE oversampling applied to the training set and Youden's J threshold optimisation applied at evaluation, rather than defaulting to the 0.5 threshold.</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3. Exploratory Data Analysis</w:t>
      </w:r>
    </w:p>
    <w:p>
      <w:pPr>
        <w:pStyle w:val="Heading2"/>
        <w:spacing w:after="80" w:before="240"/>
      </w:pPr>
      <w:r>
        <w:rPr>
          <w:rFonts w:ascii="Arial" w:cs="Arial" w:eastAsia="Arial" w:hAnsi="Arial"/>
          <w:b/>
          <w:bCs/>
          <w:color w:val="1B4F72"/>
          <w:sz w:val="24"/>
          <w:szCs w:val="24"/>
        </w:rPr>
        <w:t xml:space="preserve">3.1  Age — Primary Continuous Driver</w:t>
      </w:r>
    </w:p>
    <w:p>
      <w:pPr>
        <w:spacing w:after="100" w:before="60"/>
        <w:ind/>
        <w:jc w:val="both"/>
      </w:pPr>
      <w:r>
        <w:rPr>
          <w:rFonts w:ascii="Arial" w:cs="Arial" w:eastAsia="Arial" w:hAnsi="Arial"/>
          <w:i w:val="false"/>
          <w:iCs w:val="false"/>
          <w:color w:val="1a1a1a"/>
          <w:sz w:val="22"/>
          <w:szCs w:val="22"/>
        </w:rPr>
        <w:t xml:space="preserve">Age is the most discriminative continuous feature in the dataset. Customers who churned have a mean age of 44.84 years compared to 37.41 for retained customers — a difference of 7.43 years. The churn rate inflects sharply at age 40, rising from approximately 14% for customers under 40 to 38% for the 41–50 cohort.</w:t>
      </w:r>
    </w:p>
    <w:p>
      <w:pPr>
        <w:pStyle w:val="Heading2"/>
        <w:spacing w:after="80" w:before="240"/>
      </w:pPr>
      <w:r>
        <w:rPr>
          <w:rFonts w:ascii="Arial" w:cs="Arial" w:eastAsia="Arial" w:hAnsi="Arial"/>
          <w:b/>
          <w:bCs/>
          <w:color w:val="1B4F72"/>
          <w:sz w:val="24"/>
          <w:szCs w:val="24"/>
        </w:rPr>
        <w:t xml:space="preserve">3.2  The Balance Paradox</w:t>
      </w:r>
    </w:p>
    <w:p>
      <w:pPr>
        <w:spacing w:after="100" w:before="60"/>
        <w:ind/>
        <w:jc w:val="both"/>
      </w:pPr>
      <w:r>
        <w:rPr>
          <w:rFonts w:ascii="Arial" w:cs="Arial" w:eastAsia="Arial" w:hAnsi="Arial"/>
          <w:i w:val="false"/>
          <w:iCs w:val="false"/>
          <w:color w:val="1a1a1a"/>
          <w:sz w:val="22"/>
          <w:szCs w:val="22"/>
        </w:rPr>
        <w:t xml:space="preserve">Counterintuitively, churned customers hold higher mean balances than retained ones: €91,108 versus €72,745, a difference of €18,363. This wealth paradox suggests affluent customers have elevated service expectations and greater mobility across institutions. It also means the highest-CLV customers are simultaneously the highest-risk.</w:t>
      </w:r>
    </w:p>
    <w:p>
      <w:pPr>
        <w:pStyle w:val="Heading2"/>
        <w:spacing w:after="80" w:before="240"/>
      </w:pPr>
      <w:r>
        <w:rPr>
          <w:rFonts w:ascii="Arial" w:cs="Arial" w:eastAsia="Arial" w:hAnsi="Arial"/>
          <w:b/>
          <w:bCs/>
          <w:color w:val="1B4F72"/>
          <w:sz w:val="24"/>
          <w:szCs w:val="24"/>
        </w:rPr>
        <w:t xml:space="preserve">3.3  The Product Overload Cliff</w:t>
      </w:r>
    </w:p>
    <w:p>
      <w:pPr>
        <w:spacing w:after="100" w:before="60"/>
        <w:ind/>
        <w:jc w:val="both"/>
      </w:pPr>
      <w:r>
        <w:rPr>
          <w:rFonts w:ascii="Arial" w:cs="Arial" w:eastAsia="Arial" w:hAnsi="Arial"/>
          <w:i w:val="false"/>
          <w:iCs w:val="false"/>
          <w:color w:val="1a1a1a"/>
          <w:sz w:val="22"/>
          <w:szCs w:val="22"/>
        </w:rPr>
        <w:t xml:space="preserve">Number of products exhibits the strongest non-linear relationship with churn in the entire dataset.</w:t>
      </w:r>
    </w:p>
    <w:p>
      <w:pPr>
        <w:spacing w:after="60" w:before="0"/>
      </w:pPr>
      <w:r>
        <w:t xml:space="preserve"/>
      </w:r>
    </w:p>
    <w:p>
      <w:pPr>
        <w:spacing w:after="160" w:before="60"/>
        <w:jc w:val="center"/>
      </w:pPr>
      <w:r>
        <w:rPr>
          <w:rFonts w:ascii="Arial" w:cs="Arial" w:eastAsia="Arial" w:hAnsi="Arial"/>
          <w:i/>
          <w:iCs/>
          <w:color w:val="64748B"/>
          <w:sz w:val="19"/>
          <w:szCs w:val="19"/>
        </w:rPr>
        <w:t xml:space="preserve">Table 3 — Churn Rate by Number of Products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5000"/>
      </w:tblGrid>
      <w:tr>
        <w:trPr>
          <w:tblHeader/>
        </w:trPr>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Products Held</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Customers</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Churn Rate</w:t>
            </w:r>
          </w:p>
        </w:tc>
        <w:tc>
          <w:tcPr>
            <w:tcW w:type="dxa" w:w="5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Risk Assessment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5,084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27.7%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Moderate — single product disengagement</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4,590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7.6%</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 — optimal retention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82.7%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Extreme — immediate retention action required</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60</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100.0%</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Certain churn — customers effectively lost</w:t>
            </w:r>
          </w:p>
        </w:tc>
      </w:tr>
    </w:tbl>
    <w:p>
      <w:pPr>
        <w:spacing w:after="60" w:before="0"/>
      </w:pPr>
      <w:r>
        <w:t xml:space="preserve"/>
      </w:r>
    </w:p>
    <w:p>
      <w:pPr>
        <w:spacing w:after="100" w:before="60"/>
        <w:ind/>
        <w:jc w:val="both"/>
      </w:pPr>
      <w:r>
        <w:rPr>
          <w:rFonts w:ascii="Arial" w:cs="Arial" w:eastAsia="Arial" w:hAnsi="Arial"/>
          <w:i w:val="false"/>
          <w:iCs w:val="false"/>
          <w:color w:val="1a1a1a"/>
          <w:sz w:val="22"/>
          <w:szCs w:val="22"/>
        </w:rPr>
        <w:t xml:space="preserve">Customers with two products represent the optimal retention state. Those with three or more products are effectively lost. Product overloading — forcing customers into bundles they do not want or use — is the single most actionable finding in the dataset.</w:t>
      </w:r>
    </w:p>
    <w:p>
      <w:pPr>
        <w:pStyle w:val="Heading2"/>
        <w:spacing w:after="80" w:before="240"/>
      </w:pPr>
      <w:r>
        <w:rPr>
          <w:rFonts w:ascii="Arial" w:cs="Arial" w:eastAsia="Arial" w:hAnsi="Arial"/>
          <w:b/>
          <w:bCs/>
          <w:color w:val="1B4F72"/>
          <w:sz w:val="24"/>
          <w:szCs w:val="24"/>
        </w:rPr>
        <w:t xml:space="preserve">3.4  Geographic Differential</w:t>
      </w:r>
    </w:p>
    <w:p>
      <w:pPr>
        <w:spacing w:after="60" w:before="0"/>
      </w:pPr>
      <w:r>
        <w:t xml:space="preserve"/>
      </w:r>
    </w:p>
    <w:p>
      <w:pPr>
        <w:spacing w:after="160" w:before="60"/>
        <w:jc w:val="center"/>
      </w:pPr>
      <w:r>
        <w:rPr>
          <w:rFonts w:ascii="Arial" w:cs="Arial" w:eastAsia="Arial" w:hAnsi="Arial"/>
          <w:i/>
          <w:iCs/>
          <w:color w:val="64748B"/>
          <w:sz w:val="19"/>
          <w:szCs w:val="19"/>
        </w:rPr>
        <w:t xml:space="preserve">Table 4 — Churn Rate by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Geography</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Customers</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Churn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France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5,014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16.15%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Spain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2,477</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16.67%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Germany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2,509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32.44%</w:t>
            </w:r>
          </w:p>
        </w:tc>
      </w:tr>
    </w:tbl>
    <w:p>
      <w:pPr>
        <w:spacing w:after="60" w:before="0"/>
      </w:pPr>
      <w:r>
        <w:t xml:space="preserve"/>
      </w:r>
    </w:p>
    <w:p>
      <w:pPr>
        <w:spacing w:after="100" w:before="60"/>
        <w:ind/>
        <w:jc w:val="both"/>
      </w:pPr>
      <w:r>
        <w:rPr>
          <w:rFonts w:ascii="Arial" w:cs="Arial" w:eastAsia="Arial" w:hAnsi="Arial"/>
          <w:i w:val="false"/>
          <w:iCs w:val="false"/>
          <w:color w:val="1a1a1a"/>
          <w:sz w:val="22"/>
          <w:szCs w:val="22"/>
        </w:rPr>
        <w:t xml:space="preserve">Germany's churn rate is double that of France and Spain. This is not explained by observable demographic differences — German customers have comparable mean age, balance, and credit scores. Structural factors including competitive dynamics, product-market fit, and service quality likely contribute.</w:t>
      </w:r>
    </w:p>
    <w:p>
      <w:pPr>
        <w:pStyle w:val="Heading2"/>
        <w:spacing w:after="80" w:before="240"/>
      </w:pPr>
      <w:r>
        <w:rPr>
          <w:rFonts w:ascii="Arial" w:cs="Arial" w:eastAsia="Arial" w:hAnsi="Arial"/>
          <w:b/>
          <w:bCs/>
          <w:color w:val="1B4F72"/>
          <w:sz w:val="24"/>
          <w:szCs w:val="24"/>
        </w:rPr>
        <w:t xml:space="preserve">3.5  Engagement Effect</w:t>
      </w:r>
    </w:p>
    <w:p>
      <w:pPr>
        <w:spacing w:after="100" w:before="60"/>
        <w:ind/>
        <w:jc w:val="both"/>
      </w:pPr>
      <w:r>
        <w:rPr>
          <w:rFonts w:ascii="Arial" w:cs="Arial" w:eastAsia="Arial" w:hAnsi="Arial"/>
          <w:i w:val="false"/>
          <w:iCs w:val="false"/>
          <w:color w:val="1a1a1a"/>
          <w:sz w:val="22"/>
          <w:szCs w:val="22"/>
        </w:rPr>
        <w:t xml:space="preserve">Inactive members churn at 26.9% compared to 14.3% for active members — a 1.88 times multiplier. This makes engagement re-activation the highest return-on-investment retention lever because it is directly actionable: the bank can drive activity through targeted communications, digital onboarding improvements, and product activation campaigns.</w:t>
      </w:r>
    </w:p>
    <w:p>
      <w:pPr>
        <w:pStyle w:val="Heading2"/>
        <w:spacing w:after="80" w:before="240"/>
      </w:pPr>
      <w:r>
        <w:rPr>
          <w:rFonts w:ascii="Arial" w:cs="Arial" w:eastAsia="Arial" w:hAnsi="Arial"/>
          <w:b/>
          <w:bCs/>
          <w:color w:val="1B4F72"/>
          <w:sz w:val="24"/>
          <w:szCs w:val="24"/>
        </w:rPr>
        <w:t xml:space="preserve">3.6  Correlation Summary</w:t>
      </w:r>
    </w:p>
    <w:p>
      <w:pPr>
        <w:spacing w:after="100" w:before="60"/>
        <w:ind/>
        <w:jc w:val="both"/>
      </w:pPr>
      <w:r>
        <w:rPr>
          <w:rFonts w:ascii="Arial" w:cs="Arial" w:eastAsia="Arial" w:hAnsi="Arial"/>
          <w:i w:val="false"/>
          <w:iCs w:val="false"/>
          <w:color w:val="1a1a1a"/>
          <w:sz w:val="22"/>
          <w:szCs w:val="22"/>
        </w:rPr>
        <w:t xml:space="preserve">Pearson correlations with the churn target confirm that age (+0.285) and active member status (−0.156) are the strongest linear signals, while credit score (−0.028) and estimated salary (−0.012) are negligible. The weak linear correlations for the latter features confirm that raw linear relationships substantially understate the predictive power captured by non-linear ensemble methods.</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4. Methodology</w:t>
      </w:r>
    </w:p>
    <w:p>
      <w:pPr>
        <w:pStyle w:val="Heading2"/>
        <w:spacing w:after="80" w:before="240"/>
      </w:pPr>
      <w:r>
        <w:rPr>
          <w:rFonts w:ascii="Arial" w:cs="Arial" w:eastAsia="Arial" w:hAnsi="Arial"/>
          <w:b/>
          <w:bCs/>
          <w:color w:val="1B4F72"/>
          <w:sz w:val="24"/>
          <w:szCs w:val="24"/>
        </w:rPr>
        <w:t xml:space="preserve">4.1  Feature Engineering</w:t>
      </w:r>
    </w:p>
    <w:p>
      <w:pPr>
        <w:spacing w:after="100" w:before="60"/>
        <w:ind/>
        <w:jc w:val="both"/>
      </w:pPr>
      <w:r>
        <w:rPr>
          <w:rFonts w:ascii="Arial" w:cs="Arial" w:eastAsia="Arial" w:hAnsi="Arial"/>
          <w:i w:val="false"/>
          <w:iCs w:val="false"/>
          <w:color w:val="1a1a1a"/>
          <w:sz w:val="22"/>
          <w:szCs w:val="22"/>
        </w:rPr>
        <w:t xml:space="preserve">Eight features were derived from the raw 12 predictors to capture non-linear relationships and domain-relevant interactions.</w:t>
      </w:r>
    </w:p>
    <w:p>
      <w:pPr>
        <w:spacing w:after="60" w:before="0"/>
      </w:pPr>
      <w:r>
        <w:t xml:space="preserve"/>
      </w:r>
    </w:p>
    <w:p>
      <w:pPr>
        <w:spacing w:after="160" w:before="60"/>
        <w:jc w:val="center"/>
      </w:pPr>
      <w:r>
        <w:rPr>
          <w:rFonts w:ascii="Arial" w:cs="Arial" w:eastAsia="Arial" w:hAnsi="Arial"/>
          <w:i/>
          <w:iCs/>
          <w:color w:val="64748B"/>
          <w:sz w:val="19"/>
          <w:szCs w:val="19"/>
        </w:rPr>
        <w:t xml:space="preserve">Table 5 — Engineered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Feature</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Formula</w:t>
            </w:r>
          </w:p>
        </w:tc>
        <w:tc>
          <w:tcPr>
            <w:tcW w:type="dxa" w:w="4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BalanceToSalaryRatio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Balance / EstimatedSalary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Financial dependency proxy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ProductDensity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NumOfProducts / max(Tenure, 1)</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Engagement pace per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EngagementScore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IsActiveMember + HasCrCard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Composite 0–2 activity index</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AgeTenureInteraction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Age / max(Tenure, 1)</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Old + short tenure = high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ZeroBalance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if Balance = 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Dormant account indicator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AgeGroup_Senior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if Age ≥ 45</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Key churn age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MultiProductRisk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if NumOfProducts ≥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Product cliff binary flag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InactiveHighBalance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if Inactive AND Balance &gt; median</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High-CLV disengaged customer</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4.2  Data Preprocessing</w:t>
      </w:r>
    </w:p>
    <w:p>
      <w:pPr>
        <w:spacing w:after="100" w:before="60"/>
        <w:ind/>
        <w:jc w:val="both"/>
      </w:pPr>
      <w:r>
        <w:rPr>
          <w:rFonts w:ascii="Arial" w:cs="Arial" w:eastAsia="Arial" w:hAnsi="Arial"/>
          <w:i w:val="false"/>
          <w:iCs w:val="false"/>
          <w:color w:val="1a1a1a"/>
          <w:sz w:val="22"/>
          <w:szCs w:val="22"/>
        </w:rPr>
        <w:t xml:space="preserve">Categorical encoding used one-hot encoding for Geography (three levels) and Gender (two levels), with drop_first=False retained to preserve interpretability. StandardScaler was applied to ten continuous features, fit exclusively on the training set to prevent data leakage. CustomerId, Surname, and Year were dropped as non-informative identifiers.</w:t>
      </w:r>
    </w:p>
    <w:p>
      <w:pPr>
        <w:pStyle w:val="Heading2"/>
        <w:spacing w:after="80" w:before="240"/>
      </w:pPr>
      <w:r>
        <w:rPr>
          <w:rFonts w:ascii="Arial" w:cs="Arial" w:eastAsia="Arial" w:hAnsi="Arial"/>
          <w:b/>
          <w:bCs/>
          <w:color w:val="1B4F72"/>
          <w:sz w:val="24"/>
          <w:szCs w:val="24"/>
        </w:rPr>
        <w:t xml:space="preserve">4.3  Train / Validation / Test Split</w:t>
      </w:r>
    </w:p>
    <w:p>
      <w:pPr>
        <w:spacing w:after="100" w:before="60"/>
        <w:ind/>
        <w:jc w:val="both"/>
      </w:pPr>
      <w:r>
        <w:rPr>
          <w:rFonts w:ascii="Arial" w:cs="Arial" w:eastAsia="Arial" w:hAnsi="Arial"/>
          <w:i w:val="false"/>
          <w:iCs w:val="false"/>
          <w:color w:val="1a1a1a"/>
          <w:sz w:val="22"/>
          <w:szCs w:val="22"/>
        </w:rPr>
        <w:t xml:space="preserve">A stratified 80/10/10 split was applied, preserving the 20.37% churn class distribution across all three partitions. The training set was used for model fitting after SMOTE rebalancing. The validation set was held for probability calibration. The test set was held completely out for final evaluation.</w:t>
      </w:r>
    </w:p>
    <w:p>
      <w:pPr>
        <w:pStyle w:val="Heading2"/>
        <w:spacing w:after="80" w:before="240"/>
      </w:pPr>
      <w:r>
        <w:rPr>
          <w:rFonts w:ascii="Arial" w:cs="Arial" w:eastAsia="Arial" w:hAnsi="Arial"/>
          <w:b/>
          <w:bCs/>
          <w:color w:val="1B4F72"/>
          <w:sz w:val="24"/>
          <w:szCs w:val="24"/>
        </w:rPr>
        <w:t xml:space="preserve">4.4  SMOTE Oversampling</w:t>
      </w:r>
    </w:p>
    <w:p>
      <w:pPr>
        <w:spacing w:after="100" w:before="60"/>
        <w:ind/>
        <w:jc w:val="both"/>
      </w:pPr>
      <w:r>
        <w:rPr>
          <w:rFonts w:ascii="Arial" w:cs="Arial" w:eastAsia="Arial" w:hAnsi="Arial"/>
          <w:i w:val="false"/>
          <w:iCs w:val="false"/>
          <w:color w:val="1a1a1a"/>
          <w:sz w:val="22"/>
          <w:szCs w:val="22"/>
        </w:rPr>
        <w:t xml:space="preserve">Synthetic Minority Oversampling Technique (SMOTE) was applied to the training set only, using a sampling strategy of 0.6 and five nearest neighbours. This expanded the training set from 8,001 to 10,193 samples and shifted the churn rate from 20.37% to 37.50%. SMOTE was preferred over random oversampling to avoid exact duplicate minority samples, and over class weighting alone as it directly augments the training distribution.</w:t>
      </w:r>
    </w:p>
    <w:p>
      <w:pPr>
        <w:pStyle w:val="Heading2"/>
        <w:spacing w:after="80" w:before="240"/>
      </w:pPr>
      <w:r>
        <w:rPr>
          <w:rFonts w:ascii="Arial" w:cs="Arial" w:eastAsia="Arial" w:hAnsi="Arial"/>
          <w:b/>
          <w:bCs/>
          <w:color w:val="1B4F72"/>
          <w:sz w:val="24"/>
          <w:szCs w:val="24"/>
        </w:rPr>
        <w:t xml:space="preserve">4.5  Model Selection</w:t>
      </w:r>
    </w:p>
    <w:p>
      <w:pPr>
        <w:spacing w:after="100" w:before="60"/>
        <w:ind/>
        <w:jc w:val="both"/>
      </w:pPr>
      <w:r>
        <w:rPr>
          <w:rFonts w:ascii="Arial" w:cs="Arial" w:eastAsia="Arial" w:hAnsi="Arial"/>
          <w:i w:val="false"/>
          <w:iCs w:val="false"/>
          <w:color w:val="1a1a1a"/>
          <w:sz w:val="22"/>
          <w:szCs w:val="22"/>
        </w:rPr>
        <w:t xml:space="preserve">Five models were evaluated across a complexity spectrum, from a linear interpretability baseline to state-of-the-art gradient boosting.</w:t>
      </w:r>
    </w:p>
    <w:p>
      <w:pPr>
        <w:spacing w:after="60" w:before="0"/>
      </w:pPr>
      <w:r>
        <w:t xml:space="preserve"/>
      </w:r>
    </w:p>
    <w:p>
      <w:pPr>
        <w:spacing w:after="160" w:before="60"/>
        <w:jc w:val="center"/>
      </w:pPr>
      <w:r>
        <w:rPr>
          <w:rFonts w:ascii="Arial" w:cs="Arial" w:eastAsia="Arial" w:hAnsi="Arial"/>
          <w:i/>
          <w:iCs/>
          <w:color w:val="64748B"/>
          <w:sz w:val="19"/>
          <w:szCs w:val="19"/>
        </w:rPr>
        <w:t xml:space="preserve">Table 6 — Model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Model</w:t>
            </w:r>
          </w:p>
        </w:tc>
        <w:tc>
          <w:tcPr>
            <w:tcW w:type="dxa" w:w="6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Key Hyperparameters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Logistic Regression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C=0.1, max_iter=1000, balanced class weight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Decision Tree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max_depth=6, min_samples_split=50, balanced class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Random Forest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n_estimators=300, max_depth=8, balanced class weight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Gradient Boosting</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n_estimators=350, learning_rate=0.04, max_depth=4, subsample=0.82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XGBoost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n_estimators=350, learning_rate=0.04, max_depth=5, scale_pos_weight=3.5</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4.6  Probability Calibration</w:t>
      </w:r>
    </w:p>
    <w:p>
      <w:pPr>
        <w:spacing w:after="100" w:before="60"/>
        <w:ind/>
        <w:jc w:val="both"/>
      </w:pPr>
      <w:r>
        <w:rPr>
          <w:rFonts w:ascii="Arial" w:cs="Arial" w:eastAsia="Arial" w:hAnsi="Arial"/>
          <w:i w:val="false"/>
          <w:iCs w:val="false"/>
          <w:color w:val="1a1a1a"/>
          <w:sz w:val="22"/>
          <w:szCs w:val="22"/>
        </w:rPr>
        <w:t xml:space="preserve">Raw probability outputs from tree-based models are poorly calibrated: a predicted score of 0.70 does not necessarily correspond to 70% empirical churn frequency. This matters for business decisions that use the raw probability for CLV-weighted retention budget allocation.</w:t>
      </w:r>
    </w:p>
    <w:p>
      <w:pPr>
        <w:spacing w:after="100" w:before="60"/>
        <w:ind/>
        <w:jc w:val="both"/>
      </w:pPr>
      <w:r>
        <w:rPr>
          <w:rFonts w:ascii="Arial" w:cs="Arial" w:eastAsia="Arial" w:hAnsi="Arial"/>
          <w:i w:val="false"/>
          <w:iCs w:val="false"/>
          <w:color w:val="1a1a1a"/>
          <w:sz w:val="22"/>
          <w:szCs w:val="22"/>
        </w:rPr>
        <w:t xml:space="preserve">Isotonic regression calibration was applied via CalibratedClassifierCV with five-fold cross-validation, fitting a non-parametric monotone transformation. This is preferred over Platt scaling for larger datasets and non-sigmoid calibration curves, and produces probabilities that genuinely reflect empirical churn rates.</w:t>
      </w:r>
    </w:p>
    <w:p>
      <w:pPr>
        <w:pStyle w:val="Heading2"/>
        <w:spacing w:after="80" w:before="240"/>
      </w:pPr>
      <w:r>
        <w:rPr>
          <w:rFonts w:ascii="Arial" w:cs="Arial" w:eastAsia="Arial" w:hAnsi="Arial"/>
          <w:b/>
          <w:bCs/>
          <w:color w:val="1B4F72"/>
          <w:sz w:val="24"/>
          <w:szCs w:val="24"/>
        </w:rPr>
        <w:t xml:space="preserve">4.7  Classification Threshold</w:t>
      </w:r>
    </w:p>
    <w:p>
      <w:pPr>
        <w:spacing w:after="100" w:before="60"/>
        <w:ind/>
        <w:jc w:val="both"/>
      </w:pPr>
      <w:r>
        <w:rPr>
          <w:rFonts w:ascii="Arial" w:cs="Arial" w:eastAsia="Arial" w:hAnsi="Arial"/>
          <w:i w:val="false"/>
          <w:iCs w:val="false"/>
          <w:color w:val="1a1a1a"/>
          <w:sz w:val="22"/>
          <w:szCs w:val="22"/>
        </w:rPr>
        <w:t xml:space="preserve">The default 0.5 threshold is suboptimal for imbalanced classification. Youden's J statistic was used to select the optimal per-model threshold, maximising the sum of sensitivity and specificity:</w:t>
      </w:r>
    </w:p>
    <w:p>
      <w:pPr>
        <w:spacing w:after="100" w:before="60"/>
        <w:ind/>
        <w:jc w:val="center"/>
      </w:pPr>
      <w:r>
        <w:rPr>
          <w:rFonts w:ascii="Arial" w:cs="Arial" w:eastAsia="Arial" w:hAnsi="Arial"/>
          <w:i/>
          <w:iCs/>
          <w:color w:val="1a1a1a"/>
          <w:sz w:val="22"/>
          <w:szCs w:val="22"/>
        </w:rPr>
        <w:t xml:space="preserve">J  =  Sensitivity + Specificity − 1  =  TPR − FPR</w:t>
      </w:r>
    </w:p>
    <w:p>
      <w:pPr>
        <w:spacing w:after="100" w:before="60"/>
        <w:ind/>
        <w:jc w:val="both"/>
      </w:pPr>
      <w:r>
        <w:rPr>
          <w:rFonts w:ascii="Arial" w:cs="Arial" w:eastAsia="Arial" w:hAnsi="Arial"/>
          <w:i w:val="false"/>
          <w:iCs w:val="false"/>
          <w:color w:val="1a1a1a"/>
          <w:sz w:val="22"/>
          <w:szCs w:val="22"/>
        </w:rPr>
        <w:t xml:space="preserve">The optimal threshold for the best model was 0.2722, substantially below 0.5, reflecting the need to cast a wider net for churn detection in a 20% prevalence environment.</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5. Results</w:t>
      </w:r>
    </w:p>
    <w:p>
      <w:pPr>
        <w:pStyle w:val="Heading2"/>
        <w:spacing w:after="80" w:before="240"/>
      </w:pPr>
      <w:r>
        <w:rPr>
          <w:rFonts w:ascii="Arial" w:cs="Arial" w:eastAsia="Arial" w:hAnsi="Arial"/>
          <w:b/>
          <w:bCs/>
          <w:color w:val="1B4F72"/>
          <w:sz w:val="24"/>
          <w:szCs w:val="24"/>
        </w:rPr>
        <w:t xml:space="preserve">5.1  Model Comparison</w:t>
      </w:r>
    </w:p>
    <w:p>
      <w:pPr>
        <w:spacing w:after="60" w:before="0"/>
      </w:pPr>
      <w:r>
        <w:t xml:space="preserve"/>
      </w:r>
    </w:p>
    <w:p>
      <w:pPr>
        <w:spacing w:after="160" w:before="60"/>
        <w:jc w:val="center"/>
      </w:pPr>
      <w:r>
        <w:rPr>
          <w:rFonts w:ascii="Arial" w:cs="Arial" w:eastAsia="Arial" w:hAnsi="Arial"/>
          <w:i/>
          <w:iCs/>
          <w:color w:val="64748B"/>
          <w:sz w:val="19"/>
          <w:szCs w:val="19"/>
        </w:rPr>
        <w:t xml:space="preserve">Table 7 — Model Performance at Optimal Youden's J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300"/>
        <w:gridCol w:w="1300"/>
        <w:gridCol w:w="11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Model</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Accuracy</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Precision</w:t>
            </w:r>
          </w:p>
        </w:tc>
        <w:tc>
          <w:tcPr>
            <w:tcW w:type="dxa" w:w="13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Recall</w:t>
            </w:r>
          </w:p>
        </w:tc>
        <w:tc>
          <w:tcPr>
            <w:tcW w:type="dxa" w:w="13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F1 Score</w:t>
            </w:r>
          </w:p>
        </w:tc>
        <w:tc>
          <w:tcPr>
            <w:tcW w:type="dxa" w:w="1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ROC-AUC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Gradient Boosting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0.8620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0.5268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0.7696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0.6255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0.8671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XGBoost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0.8530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0.5114</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0.7696</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0.6145</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0.8625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0.8680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0.5882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0.6863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0.6335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0.8607</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Decision Tree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0.8380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0.4659</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0.8039</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0.5899</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0.8549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Logistic Regression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0.8230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0.4337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0.7696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0.5548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0.8303</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5.2  Best Model — Gradient Boosting</w:t>
      </w:r>
    </w:p>
    <w:p>
      <w:pPr>
        <w:spacing w:after="100" w:before="60"/>
        <w:ind/>
        <w:jc w:val="both"/>
      </w:pPr>
      <w:r>
        <w:rPr>
          <w:rFonts w:ascii="Arial" w:cs="Arial" w:eastAsia="Arial" w:hAnsi="Arial"/>
          <w:i w:val="false"/>
          <w:iCs w:val="false"/>
          <w:color w:val="1a1a1a"/>
          <w:sz w:val="22"/>
          <w:szCs w:val="22"/>
        </w:rPr>
        <w:t xml:space="preserve">The Gradient Boosting classifier achieves the strongest overall profile. Its ROC-AUC of 0.8671 represents strong discriminative power, well above the 0.80 minimum threshold used for institutional model deployment. The recall of 76.96% means the model correctly identifies approximately 77 of every 100 actual churners before they leave. The precision improvement from approximately 49% in the uncalibrated version to 52.68% after isotonic calibration represents a meaningful reduction in false positives — fewer unnecessary retention contacts per campaign.</w:t>
      </w:r>
    </w:p>
    <w:p>
      <w:pPr>
        <w:pStyle w:val="Heading2"/>
        <w:spacing w:after="80" w:before="240"/>
      </w:pPr>
      <w:r>
        <w:rPr>
          <w:rFonts w:ascii="Arial" w:cs="Arial" w:eastAsia="Arial" w:hAnsi="Arial"/>
          <w:b/>
          <w:bCs/>
          <w:color w:val="1B4F72"/>
          <w:sz w:val="24"/>
          <w:szCs w:val="24"/>
        </w:rPr>
        <w:t xml:space="preserve">5.3  Confusion Matrix — Test Set (n = 1,000)</w:t>
      </w:r>
    </w:p>
    <w:p>
      <w:pPr>
        <w:spacing w:after="100" w:before="60"/>
        <w:ind/>
        <w:jc w:val="both"/>
      </w:pPr>
      <w:r>
        <w:rPr>
          <w:rFonts w:ascii="Arial" w:cs="Arial" w:eastAsia="Arial" w:hAnsi="Arial"/>
          <w:i w:val="false"/>
          <w:iCs w:val="false"/>
          <w:color w:val="1a1a1a"/>
          <w:sz w:val="22"/>
          <w:szCs w:val="22"/>
        </w:rPr>
        <w:t xml:space="preserve">At the optimal threshold of 0.2722, the model produces the following classification breakdown:</w:t>
      </w:r>
    </w:p>
    <w:p>
      <w:pPr>
        <w:spacing w:after="60" w:before="0"/>
      </w:pPr>
      <w:r>
        <w:t xml:space="preserve"/>
      </w:r>
    </w:p>
    <w:p>
      <w:pPr>
        <w:spacing w:after="160" w:before="60"/>
        <w:jc w:val="center"/>
      </w:pPr>
      <w:r>
        <w:rPr>
          <w:rFonts w:ascii="Arial" w:cs="Arial" w:eastAsia="Arial" w:hAnsi="Arial"/>
          <w:i/>
          <w:iCs/>
          <w:color w:val="64748B"/>
          <w:sz w:val="19"/>
          <w:szCs w:val="19"/>
        </w:rPr>
        <w:t xml:space="preserve">Table 8 — Confusion Matrix at Optimal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
            </w:r>
          </w:p>
        </w:tc>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Predicted: Retained</w:t>
            </w:r>
          </w:p>
        </w:tc>
        <w:tc>
          <w:tcPr>
            <w:tcW w:type="dxa" w:w="3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Predicted: Churned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Actual: Retained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686  (True Negative)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106  (False Positive)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Actual: Churned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 47  (False Negative)</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161  (True Positive)</w:t>
            </w:r>
          </w:p>
        </w:tc>
      </w:tr>
    </w:tbl>
    <w:p>
      <w:pPr>
        <w:spacing w:after="60" w:before="0"/>
      </w:pPr>
      <w:r>
        <w:t xml:space="preserve"/>
      </w:r>
    </w:p>
    <w:p>
      <w:pPr>
        <w:spacing w:after="100" w:before="60"/>
        <w:ind/>
        <w:jc w:val="both"/>
      </w:pPr>
      <w:r>
        <w:rPr>
          <w:rFonts w:ascii="Arial" w:cs="Arial" w:eastAsia="Arial" w:hAnsi="Arial"/>
          <w:i w:val="false"/>
          <w:iCs w:val="false"/>
          <w:color w:val="1a1a1a"/>
          <w:sz w:val="22"/>
          <w:szCs w:val="22"/>
        </w:rPr>
        <w:t xml:space="preserve">The 161 true positives represent churners correctly identified — the primary source of value. The 47 false negatives are missed churners, the cost of recall below 100%. The 106 false positives are retained customers incorrectly flagged, representing wasted retention spend that is mitigated by the improved precision from calibration.</w:t>
      </w:r>
    </w:p>
    <w:p>
      <w:pPr>
        <w:pStyle w:val="Heading2"/>
        <w:spacing w:after="80" w:before="240"/>
      </w:pPr>
      <w:r>
        <w:rPr>
          <w:rFonts w:ascii="Arial" w:cs="Arial" w:eastAsia="Arial" w:hAnsi="Arial"/>
          <w:b/>
          <w:bCs/>
          <w:color w:val="1B4F72"/>
          <w:sz w:val="24"/>
          <w:szCs w:val="24"/>
        </w:rPr>
        <w:t xml:space="preserve">5.4  Risk Band Segmentation</w:t>
      </w:r>
    </w:p>
    <w:p>
      <w:pPr>
        <w:spacing w:after="60" w:before="0"/>
      </w:pPr>
      <w:r>
        <w:t xml:space="preserve"/>
      </w:r>
    </w:p>
    <w:p>
      <w:pPr>
        <w:spacing w:after="160" w:before="60"/>
        <w:jc w:val="center"/>
      </w:pPr>
      <w:r>
        <w:rPr>
          <w:rFonts w:ascii="Arial" w:cs="Arial" w:eastAsia="Arial" w:hAnsi="Arial"/>
          <w:i/>
          <w:iCs/>
          <w:color w:val="64748B"/>
          <w:sz w:val="19"/>
          <w:szCs w:val="19"/>
        </w:rPr>
        <w:t xml:space="preserve">Table 9 — Portfolio Risk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Risk Band</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Probability</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Customers</w:t>
            </w:r>
          </w:p>
        </w:tc>
        <w:tc>
          <w:tcPr>
            <w:tcW w:type="dxa" w:w="3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 Portfolio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Critical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 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1,319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13.2%</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High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40–65%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849</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Moderate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20–40%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1,314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13.1%</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Low Risk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&lt; 20%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6,518</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65.2%</w:t>
            </w:r>
          </w:p>
        </w:tc>
      </w:tr>
    </w:tbl>
    <w:p>
      <w:pPr>
        <w:spacing w:after="60" w:before="0"/>
      </w:pPr>
      <w:r>
        <w:t xml:space="preserve"/>
      </w:r>
    </w:p>
    <w:p>
      <w:pPr>
        <w:spacing w:after="100" w:before="60"/>
        <w:ind/>
        <w:jc w:val="both"/>
      </w:pPr>
      <w:r>
        <w:rPr>
          <w:rFonts w:ascii="Arial" w:cs="Arial" w:eastAsia="Arial" w:hAnsi="Arial"/>
          <w:i w:val="false"/>
          <w:iCs w:val="false"/>
          <w:color w:val="1a1a1a"/>
          <w:sz w:val="22"/>
          <w:szCs w:val="22"/>
        </w:rPr>
        <w:t xml:space="preserve">The 2,168 customers in the Critical and High Risk tiers (21.7% of the portfolio) represent the priority retention universe for immediate resource allocation.</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6. Model Explainability</w:t>
      </w:r>
    </w:p>
    <w:p>
      <w:pPr>
        <w:pStyle w:val="Heading2"/>
        <w:spacing w:after="80" w:before="240"/>
      </w:pPr>
      <w:r>
        <w:rPr>
          <w:rFonts w:ascii="Arial" w:cs="Arial" w:eastAsia="Arial" w:hAnsi="Arial"/>
          <w:b/>
          <w:bCs/>
          <w:color w:val="1B4F72"/>
          <w:sz w:val="24"/>
          <w:szCs w:val="24"/>
        </w:rPr>
        <w:t xml:space="preserve">6.1  Feature Importance</w:t>
      </w:r>
    </w:p>
    <w:p>
      <w:pPr>
        <w:spacing w:after="100" w:before="60"/>
        <w:ind/>
        <w:jc w:val="both"/>
      </w:pPr>
      <w:r>
        <w:rPr>
          <w:rFonts w:ascii="Arial" w:cs="Arial" w:eastAsia="Arial" w:hAnsi="Arial"/>
          <w:i w:val="false"/>
          <w:iCs w:val="false"/>
          <w:color w:val="1a1a1a"/>
          <w:sz w:val="22"/>
          <w:szCs w:val="22"/>
        </w:rPr>
        <w:t xml:space="preserve">The Gradient Boosting model's feature importance rankings, derived from impurity-based split gain, confirm the EDA findings while revealing additional engineered feature contributions.</w:t>
      </w:r>
    </w:p>
    <w:p>
      <w:pPr>
        <w:spacing w:after="60" w:before="0"/>
      </w:pPr>
      <w:r>
        <w:t xml:space="preserve"/>
      </w:r>
    </w:p>
    <w:p>
      <w:pPr>
        <w:spacing w:after="160" w:before="60"/>
        <w:jc w:val="center"/>
      </w:pPr>
      <w:r>
        <w:rPr>
          <w:rFonts w:ascii="Arial" w:cs="Arial" w:eastAsia="Arial" w:hAnsi="Arial"/>
          <w:i/>
          <w:iCs/>
          <w:color w:val="64748B"/>
          <w:sz w:val="19"/>
          <w:szCs w:val="19"/>
        </w:rPr>
        <w:t xml:space="preserve">Table 10 — Top 10 Features by Importance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500"/>
        <w:gridCol w:w="5000"/>
      </w:tblGrid>
      <w:tr>
        <w:trPr>
          <w:tblHeader/>
        </w:trPr>
        <w:tc>
          <w:tcPr>
            <w:tcW w:type="dxa" w:w="5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Rank</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Feature</w:t>
            </w:r>
          </w:p>
        </w:tc>
        <w:tc>
          <w:tcPr>
            <w:tcW w:type="dxa" w:w="15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Importance</w:t>
            </w:r>
          </w:p>
        </w:tc>
        <w:tc>
          <w:tcPr>
            <w:tcW w:type="dxa" w:w="5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Interpretation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AgeGroup_Senior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0.1716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Age ≥ 45 flag — key demographic risk marker</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Age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0.1487</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Continuous age signal — churner mean 44.8 vs 37.4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NumOfProducts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0.1387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Product overload cliff: 3 products = 82.7% churn</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MultiProductRisk</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0.0717</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Binary 3+ products flag — captures the non-linear cliff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Geography_Germany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0.0609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German market premium (32.4% vs 16.2% France)</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IsActiveMember</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0.0593</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Engagement — highest actionable retention lever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Tenure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0.0389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Relationship length — mid-tenure peak risk</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Gender_Male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0.0363</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Male customers churn at lower rate (16.5% vs 25.1%)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Balance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0.0360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Account balance (wealth paradox)</w:t>
            </w:r>
          </w:p>
        </w:tc>
      </w:tr>
      <w:tr>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10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Geography_France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0.0345</w:t>
            </w:r>
          </w:p>
        </w:tc>
        <w:tc>
          <w:tcPr>
            <w:tcW w:type="dxa" w:w="5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Baseline geography — lowest churn (16.2%)</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6.2  SHAP Analysis</w:t>
      </w:r>
    </w:p>
    <w:p>
      <w:pPr>
        <w:spacing w:after="100" w:before="60"/>
        <w:ind/>
        <w:jc w:val="both"/>
      </w:pPr>
      <w:r>
        <w:rPr>
          <w:rFonts w:ascii="Arial" w:cs="Arial" w:eastAsia="Arial" w:hAnsi="Arial"/>
          <w:i w:val="false"/>
          <w:iCs w:val="false"/>
          <w:color w:val="1a1a1a"/>
          <w:sz w:val="22"/>
          <w:szCs w:val="22"/>
        </w:rPr>
        <w:t xml:space="preserve">SHAP (SHapley Additive exPlanations) mean absolute values, computed via TreeExplainer on a 500-sample subset of the test set, provide model-agnostic attribution consistent with tree importance rankings.</w:t>
      </w:r>
    </w:p>
    <w:p>
      <w:pPr>
        <w:spacing w:after="60" w:before="0"/>
      </w:pPr>
      <w:r>
        <w:t xml:space="preserve"/>
      </w:r>
    </w:p>
    <w:p>
      <w:pPr>
        <w:spacing w:after="160" w:before="60"/>
        <w:jc w:val="center"/>
      </w:pPr>
      <w:r>
        <w:rPr>
          <w:rFonts w:ascii="Arial" w:cs="Arial" w:eastAsia="Arial" w:hAnsi="Arial"/>
          <w:i/>
          <w:iCs/>
          <w:color w:val="64748B"/>
          <w:sz w:val="19"/>
          <w:szCs w:val="19"/>
        </w:rPr>
        <w:t xml:space="preserve">Table 11 — Top 5 Features by SHAP Mean |φ|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Rank</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Feature</w:t>
            </w:r>
          </w:p>
        </w:tc>
        <w:tc>
          <w:tcPr>
            <w:tcW w:type="dxa" w:w="5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Mean |SHAP|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NumOfProducts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0.7099</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2</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Age</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0.4300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AgeGroup_Senior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0.4175</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4</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IsActiveMember</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0.3475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Geography_Germany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0.2400</w:t>
            </w:r>
          </w:p>
        </w:tc>
      </w:tr>
    </w:tbl>
    <w:p>
      <w:pPr>
        <w:spacing w:after="60" w:before="0"/>
      </w:pPr>
      <w:r>
        <w:t xml:space="preserve"/>
      </w:r>
    </w:p>
    <w:p>
      <w:pPr>
        <w:spacing w:after="100" w:before="60"/>
        <w:ind/>
        <w:jc w:val="both"/>
      </w:pPr>
      <w:r>
        <w:rPr>
          <w:rFonts w:ascii="Arial" w:cs="Arial" w:eastAsia="Arial" w:hAnsi="Arial"/>
          <w:i w:val="false"/>
          <w:iCs w:val="false"/>
          <w:color w:val="1a1a1a"/>
          <w:sz w:val="22"/>
          <w:szCs w:val="22"/>
        </w:rPr>
        <w:t xml:space="preserve">SHAP values are preferred for regulatory explainability submissions (GDPR Article 22, SR 11-7) because they provide individual-level attribution that satisfies the right-to-explanation requirement for automated decisions.</w:t>
      </w:r>
    </w:p>
    <w:p>
      <w:pPr>
        <w:pStyle w:val="Heading2"/>
        <w:spacing w:after="80" w:before="240"/>
      </w:pPr>
      <w:r>
        <w:rPr>
          <w:rFonts w:ascii="Arial" w:cs="Arial" w:eastAsia="Arial" w:hAnsi="Arial"/>
          <w:b/>
          <w:bCs/>
          <w:color w:val="1B4F72"/>
          <w:sz w:val="24"/>
          <w:szCs w:val="24"/>
        </w:rPr>
        <w:t xml:space="preserve">6.3  Regulatory Compliance</w:t>
      </w:r>
    </w:p>
    <w:p>
      <w:pPr>
        <w:pStyle w:val="ListParagraph"/>
        <w:numPr>
          <w:ilvl w:val="0"/>
          <w:numId w:val="2"/>
        </w:numPr>
        <w:spacing w:after="60" w:before="40"/>
      </w:pPr>
      <w:r>
        <w:rPr>
          <w:rFonts w:ascii="Arial" w:cs="Arial" w:eastAsia="Arial" w:hAnsi="Arial"/>
          <w:color w:val="1a1a1a"/>
          <w:sz w:val="22"/>
          <w:szCs w:val="22"/>
        </w:rPr>
        <w:t xml:space="preserve">SR 11-7 (US Federal Reserve): Conceptual soundness demonstrated via feature engineering rationale and SHAP attribution documentation.</w:t>
      </w:r>
    </w:p>
    <w:p>
      <w:pPr>
        <w:pStyle w:val="ListParagraph"/>
        <w:numPr>
          <w:ilvl w:val="0"/>
          <w:numId w:val="2"/>
        </w:numPr>
        <w:spacing w:after="60" w:before="40"/>
      </w:pPr>
      <w:r>
        <w:rPr>
          <w:rFonts w:ascii="Arial" w:cs="Arial" w:eastAsia="Arial" w:hAnsi="Arial"/>
          <w:color w:val="1a1a1a"/>
          <w:sz w:val="22"/>
          <w:szCs w:val="22"/>
        </w:rPr>
        <w:t xml:space="preserve">EBA Guidelines on ICT Risk: Model governance documentation provided via this paper and the accompanying Excel workbook.</w:t>
      </w:r>
    </w:p>
    <w:p>
      <w:pPr>
        <w:pStyle w:val="ListParagraph"/>
        <w:numPr>
          <w:ilvl w:val="0"/>
          <w:numId w:val="2"/>
        </w:numPr>
        <w:spacing w:after="60" w:before="40"/>
      </w:pPr>
      <w:r>
        <w:rPr>
          <w:rFonts w:ascii="Arial" w:cs="Arial" w:eastAsia="Arial" w:hAnsi="Arial"/>
          <w:color w:val="1a1a1a"/>
          <w:sz w:val="22"/>
          <w:szCs w:val="22"/>
        </w:rPr>
        <w:t xml:space="preserve">GDPR Article 22: Individual prediction explanations available via SHAP single-instance decomposition built into the Streamlit dashboard.</w:t>
      </w:r>
    </w:p>
    <w:p>
      <w:pPr>
        <w:pStyle w:val="ListParagraph"/>
        <w:numPr>
          <w:ilvl w:val="0"/>
          <w:numId w:val="2"/>
        </w:numPr>
        <w:spacing w:after="60" w:before="40"/>
      </w:pPr>
      <w:r>
        <w:rPr>
          <w:rFonts w:ascii="Arial" w:cs="Arial" w:eastAsia="Arial" w:hAnsi="Arial"/>
          <w:color w:val="1a1a1a"/>
          <w:sz w:val="22"/>
          <w:szCs w:val="22"/>
        </w:rPr>
        <w:t xml:space="preserve">Non-discrimination: Gender and Geography are included as statistical predictors only, not as a basis for differential access to financial services.</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7. Business Application</w:t>
      </w:r>
    </w:p>
    <w:p>
      <w:pPr>
        <w:pStyle w:val="Heading2"/>
        <w:spacing w:after="80" w:before="240"/>
      </w:pPr>
      <w:r>
        <w:rPr>
          <w:rFonts w:ascii="Arial" w:cs="Arial" w:eastAsia="Arial" w:hAnsi="Arial"/>
          <w:b/>
          <w:bCs/>
          <w:color w:val="1B4F72"/>
          <w:sz w:val="24"/>
          <w:szCs w:val="24"/>
        </w:rPr>
        <w:t xml:space="preserve">7.1  Retention Action Framework</w:t>
      </w:r>
    </w:p>
    <w:p>
      <w:pPr>
        <w:spacing w:after="60" w:before="0"/>
      </w:pPr>
      <w:r>
        <w:t xml:space="preserve"/>
      </w:r>
    </w:p>
    <w:p>
      <w:pPr>
        <w:spacing w:after="160" w:before="60"/>
        <w:jc w:val="center"/>
      </w:pPr>
      <w:r>
        <w:rPr>
          <w:rFonts w:ascii="Arial" w:cs="Arial" w:eastAsia="Arial" w:hAnsi="Arial"/>
          <w:i/>
          <w:iCs/>
          <w:color w:val="64748B"/>
          <w:sz w:val="19"/>
          <w:szCs w:val="19"/>
        </w:rPr>
        <w:t xml:space="preserve">Table 12 — Risk Band to Retention Action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700"/>
        <w:gridCol w:w="24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Risk Band</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Recommended Action</w:t>
            </w:r>
          </w:p>
        </w:tc>
        <w:tc>
          <w:tcPr>
            <w:tcW w:type="dxa" w:w="17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Timeline</w:t>
            </w:r>
          </w:p>
        </w:tc>
        <w:tc>
          <w:tcPr>
            <w:tcW w:type="dxa" w:w="24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Expected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Critical Risk (≥65%)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Personal call + bespoke retention offer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48 hours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High Risk (40–65%)</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Outbound call + standard package</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 weeks</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Moderate Risk (20–40%)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Digital campaign + engagement incentive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Quarterly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Low Risk (&lt;20%)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Standard relationship management</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Ongoing</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Minimal</w:t>
            </w:r>
          </w:p>
        </w:tc>
      </w:tr>
    </w:tbl>
    <w:p>
      <w:pPr>
        <w:spacing w:after="60" w:before="0"/>
      </w:pPr>
      <w:r>
        <w:t xml:space="preserve"/>
      </w:r>
    </w:p>
    <w:p>
      <w:pPr>
        <w:pStyle w:val="Heading2"/>
        <w:spacing w:after="80" w:before="240"/>
      </w:pPr>
      <w:r>
        <w:rPr>
          <w:rFonts w:ascii="Arial" w:cs="Arial" w:eastAsia="Arial" w:hAnsi="Arial"/>
          <w:b/>
          <w:bCs/>
          <w:color w:val="1B4F72"/>
          <w:sz w:val="24"/>
          <w:szCs w:val="24"/>
        </w:rPr>
        <w:t xml:space="preserve">7.2  Estimated Return on Investment</w:t>
      </w:r>
    </w:p>
    <w:p>
      <w:pPr>
        <w:spacing w:after="100" w:before="60"/>
        <w:ind/>
        <w:jc w:val="both"/>
      </w:pPr>
      <w:r>
        <w:rPr>
          <w:rFonts w:ascii="Arial" w:cs="Arial" w:eastAsia="Arial" w:hAnsi="Arial"/>
          <w:i w:val="false"/>
          <w:iCs w:val="false"/>
          <w:color w:val="1a1a1a"/>
          <w:sz w:val="22"/>
          <w:szCs w:val="22"/>
        </w:rPr>
        <w:t xml:space="preserve">Assumptions: average customer lifetime value of €2,400, campaign conversion rate of 30% (one in three contacted customers retained), and campaign cost of €150 per customer contacted.</w:t>
      </w:r>
    </w:p>
    <w:p>
      <w:pPr>
        <w:spacing w:after="60" w:before="0"/>
      </w:pPr>
      <w:r>
        <w:t xml:space="preserve"/>
      </w:r>
    </w:p>
    <w:p>
      <w:pPr>
        <w:spacing w:after="160" w:before="60"/>
        <w:jc w:val="center"/>
      </w:pPr>
      <w:r>
        <w:rPr>
          <w:rFonts w:ascii="Arial" w:cs="Arial" w:eastAsia="Arial" w:hAnsi="Arial"/>
          <w:i/>
          <w:iCs/>
          <w:color w:val="64748B"/>
          <w:sz w:val="19"/>
          <w:szCs w:val="19"/>
        </w:rPr>
        <w:t xml:space="preserve">Table 13 — Estimated Campaign ROI (Single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900"/>
        <w:gridCol w:w="1800"/>
        <w:gridCol w:w="1060"/>
      </w:tblGrid>
      <w:tr>
        <w:trPr>
          <w:tblHeader/>
        </w:trPr>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Tier</w:t>
            </w:r>
          </w:p>
        </w:tc>
        <w:tc>
          <w:tcPr>
            <w:tcW w:type="dxa" w:w="1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Customers</w:t>
            </w:r>
          </w:p>
        </w:tc>
        <w:tc>
          <w:tcPr>
            <w:tcW w:type="dxa" w:w="1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Expected Saves (30%)</w:t>
            </w:r>
          </w:p>
        </w:tc>
        <w:tc>
          <w:tcPr>
            <w:tcW w:type="dxa" w:w="19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Revenue Protected</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Campaign Cost</w:t>
            </w:r>
          </w:p>
        </w:tc>
        <w:tc>
          <w:tcPr>
            <w:tcW w:type="dxa" w:w="10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Net ROI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Critical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1,319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396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€950,400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€197,850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€752,550</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High Risk</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849</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255</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€612,000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€127,350</w:t>
            </w:r>
          </w:p>
        </w:tc>
        <w:tc>
          <w:tcPr>
            <w:tcW w:type="dxa" w:w="1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€484,650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2,168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651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€1,562,400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€325,200</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€1,237,200</w:t>
            </w:r>
          </w:p>
        </w:tc>
      </w:tr>
    </w:tbl>
    <w:p>
      <w:pPr>
        <w:spacing w:after="60" w:before="0"/>
      </w:pPr>
      <w:r>
        <w:t xml:space="preserve"/>
      </w:r>
    </w:p>
    <w:p>
      <w:pPr>
        <w:spacing w:after="100" w:before="60"/>
        <w:ind/>
        <w:jc w:val="both"/>
      </w:pPr>
      <w:r>
        <w:rPr>
          <w:rFonts w:ascii="Arial" w:cs="Arial" w:eastAsia="Arial" w:hAnsi="Arial"/>
          <w:i w:val="false"/>
          <w:iCs w:val="false"/>
          <w:color w:val="1a1a1a"/>
          <w:sz w:val="22"/>
          <w:szCs w:val="22"/>
        </w:rPr>
        <w:t xml:space="preserve">These are conservative single-cycle estimates. Sustained deployment with quarterly model retraining would compound returns and reduce false positive rates as feedback data accumulates.</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8. Limitations and Future Work</w:t>
      </w:r>
    </w:p>
    <w:p>
      <w:pPr>
        <w:pStyle w:val="Heading2"/>
        <w:spacing w:after="80" w:before="240"/>
      </w:pPr>
      <w:r>
        <w:rPr>
          <w:rFonts w:ascii="Arial" w:cs="Arial" w:eastAsia="Arial" w:hAnsi="Arial"/>
          <w:b/>
          <w:bCs/>
          <w:color w:val="1B4F72"/>
          <w:sz w:val="24"/>
          <w:szCs w:val="24"/>
        </w:rPr>
        <w:t xml:space="preserve">8.1  Current Limitations</w:t>
      </w:r>
    </w:p>
    <w:p>
      <w:pPr>
        <w:spacing w:after="100" w:before="60"/>
        <w:ind/>
        <w:jc w:val="both"/>
      </w:pPr>
      <w:r>
        <w:rPr>
          <w:rFonts w:ascii="Arial" w:cs="Arial" w:eastAsia="Arial" w:hAnsi="Arial"/>
          <w:i w:val="false"/>
          <w:iCs w:val="false"/>
          <w:color w:val="1a1a1a"/>
          <w:sz w:val="22"/>
          <w:szCs w:val="22"/>
        </w:rPr>
        <w:t xml:space="preserve">The train-test split is random rather than time-based. Real deployment should train on months one through N and evaluate on month N+1 to capture temporal dynamics and prevent forward-looking data leakage.</w:t>
      </w:r>
    </w:p>
    <w:p>
      <w:pPr>
        <w:spacing w:after="100" w:before="60"/>
        <w:ind/>
        <w:jc w:val="both"/>
      </w:pPr>
      <w:r>
        <w:rPr>
          <w:rFonts w:ascii="Arial" w:cs="Arial" w:eastAsia="Arial" w:hAnsi="Arial"/>
          <w:i w:val="false"/>
          <w:iCs w:val="false"/>
          <w:color w:val="1a1a1a"/>
          <w:sz w:val="22"/>
          <w:szCs w:val="22"/>
        </w:rPr>
        <w:t xml:space="preserve">Precision is currently 52.68%, meaning roughly half of retention contacts are directed at customers who would not have churned. Reaching 65%+ precision would require richer features such as recent transaction data, digital engagement logs, or call centre interaction history.</w:t>
      </w:r>
    </w:p>
    <w:p>
      <w:pPr>
        <w:spacing w:after="100" w:before="60"/>
        <w:ind/>
        <w:jc w:val="both"/>
      </w:pPr>
      <w:r>
        <w:rPr>
          <w:rFonts w:ascii="Arial" w:cs="Arial" w:eastAsia="Arial" w:hAnsi="Arial"/>
          <w:i w:val="false"/>
          <w:iCs w:val="false"/>
          <w:color w:val="1a1a1a"/>
          <w:sz w:val="22"/>
          <w:szCs w:val="22"/>
        </w:rPr>
        <w:t xml:space="preserve">The model uses point-in-time snapshots. Behavioural sequences — declining login frequency, reducing balance over six months, decreasing product usage — would substantially improve predictive power.</w:t>
      </w:r>
    </w:p>
    <w:p>
      <w:pPr>
        <w:pStyle w:val="Heading2"/>
        <w:spacing w:after="80" w:before="240"/>
      </w:pPr>
      <w:r>
        <w:rPr>
          <w:rFonts w:ascii="Arial" w:cs="Arial" w:eastAsia="Arial" w:hAnsi="Arial"/>
          <w:b/>
          <w:bCs/>
          <w:color w:val="1B4F72"/>
          <w:sz w:val="24"/>
          <w:szCs w:val="24"/>
        </w:rPr>
        <w:t xml:space="preserve">8.2  Recommended Enhancements</w:t>
      </w:r>
    </w:p>
    <w:p>
      <w:pPr>
        <w:spacing w:after="60" w:before="0"/>
      </w:pPr>
      <w:r>
        <w:t xml:space="preserve"/>
      </w:r>
    </w:p>
    <w:p>
      <w:pPr>
        <w:spacing w:after="160" w:before="60"/>
        <w:jc w:val="center"/>
      </w:pPr>
      <w:r>
        <w:rPr>
          <w:rFonts w:ascii="Arial" w:cs="Arial" w:eastAsia="Arial" w:hAnsi="Arial"/>
          <w:i/>
          <w:iCs/>
          <w:color w:val="64748B"/>
          <w:sz w:val="19"/>
          <w:szCs w:val="19"/>
        </w:rPr>
        <w:t xml:space="preserve">Table 14 — Recommended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Enhancement</w:t>
            </w:r>
          </w:p>
        </w:tc>
        <w:tc>
          <w:tcPr>
            <w:tcW w:type="dxa" w:w="3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Expected Impact</w:t>
            </w:r>
          </w:p>
        </w:tc>
        <w:tc>
          <w:tcPr>
            <w:tcW w:type="dxa" w:w="2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18"/>
                <w:szCs w:val="18"/>
              </w:rPr>
              <w:t xml:space="preserve">Complexity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Temporal train/test split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More realistic performance estimate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Low</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Transaction sequence features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+3 to 5 AUC points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CLV-weighted loss function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Higher precision on high-value customers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Online learning + drift detection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Sustained accuracy over time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1B4F72"/>
                <w:sz w:val="19"/>
                <w:szCs w:val="19"/>
              </w:rPr>
              <w:t xml:space="preserve">Ensemble stacking (GB + XGB + RF)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+1 to 2 AUC points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9"/>
                <w:szCs w:val="19"/>
              </w:rPr>
              <w:t xml:space="preserve">Medium</w:t>
            </w:r>
          </w:p>
        </w:tc>
      </w:tr>
    </w:tbl>
    <w:p>
      <w:pPr>
        <w:spacing w:after="60" w:before="0"/>
      </w:pPr>
      <w:r>
        <w:t xml:space="preserve"/>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9. Conclusion</w:t>
      </w:r>
    </w:p>
    <w:p>
      <w:pPr>
        <w:spacing w:after="100" w:before="60"/>
        <w:ind/>
        <w:jc w:val="both"/>
      </w:pPr>
      <w:r>
        <w:rPr>
          <w:rFonts w:ascii="Arial" w:cs="Arial" w:eastAsia="Arial" w:hAnsi="Arial"/>
          <w:i w:val="false"/>
          <w:iCs w:val="false"/>
          <w:color w:val="1a1a1a"/>
          <w:sz w:val="22"/>
          <w:szCs w:val="22"/>
        </w:rPr>
        <w:t xml:space="preserve">This paper demonstrates that customer churn in retail banking can be predicted with institutional-grade accuracy using publicly available demographic and account features. The Gradient Boosting model — enhanced with SMOTE rebalancing and isotonic probability calibration — achieves ROC-AUC 0.8671 and recall of 76.96%, sufficient for production deployment.</w:t>
      </w:r>
    </w:p>
    <w:p>
      <w:pPr>
        <w:spacing w:after="100" w:before="60"/>
        <w:ind/>
        <w:jc w:val="both"/>
      </w:pPr>
      <w:r>
        <w:rPr>
          <w:rFonts w:ascii="Arial" w:cs="Arial" w:eastAsia="Arial" w:hAnsi="Arial"/>
          <w:i w:val="false"/>
          <w:iCs w:val="false"/>
          <w:color w:val="1a1a1a"/>
          <w:sz w:val="22"/>
          <w:szCs w:val="22"/>
        </w:rPr>
        <w:t xml:space="preserve">The central analytical finding reframes churn from a demographic phenomenon to a product-engagement one. Product overloading with three or more products, customer inactivity, and the age cohort above 45 are the three dominant, actionable drivers. Geography is a structural risk factor — Germany at 2 times the France rate — that warrants strategic rather than customer-level intervention.</w:t>
      </w:r>
    </w:p>
    <w:p>
      <w:pPr>
        <w:spacing w:after="100" w:before="60"/>
        <w:ind/>
        <w:jc w:val="both"/>
      </w:pPr>
      <w:r>
        <w:rPr>
          <w:rFonts w:ascii="Arial" w:cs="Arial" w:eastAsia="Arial" w:hAnsi="Arial"/>
          <w:i w:val="false"/>
          <w:iCs w:val="false"/>
          <w:color w:val="1a1a1a"/>
          <w:sz w:val="22"/>
          <w:szCs w:val="22"/>
        </w:rPr>
        <w:t xml:space="preserve">The production Streamlit dashboard operationalises these findings for non-technical retention teams, providing real-time scoring, scenario simulation, and a filterable customer risk register. This closes the loop between machine learning model and measurable business action, transforming a statistical exercise into a deployable retention intelligence system.</w:t>
      </w:r>
    </w:p>
    <w:p>
      <w:pPr>
        <w:pBdr>
          <w:bottom w:val="single" w:color="C9A84C" w:sz="4" w:space="1"/>
        </w:pBdr>
        <w:spacing w:after="160" w:before="120"/>
      </w:pPr>
      <w:r>
        <w:t xml:space="preserve"/>
      </w:r>
    </w:p>
    <w:p>
      <w:pPr>
        <w:pStyle w:val="Heading1"/>
        <w:pBdr>
          <w:bottom w:val="single" w:color="C9A84C" w:sz="4" w:space="3"/>
        </w:pBdr>
        <w:spacing w:after="120" w:before="320"/>
      </w:pPr>
      <w:r>
        <w:rPr>
          <w:rFonts w:ascii="Arial" w:cs="Arial" w:eastAsia="Arial" w:hAnsi="Arial"/>
          <w:b/>
          <w:bCs/>
          <w:color w:val="0D1B2A"/>
          <w:sz w:val="28"/>
          <w:szCs w:val="28"/>
        </w:rPr>
        <w:t xml:space="preserve">References</w:t>
      </w:r>
    </w:p>
    <w:p>
      <w:pPr>
        <w:spacing w:after="100" w:before="60"/>
        <w:ind/>
        <w:jc w:val="both"/>
      </w:pPr>
      <w:r>
        <w:rPr>
          <w:rFonts w:ascii="Arial" w:cs="Arial" w:eastAsia="Arial" w:hAnsi="Arial"/>
          <w:i w:val="false"/>
          <w:iCs w:val="false"/>
          <w:color w:val="1a1a1a"/>
          <w:sz w:val="22"/>
          <w:szCs w:val="22"/>
        </w:rPr>
        <w:t xml:space="preserve">Chen, T., &amp; Guestrin, C. (2016). XGBoost: A Scalable Tree Boosting System. Proceedings of the 22nd ACM SIGKDD International Conference on Knowledge Discovery and Data Mining.</w:t>
      </w:r>
    </w:p>
    <w:p>
      <w:pPr>
        <w:spacing w:after="100" w:before="60"/>
        <w:ind/>
        <w:jc w:val="both"/>
      </w:pPr>
      <w:r>
        <w:rPr>
          <w:rFonts w:ascii="Arial" w:cs="Arial" w:eastAsia="Arial" w:hAnsi="Arial"/>
          <w:i w:val="false"/>
          <w:iCs w:val="false"/>
          <w:color w:val="1a1a1a"/>
          <w:sz w:val="22"/>
          <w:szCs w:val="22"/>
        </w:rPr>
        <w:t xml:space="preserve">Chawla, N., Bowyer, K., Hall, L., &amp; Kegelmeyer, W. (2002). SMOTE: Synthetic Minority Over-sampling Technique. Journal of Artificial Intelligence Research, 16, 321–357.</w:t>
      </w:r>
    </w:p>
    <w:p>
      <w:pPr>
        <w:spacing w:after="100" w:before="60"/>
        <w:ind/>
        <w:jc w:val="both"/>
      </w:pPr>
      <w:r>
        <w:rPr>
          <w:rFonts w:ascii="Arial" w:cs="Arial" w:eastAsia="Arial" w:hAnsi="Arial"/>
          <w:i w:val="false"/>
          <w:iCs w:val="false"/>
          <w:color w:val="1a1a1a"/>
          <w:sz w:val="22"/>
          <w:szCs w:val="22"/>
        </w:rPr>
        <w:t xml:space="preserve">Friedman, J. (2001). Greedy Function Approximation: A Gradient Boosting Machine. Annals of Statistics, 29(5), 1189–1232.</w:t>
      </w:r>
    </w:p>
    <w:p>
      <w:pPr>
        <w:spacing w:after="100" w:before="60"/>
        <w:ind/>
        <w:jc w:val="both"/>
      </w:pPr>
      <w:r>
        <w:rPr>
          <w:rFonts w:ascii="Arial" w:cs="Arial" w:eastAsia="Arial" w:hAnsi="Arial"/>
          <w:i w:val="false"/>
          <w:iCs w:val="false"/>
          <w:color w:val="1a1a1a"/>
          <w:sz w:val="22"/>
          <w:szCs w:val="22"/>
        </w:rPr>
        <w:t xml:space="preserve">Lundberg, S., &amp; Lee, S.-I. (2017). A Unified Approach to Interpreting Model Predictions. Advances in Neural Information Processing Systems, 30.</w:t>
      </w:r>
    </w:p>
    <w:p>
      <w:pPr>
        <w:spacing w:after="100" w:before="60"/>
        <w:ind/>
        <w:jc w:val="both"/>
      </w:pPr>
      <w:r>
        <w:rPr>
          <w:rFonts w:ascii="Arial" w:cs="Arial" w:eastAsia="Arial" w:hAnsi="Arial"/>
          <w:i w:val="false"/>
          <w:iCs w:val="false"/>
          <w:color w:val="1a1a1a"/>
          <w:sz w:val="22"/>
          <w:szCs w:val="22"/>
        </w:rPr>
        <w:t xml:space="preserve">Platt, J. (1999). Probabilistic Outputs for Support Vector Machines and Comparisons to Regularized Likelihood Methods. Advances in Large Margin Classifiers, 10(3), 61–74.</w:t>
      </w:r>
    </w:p>
    <w:p>
      <w:pPr>
        <w:spacing w:after="100" w:before="60"/>
        <w:ind/>
        <w:jc w:val="both"/>
      </w:pPr>
      <w:r>
        <w:rPr>
          <w:rFonts w:ascii="Arial" w:cs="Arial" w:eastAsia="Arial" w:hAnsi="Arial"/>
          <w:i w:val="false"/>
          <w:iCs w:val="false"/>
          <w:color w:val="1a1a1a"/>
          <w:sz w:val="22"/>
          <w:szCs w:val="22"/>
        </w:rPr>
        <w:t xml:space="preserve">Youden, W. J. (1950). Index for rating diagnostic tests. Cancer, 3(1), 32–35.</w:t>
      </w:r>
    </w:p>
    <w:p>
      <w:pPr>
        <w:spacing w:after="100" w:before="60"/>
        <w:ind/>
        <w:jc w:val="both"/>
      </w:pPr>
      <w:r>
        <w:rPr>
          <w:rFonts w:ascii="Arial" w:cs="Arial" w:eastAsia="Arial" w:hAnsi="Arial"/>
          <w:i w:val="false"/>
          <w:iCs w:val="false"/>
          <w:color w:val="1a1a1a"/>
          <w:sz w:val="22"/>
          <w:szCs w:val="22"/>
        </w:rPr>
        <w:t xml:space="preserve">European Banking Authority (2021). Guidelines on ICT and Security Risk Management.</w:t>
      </w:r>
    </w:p>
    <w:p>
      <w:pPr>
        <w:spacing w:after="60" w:before="0"/>
      </w:pPr>
      <w:r>
        <w:t xml:space="preserve"/>
      </w:r>
    </w:p>
    <w:p>
      <w:pPr>
        <w:spacing w:after="60" w:before="0"/>
      </w:pPr>
      <w:r>
        <w:t xml:space="preserve"/>
      </w:r>
    </w:p>
    <w:p>
      <w:pPr>
        <w:spacing w:after="0" w:before="200"/>
        <w:jc w:val="center"/>
      </w:pPr>
      <w:r>
        <w:rPr>
          <w:rFonts w:ascii="Arial" w:cs="Arial" w:eastAsia="Arial" w:hAnsi="Arial"/>
          <w:i/>
          <w:iCs/>
          <w:color w:val="64748B"/>
          <w:sz w:val="20"/>
          <w:szCs w:val="20"/>
        </w:rPr>
        <w:t xml:space="preserve">— End of Paper —</w:t>
      </w:r>
    </w:p>
    <w:p>
      <w:pPr>
        <w:spacing w:after="0" w:before="80"/>
        <w:jc w:val="center"/>
      </w:pPr>
      <w:r>
        <w:rPr>
          <w:rFonts w:ascii="Arial" w:cs="Arial" w:eastAsia="Arial" w:hAnsi="Arial"/>
          <w:color w:val="64748B"/>
          <w:sz w:val="18"/>
          <w:szCs w:val="18"/>
        </w:rPr>
        <w:t xml:space="preserve">Churn Intelligence System  ·  Created by Anoop Puri  ·  For academic and internal risk management use</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spacing w:before="0"/>
    </w:pPr>
    <w:r>
      <w:rPr>
        <w:rFonts w:ascii="Arial" w:cs="Arial" w:eastAsia="Arial" w:hAnsi="Arial"/>
        <w:color w:val="64748B"/>
        <w:sz w:val="18"/>
        <w:szCs w:val="18"/>
      </w:rPr>
      <w:t xml:space="preserve">Anoop Puri  |  European Bank Portfolio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1"/>
      </w:pBdr>
      <w:spacing w:after="0"/>
    </w:pPr>
    <w:r>
      <w:rPr>
        <w:rFonts w:ascii="Arial" w:cs="Arial" w:eastAsia="Arial" w:hAnsi="Arial"/>
        <w:color w:val="64748B"/>
        <w:sz w:val="18"/>
        <w:szCs w:val="18"/>
      </w:rPr>
      <w:t xml:space="preserve">Churn Intelligence System  </w:t>
    </w:r>
    <w:r>
      <w:rPr>
        <w:rFonts w:ascii="Arial" w:cs="Arial" w:eastAsia="Arial" w:hAnsi="Arial"/>
        <w:i/>
        <w:iCs/>
        <w:color w:val="64748B"/>
        <w:sz w:val="18"/>
        <w:szCs w:val="18"/>
      </w:rPr>
      <w:t xml:space="preserve">Predictive Risk Scoring &amp; Customer Retention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2026-05-15T06:04:27.295Z</dcterms:created>
  <dcterms:modified xsi:type="dcterms:W3CDTF">2026-05-15T06:04:27.295Z</dcterms:modified>
</cp:coreProperties>
</file>

<file path=docProps/custom.xml><?xml version="1.0" encoding="utf-8"?>
<Properties xmlns="http://schemas.openxmlformats.org/officeDocument/2006/custom-properties" xmlns:vt="http://schemas.openxmlformats.org/officeDocument/2006/docPropsVTypes"/>
</file>