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Executive MBA in Project Management</w:t>
      </w:r>
    </w:p>
    <w:p>
      <w:pPr>
        <w:pStyle w:val="Heading2"/>
      </w:pPr>
      <w:r>
        <w:t>SEO</w:t>
      </w:r>
    </w:p>
    <w:p>
      <w:r>
        <w:rPr>
          <w:b/>
        </w:rPr>
        <w:t xml:space="preserve">Meta Title: </w:t>
      </w:r>
      <w:r>
        <w:t>Executive MBA in Project Management | Girne American University</w:t>
      </w:r>
    </w:p>
    <w:p>
      <w:r>
        <w:rPr>
          <w:b/>
        </w:rPr>
        <w:t xml:space="preserve">Meta Description: </w:t>
      </w:r>
      <w:r>
        <w:t>12 to 18-month Executive MBA in Project Management from Girne American University. Online senior cohort, AED instalments. Enquire now.</w:t>
      </w:r>
    </w:p>
    <w:p>
      <w:pPr>
        <w:pStyle w:val="Heading2"/>
      </w:pPr>
      <w:r>
        <w:t>Hero</w:t>
      </w:r>
    </w:p>
    <w:p>
      <w:r>
        <w:rPr>
          <w:sz w:val="22"/>
        </w:rPr>
        <w:t>Every giga project in this region eventually comes down to one question: who owns the plan when it slips? This Executive MBA from Girne American University trains the people who own it, over 12 to 18 months, studied online from the UAE.</w:t>
      </w:r>
    </w:p>
    <w:p>
      <w:r>
        <w:rPr>
          <w:color w:val="555C66"/>
        </w:rPr>
        <w:t>Level: Master's · Duration: 12 to 18 months</w:t>
      </w:r>
    </w:p>
    <w:p>
      <w:pPr>
        <w:pStyle w:val="Heading3"/>
      </w:pPr>
      <w:r>
        <w:t>Quick Highlights</w:t>
      </w:r>
    </w:p>
    <w:p>
      <w:pPr>
        <w:pStyle w:val="ListBullet"/>
      </w:pPr>
      <w:r>
        <w:t>Girne American University</w:t>
      </w:r>
    </w:p>
    <w:p>
      <w:pPr>
        <w:pStyle w:val="ListBullet"/>
      </w:pPr>
      <w:r>
        <w:t>12 to 18 months</w:t>
      </w:r>
    </w:p>
    <w:p>
      <w:pPr>
        <w:pStyle w:val="ListBullet"/>
      </w:pPr>
      <w:r>
        <w:t>Online senior cohort</w:t>
      </w:r>
    </w:p>
    <w:p>
      <w:pPr>
        <w:pStyle w:val="ListBullet"/>
      </w:pPr>
      <w:r>
        <w:t>Executive format</w:t>
      </w:r>
    </w:p>
    <w:p>
      <w:pPr>
        <w:pStyle w:val="ListBullet"/>
      </w:pPr>
      <w:r>
        <w:t>Research project</w:t>
      </w:r>
    </w:p>
    <w:p>
      <w:pPr>
        <w:pStyle w:val="ListBullet"/>
      </w:pPr>
      <w:r>
        <w:t>Scholarship available</w:t>
      </w:r>
    </w:p>
    <w:p>
      <w:pPr>
        <w:pStyle w:val="Heading2"/>
      </w:pPr>
      <w:r>
        <w:t>Programme at a Glance</w:t>
      </w:r>
    </w:p>
    <w:tbl>
      <w:tblPr>
        <w:tblStyle w:val="TableGrid"/>
        <w:tblW w:type="auto" w:w="0"/>
        <w:tblLayout w:type="autofit"/>
        <w:tblLook w:firstColumn="1" w:firstRow="1" w:lastColumn="0" w:lastRow="0" w:noHBand="0" w:noVBand="1" w:val="04A0"/>
      </w:tblPr>
      <w:tblGrid>
        <w:gridCol w:w="4320"/>
        <w:gridCol w:w="4320"/>
      </w:tblGrid>
      <w:tr>
        <w:tc>
          <w:tcPr>
            <w:tcW w:type="dxa" w:w="3118"/>
          </w:tcPr>
          <w:p>
            <w:r>
              <w:rPr>
                <w:b/>
                <w:sz w:val="20"/>
              </w:rPr>
              <w:t>Degree Award</w:t>
            </w:r>
          </w:p>
        </w:tc>
        <w:tc>
          <w:tcPr>
            <w:tcW w:type="dxa" w:w="4320"/>
          </w:tcPr>
          <w:p>
            <w:r>
              <w:rPr>
                <w:sz w:val="20"/>
              </w:rPr>
              <w:t>Executive MBA</w:t>
            </w:r>
          </w:p>
        </w:tc>
      </w:tr>
      <w:tr>
        <w:tc>
          <w:tcPr>
            <w:tcW w:type="dxa" w:w="3118"/>
          </w:tcPr>
          <w:p>
            <w:r>
              <w:rPr>
                <w:b/>
                <w:sz w:val="20"/>
              </w:rPr>
              <w:t>Awarding University</w:t>
            </w:r>
          </w:p>
        </w:tc>
        <w:tc>
          <w:tcPr>
            <w:tcW w:type="dxa" w:w="4320"/>
          </w:tcPr>
          <w:p>
            <w:r>
              <w:rPr>
                <w:sz w:val="20"/>
              </w:rPr>
              <w:t>Girne American University, North Cyprus</w:t>
            </w:r>
          </w:p>
        </w:tc>
      </w:tr>
      <w:tr>
        <w:tc>
          <w:tcPr>
            <w:tcW w:type="dxa" w:w="3118"/>
          </w:tcPr>
          <w:p>
            <w:r>
              <w:rPr>
                <w:b/>
                <w:sz w:val="20"/>
              </w:rPr>
              <w:t>Duration</w:t>
            </w:r>
          </w:p>
        </w:tc>
        <w:tc>
          <w:tcPr>
            <w:tcW w:type="dxa" w:w="4320"/>
          </w:tcPr>
          <w:p>
            <w:r>
              <w:rPr>
                <w:sz w:val="20"/>
              </w:rPr>
              <w:t>12 to 18 months</w:t>
            </w:r>
          </w:p>
        </w:tc>
      </w:tr>
      <w:tr>
        <w:tc>
          <w:tcPr>
            <w:tcW w:type="dxa" w:w="3118"/>
          </w:tcPr>
          <w:p>
            <w:r>
              <w:rPr>
                <w:b/>
                <w:sz w:val="20"/>
              </w:rPr>
              <w:t>Assessments</w:t>
            </w:r>
          </w:p>
        </w:tc>
        <w:tc>
          <w:tcPr>
            <w:tcW w:type="dxa" w:w="4320"/>
          </w:tcPr>
          <w:p>
            <w:r>
              <w:rPr>
                <w:sz w:val="20"/>
              </w:rPr>
              <w:t>Assignments, projects and a graduate research project</w:t>
            </w:r>
          </w:p>
        </w:tc>
      </w:tr>
      <w:tr>
        <w:tc>
          <w:tcPr>
            <w:tcW w:type="dxa" w:w="3118"/>
          </w:tcPr>
          <w:p>
            <w:r>
              <w:rPr>
                <w:b/>
                <w:sz w:val="20"/>
              </w:rPr>
              <w:t>Study Mode</w:t>
            </w:r>
          </w:p>
        </w:tc>
        <w:tc>
          <w:tcPr>
            <w:tcW w:type="dxa" w:w="4320"/>
          </w:tcPr>
          <w:p>
            <w:r>
              <w:rPr>
                <w:sz w:val="20"/>
              </w:rPr>
              <w:t>Online, executive format with flexible scheduling</w:t>
            </w:r>
          </w:p>
        </w:tc>
      </w:tr>
      <w:tr>
        <w:tc>
          <w:tcPr>
            <w:tcW w:type="dxa" w:w="3118"/>
          </w:tcPr>
          <w:p>
            <w:r>
              <w:rPr>
                <w:b/>
                <w:sz w:val="20"/>
              </w:rPr>
              <w:t>Credits</w:t>
            </w:r>
          </w:p>
        </w:tc>
        <w:tc>
          <w:tcPr>
            <w:tcW w:type="dxa" w:w="4320"/>
          </w:tcPr>
          <w:p>
            <w:r>
              <w:rPr>
                <w:sz w:val="20"/>
              </w:rPr>
              <w:t>Confirmed per admission, issued in writing</w:t>
            </w:r>
          </w:p>
        </w:tc>
      </w:tr>
    </w:tbl>
    <w:p>
      <w:r>
        <w:rPr>
          <w:b/>
        </w:rPr>
        <w:t xml:space="preserve">Note: </w:t>
      </w:r>
      <w:r>
        <w:t>The admission letter carries the credit detail and the fee structure, in writing, before payment. Project managers live by baselines; this letter is yours.</w:t>
      </w:r>
    </w:p>
    <w:p>
      <w:pPr>
        <w:pStyle w:val="Heading2"/>
      </w:pPr>
      <w:r>
        <w:t>Programme Overview</w:t>
      </w:r>
    </w:p>
    <w:p>
      <w:r>
        <w:t>At senior level, project management stops being about tools and becomes about judgment: what to promise, what to escalate, and how to keep a programme credible when the ground moves. This Executive MBA works at that level. The executive core covers strategy, finance, human capital, and operations, then the coursework focuses on the disciplines that decide delivery outcomes: governance and stakeholder management, risk and commercial control, leading multi-team programmes, and the organizational politics every large project actually runs on.</w:t>
      </w:r>
    </w:p>
    <w:p>
      <w:r>
        <w:t>Cohorts are small and senior, drawing from construction, technology, consulting, and public sector delivery, which turns the case discussions into something like a programme board with better coffee. The degree closes with a graduate research project, and participants running live programmes tend to make it count.</w:t>
      </w:r>
    </w:p>
    <w:p>
      <w:pPr>
        <w:pStyle w:val="Heading2"/>
      </w:pPr>
      <w:r>
        <w:t>Why Choose This Programme</w:t>
      </w:r>
    </w:p>
    <w:p>
      <w:r>
        <w:rPr>
          <w:b/>
        </w:rPr>
        <w:t>Delivery leadership, taught as leadership</w:t>
      </w:r>
    </w:p>
    <w:p>
      <w:r>
        <w:t>Governance, stakeholders, commercial control. The subjects that decide whether a programme lands, not the software it is tracked in.</w:t>
      </w:r>
    </w:p>
    <w:p>
      <w:r>
        <w:rPr>
          <w:b/>
        </w:rPr>
        <w:t>A cohort that has delivered under pressure</w:t>
      </w:r>
    </w:p>
    <w:p>
      <w:r>
        <w:t>Small, senior, mixed across industries. The room has run slippes and recoveries, and the discussion is better for it.</w:t>
      </w:r>
    </w:p>
    <w:p>
      <w:r>
        <w:rPr>
          <w:b/>
        </w:rPr>
        <w:t>Eighteen months at the outside</w:t>
      </w:r>
    </w:p>
    <w:p>
      <w:r>
        <w:t>Programme directors do not get sabbaticals. Twelve to eighteen months, executive-scheduled, is the version that survives delivery cycles.</w:t>
      </w:r>
    </w:p>
    <w:p>
      <w:r>
        <w:rPr>
          <w:b/>
        </w:rPr>
        <w:t>The research project can steer a live programme</w:t>
      </w:r>
    </w:p>
    <w:p>
      <w:r>
        <w:t>Point the final investigation at your own delivery problem and finish with a plan your steering committee can sign off.</w:t>
      </w:r>
    </w:p>
    <w:p>
      <w:r>
        <w:rPr>
          <w:b/>
        </w:rPr>
        <w:t>Instalments in dirhams</w:t>
      </w:r>
    </w:p>
    <w:p>
      <w:r>
        <w:t>Monthly AED payments, interest-free, agreed in writing before the programme starts.</w:t>
      </w:r>
    </w:p>
    <w:p>
      <w:r>
        <w:rPr>
          <w:b/>
        </w:rPr>
        <w:t>Support on Gulf time</w:t>
      </w:r>
    </w:p>
    <w:p>
      <w:r>
        <w:t>Sharjah-based advisors in person or on WhatsApp, and a success coach for the whole degree.</w:t>
      </w:r>
    </w:p>
    <w:p>
      <w:r>
        <w:rPr>
          <w:b/>
        </w:rPr>
        <w:t>Closing line:</w:t>
      </w:r>
      <w:r>
        <w:t xml:space="preserve"> The certificate is awarded by Girne American University, North Cyprus. The delivery record you build afterwards is the credential everybody checks anyway.</w:t>
      </w:r>
    </w:p>
    <w:p>
      <w:pPr>
        <w:pStyle w:val="Heading2"/>
      </w:pPr>
      <w:r>
        <w:t>What You Will Learn</w:t>
      </w:r>
    </w:p>
    <w:p>
      <w:pPr>
        <w:pStyle w:val="ListNumber"/>
      </w:pPr>
      <w:r>
        <w:t>Govern complex programmes so decisions have owners and dates</w:t>
      </w:r>
    </w:p>
    <w:p>
      <w:pPr>
        <w:pStyle w:val="ListNumber"/>
      </w:pPr>
      <w:r>
        <w:t>Manage stakeholders the way a diplomat would, because eventually you have to</w:t>
      </w:r>
    </w:p>
    <w:p>
      <w:pPr>
        <w:pStyle w:val="ListNumber"/>
      </w:pPr>
      <w:r>
        <w:t>Control risk and commercial exposure before they control you</w:t>
      </w:r>
    </w:p>
    <w:p>
      <w:pPr>
        <w:pStyle w:val="ListNumber"/>
      </w:pPr>
      <w:r>
        <w:t>Lead across contractors, consultants, and client teams without formal authority over most of them</w:t>
      </w:r>
    </w:p>
    <w:p>
      <w:pPr>
        <w:pStyle w:val="ListNumber"/>
      </w:pPr>
      <w:r>
        <w:t>Read a programme's real status behind the reported one</w:t>
      </w:r>
    </w:p>
    <w:p>
      <w:pPr>
        <w:pStyle w:val="ListNumber"/>
      </w:pPr>
      <w:r>
        <w:t>Apply strategy and finance to delivery so projects compete for capital credibly</w:t>
      </w:r>
    </w:p>
    <w:p>
      <w:pPr>
        <w:pStyle w:val="ListNumber"/>
      </w:pPr>
      <w:r>
        <w:t>Investigate a delivery question with research discipline</w:t>
      </w:r>
    </w:p>
    <w:p>
      <w:pPr>
        <w:pStyle w:val="ListNumber"/>
      </w:pPr>
      <w:r>
        <w:t>Present programme cases to boards in the language of risk, value, and dates</w:t>
      </w:r>
    </w:p>
    <w:p>
      <w:pPr>
        <w:pStyle w:val="Heading2"/>
      </w:pPr>
      <w:r>
        <w:t>Career Opportunities</w:t>
      </w:r>
    </w:p>
    <w:p>
      <w:pPr>
        <w:pStyle w:val="ListBullet"/>
      </w:pPr>
      <w:r>
        <w:t>Programme Director</w:t>
      </w:r>
    </w:p>
    <w:p>
      <w:pPr>
        <w:pStyle w:val="ListBullet"/>
      </w:pPr>
      <w:r>
        <w:t>Project Director</w:t>
      </w:r>
    </w:p>
    <w:p>
      <w:pPr>
        <w:pStyle w:val="ListBullet"/>
      </w:pPr>
      <w:r>
        <w:t>Portfolio Manager</w:t>
      </w:r>
    </w:p>
    <w:p>
      <w:pPr>
        <w:pStyle w:val="ListBullet"/>
      </w:pPr>
      <w:r>
        <w:t>Head of Delivery</w:t>
      </w:r>
    </w:p>
    <w:p>
      <w:pPr>
        <w:pStyle w:val="ListBullet"/>
      </w:pPr>
      <w:r>
        <w:t>Transformation Director</w:t>
      </w:r>
    </w:p>
    <w:p>
      <w:pPr>
        <w:pStyle w:val="ListBullet"/>
      </w:pPr>
      <w:r>
        <w:t>PMO Director</w:t>
      </w:r>
    </w:p>
    <w:p>
      <w:pPr>
        <w:pStyle w:val="ListBullet"/>
      </w:pPr>
      <w:r>
        <w:t>Construction Project Director</w:t>
      </w:r>
    </w:p>
    <w:p>
      <w:pPr>
        <w:pStyle w:val="ListBullet"/>
      </w:pPr>
      <w:r>
        <w:t>Change Director</w:t>
      </w:r>
    </w:p>
    <w:p>
      <w:pPr>
        <w:pStyle w:val="ListBullet"/>
      </w:pPr>
      <w:r>
        <w:t>Delivery Consultant</w:t>
      </w:r>
    </w:p>
    <w:p>
      <w:pPr>
        <w:pStyle w:val="ListBullet"/>
      </w:pPr>
      <w:r>
        <w:t>Chief Operating Officer</w:t>
      </w:r>
    </w:p>
    <w:p>
      <w:pPr>
        <w:pStyle w:val="Heading2"/>
      </w:pPr>
      <w:r>
        <w:t>Programme Structure</w:t>
      </w:r>
    </w:p>
    <w:p>
      <w:r>
        <w:t>Your journey, stage by stage</w:t>
      </w:r>
    </w:p>
    <w:p>
      <w:r>
        <w:t>Three movements: the executive core, the project management coursework, and the graduate research project.</w:t>
      </w:r>
    </w:p>
    <w:p>
      <w:pPr>
        <w:pStyle w:val="Heading3"/>
        <w:spacing w:before="200"/>
      </w:pPr>
      <w:r>
        <w:t>Stage 1 · The executive core</w:t>
      </w:r>
    </w:p>
    <w:p>
      <w:pPr>
        <w:pStyle w:val="ListBullet"/>
      </w:pPr>
      <w:r>
        <w:t>Strategic management and business economics</w:t>
      </w:r>
    </w:p>
    <w:p>
      <w:pPr>
        <w:pStyle w:val="ListBullet"/>
      </w:pPr>
      <w:r>
        <w:t>Financial management and human resource management</w:t>
      </w:r>
    </w:p>
    <w:p>
      <w:pPr>
        <w:pStyle w:val="ListBullet"/>
      </w:pPr>
      <w:r>
        <w:t>Operations and management information systems</w:t>
      </w:r>
    </w:p>
    <w:p>
      <w:pPr>
        <w:pStyle w:val="Heading3"/>
        <w:spacing w:before="200"/>
      </w:pPr>
      <w:r>
        <w:t>Stage 2 · Project management coursework</w:t>
      </w:r>
    </w:p>
    <w:p>
      <w:pPr>
        <w:pStyle w:val="ListBullet"/>
      </w:pPr>
      <w:r>
        <w:t>Programme governance, stakeholders, and commercial control</w:t>
      </w:r>
    </w:p>
    <w:p>
      <w:pPr>
        <w:pStyle w:val="ListBullet"/>
      </w:pPr>
      <w:r>
        <w:t>Risk, recovery, and delivery leadership across multi-team programmes</w:t>
      </w:r>
    </w:p>
    <w:p>
      <w:pPr>
        <w:pStyle w:val="ListBullet"/>
      </w:pPr>
      <w:r>
        <w:t>Case work across construction, technology, and public sector delivery</w:t>
      </w:r>
    </w:p>
    <w:p>
      <w:pPr>
        <w:pStyle w:val="Heading3"/>
        <w:spacing w:before="200"/>
      </w:pPr>
      <w:r>
        <w:t>Stage 3 · The graduate research project</w:t>
      </w:r>
    </w:p>
    <w:p>
      <w:pPr>
        <w:pStyle w:val="ListBullet"/>
      </w:pPr>
      <w:r>
        <w:t>A supervised investigation of a delivery question, often drawn from the participant's own programme</w:t>
      </w:r>
    </w:p>
    <w:p>
      <w:pPr>
        <w:pStyle w:val="Heading2"/>
      </w:pPr>
      <w:r>
        <w:t>Why Study Through Maverick</w:t>
      </w:r>
    </w:p>
    <w:tbl>
      <w:tblPr>
        <w:tblStyle w:val="TableGrid"/>
        <w:tblW w:type="auto" w:w="0"/>
        <w:tblLayout w:type="autofit"/>
        <w:tblLook w:firstColumn="1" w:firstRow="1" w:lastColumn="0" w:lastRow="0" w:noHBand="0" w:noVBand="1" w:val="04A0"/>
      </w:tblPr>
      <w:tblGrid>
        <w:gridCol w:w="4320"/>
        <w:gridCol w:w="4320"/>
      </w:tblGrid>
      <w:tr>
        <w:tc>
          <w:tcPr>
            <w:tcW w:type="dxa" w:w="3118"/>
          </w:tcPr>
          <w:p>
            <w:r>
              <w:rPr>
                <w:b/>
                <w:sz w:val="20"/>
              </w:rPr>
              <w:t>Dedicated academic support</w:t>
            </w:r>
          </w:p>
        </w:tc>
        <w:tc>
          <w:tcPr>
            <w:tcW w:type="dxa" w:w="4320"/>
          </w:tcPr>
          <w:p>
            <w:r>
              <w:rPr>
                <w:sz w:val="20"/>
              </w:rPr>
              <w:t>One success coach from enrolment to graduation</w:t>
            </w:r>
          </w:p>
        </w:tc>
      </w:tr>
      <w:tr>
        <w:tc>
          <w:tcPr>
            <w:tcW w:type="dxa" w:w="3118"/>
          </w:tcPr>
          <w:p>
            <w:r>
              <w:rPr>
                <w:b/>
                <w:sz w:val="20"/>
              </w:rPr>
              <w:t>Flexible learning</w:t>
            </w:r>
          </w:p>
        </w:tc>
        <w:tc>
          <w:tcPr>
            <w:tcW w:type="dxa" w:w="4320"/>
          </w:tcPr>
          <w:p>
            <w:r>
              <w:rPr>
                <w:sz w:val="20"/>
              </w:rPr>
              <w:t>Executive scheduling arranged around delivery milestones and go-lives</w:t>
            </w:r>
          </w:p>
        </w:tc>
      </w:tr>
      <w:tr>
        <w:tc>
          <w:tcPr>
            <w:tcW w:type="dxa" w:w="3118"/>
          </w:tcPr>
          <w:p>
            <w:r>
              <w:rPr>
                <w:b/>
                <w:sz w:val="20"/>
              </w:rPr>
              <w:t>Assessment support</w:t>
            </w:r>
          </w:p>
        </w:tc>
        <w:tc>
          <w:tcPr>
            <w:tcW w:type="dxa" w:w="4320"/>
          </w:tcPr>
          <w:p>
            <w:r>
              <w:rPr>
                <w:sz w:val="20"/>
              </w:rPr>
              <w:t>Feedback on leadership and research work, handled properly</w:t>
            </w:r>
          </w:p>
        </w:tc>
      </w:tr>
      <w:tr>
        <w:tc>
          <w:tcPr>
            <w:tcW w:type="dxa" w:w="3118"/>
          </w:tcPr>
          <w:p>
            <w:r>
              <w:rPr>
                <w:b/>
                <w:sz w:val="20"/>
              </w:rPr>
              <w:t>Affordable instalments</w:t>
            </w:r>
          </w:p>
        </w:tc>
        <w:tc>
          <w:tcPr>
            <w:tcW w:type="dxa" w:w="4320"/>
          </w:tcPr>
          <w:p>
            <w:r>
              <w:rPr>
                <w:sz w:val="20"/>
              </w:rPr>
              <w:t>AED monthly payments, interest-free, confirmed in writing</w:t>
            </w:r>
          </w:p>
        </w:tc>
      </w:tr>
      <w:tr>
        <w:tc>
          <w:tcPr>
            <w:tcW w:type="dxa" w:w="3118"/>
          </w:tcPr>
          <w:p>
            <w:r>
              <w:rPr>
                <w:b/>
                <w:sz w:val="20"/>
              </w:rPr>
              <w:t>Career guidance</w:t>
            </w:r>
          </w:p>
        </w:tc>
        <w:tc>
          <w:tcPr>
            <w:tcW w:type="dxa" w:w="4320"/>
          </w:tcPr>
          <w:p>
            <w:r>
              <w:rPr>
                <w:sz w:val="20"/>
              </w:rPr>
              <w:t>Advisors familiar with programme and delivery leadership hiring across the Gulf</w:t>
            </w:r>
          </w:p>
        </w:tc>
      </w:tr>
      <w:tr>
        <w:tc>
          <w:tcPr>
            <w:tcW w:type="dxa" w:w="3118"/>
          </w:tcPr>
          <w:p>
            <w:r>
              <w:rPr>
                <w:b/>
                <w:sz w:val="20"/>
              </w:rPr>
              <w:t>Documentation assistance</w:t>
            </w:r>
          </w:p>
        </w:tc>
        <w:tc>
          <w:tcPr>
            <w:tcW w:type="dxa" w:w="4320"/>
          </w:tcPr>
          <w:p>
            <w:r>
              <w:rPr>
                <w:sz w:val="20"/>
              </w:rPr>
              <w:t>Enrolment done with you, one step at a time</w:t>
            </w:r>
          </w:p>
        </w:tc>
      </w:tr>
    </w:tbl>
    <w:p>
      <w:pPr>
        <w:pStyle w:val="Heading2"/>
      </w:pPr>
      <w:r>
        <w:t>Why GCC Professionals Choose This Programme</w:t>
      </w:r>
    </w:p>
    <w:p>
      <w:r>
        <w:rPr>
          <w:b/>
        </w:rPr>
        <w:t>Study while you deliver</w:t>
      </w:r>
    </w:p>
    <w:p>
      <w:r>
        <w:t>Fully online, no visa, no career break. The executive format assumes your calendar belongs to the programme.</w:t>
      </w:r>
    </w:p>
    <w:p>
      <w:r>
        <w:rPr>
          <w:b/>
        </w:rPr>
        <w:t>The region runs on project delivery</w:t>
      </w:r>
    </w:p>
    <w:p>
      <w:r>
        <w:t>The Gulf's mega projects keep running through this decade, and every one of them is a demand signal for senior delivery leadership.</w:t>
      </w:r>
    </w:p>
    <w:p>
      <w:r>
        <w:rPr>
          <w:b/>
        </w:rPr>
        <w:t>Diversification keeps commissioning programmes</w:t>
      </w:r>
    </w:p>
    <w:p>
      <w:r>
        <w:t>Every national agenda in the Gulf is executed as a portfolio of programmes, and the leadership layer for them is hired from a thin pool.</w:t>
      </w:r>
    </w:p>
    <w:p>
      <w:r>
        <w:rPr>
          <w:b/>
        </w:rPr>
        <w:t>The skills gap reaches delivery leadership</w:t>
      </w:r>
    </w:p>
    <w:p>
      <w:r>
        <w:t>Across the Gulf, employers keep reporting shortages of qualified candidates, and programme leadership roles are among the longest-standing vacancies.</w:t>
      </w:r>
    </w:p>
    <w:p>
      <w:r>
        <w:rPr>
          <w:b/>
        </w:rPr>
        <w:t>Eighteen months suits delivery calendars</w:t>
      </w:r>
    </w:p>
    <w:p>
      <w:r>
        <w:t>The delivery bends around milestones and gates instead of asking you to pause them.</w:t>
      </w:r>
    </w:p>
    <w:p>
      <w:r>
        <w:rPr>
          <w:b/>
        </w:rPr>
        <w:t>The research project can steer your own programme</w:t>
      </w:r>
    </w:p>
    <w:p>
      <w:r>
        <w:t>Finish on a live delivery question and graduate with a plan that has already survived its first steering review.</w:t>
      </w:r>
    </w:p>
    <w:p>
      <w:pPr>
        <w:pStyle w:val="Heading2"/>
      </w:pPr>
      <w:r>
        <w:t>Fees &amp; Scholarships</w:t>
      </w:r>
    </w:p>
    <w:tbl>
      <w:tblPr>
        <w:tblStyle w:val="TableGrid"/>
        <w:tblW w:type="auto" w:w="0"/>
        <w:tblLayout w:type="autofit"/>
        <w:tblLook w:firstColumn="1" w:firstRow="1" w:lastColumn="0" w:lastRow="0" w:noHBand="0" w:noVBand="1" w:val="04A0"/>
      </w:tblPr>
      <w:tblGrid>
        <w:gridCol w:w="4320"/>
        <w:gridCol w:w="4320"/>
      </w:tblGrid>
      <w:tr>
        <w:tc>
          <w:tcPr>
            <w:tcW w:type="dxa" w:w="3118"/>
          </w:tcPr>
          <w:p>
            <w:r>
              <w:rPr>
                <w:b/>
                <w:sz w:val="20"/>
              </w:rPr>
              <w:t>Registration Fee</w:t>
            </w:r>
          </w:p>
        </w:tc>
        <w:tc>
          <w:tcPr>
            <w:tcW w:type="dxa" w:w="4320"/>
          </w:tcPr>
          <w:p>
            <w:r>
              <w:rPr>
                <w:sz w:val="20"/>
              </w:rPr>
              <w:t>Itemised in the full structure before any payment</w:t>
            </w:r>
          </w:p>
        </w:tc>
      </w:tr>
      <w:tr>
        <w:tc>
          <w:tcPr>
            <w:tcW w:type="dxa" w:w="3118"/>
          </w:tcPr>
          <w:p>
            <w:r>
              <w:rPr>
                <w:b/>
                <w:sz w:val="20"/>
              </w:rPr>
              <w:t>Initial Payment</w:t>
            </w:r>
          </w:p>
        </w:tc>
        <w:tc>
          <w:tcPr>
            <w:tcW w:type="dxa" w:w="4320"/>
          </w:tcPr>
          <w:p>
            <w:r>
              <w:rPr>
                <w:sz w:val="20"/>
              </w:rPr>
              <w:t>Confirmed in writing before anything is charged</w:t>
            </w:r>
          </w:p>
        </w:tc>
      </w:tr>
      <w:tr>
        <w:tc>
          <w:tcPr>
            <w:tcW w:type="dxa" w:w="3118"/>
          </w:tcPr>
          <w:p>
            <w:r>
              <w:rPr>
                <w:b/>
                <w:sz w:val="20"/>
              </w:rPr>
              <w:t>Monthly Instalments</w:t>
            </w:r>
          </w:p>
        </w:tc>
        <w:tc>
          <w:tcPr>
            <w:tcW w:type="dxa" w:w="4320"/>
          </w:tcPr>
          <w:p>
            <w:r>
              <w:rPr>
                <w:sz w:val="20"/>
              </w:rPr>
              <w:t>AED, interest-free, matched to salary dates</w:t>
            </w:r>
          </w:p>
        </w:tc>
      </w:tr>
      <w:tr>
        <w:tc>
          <w:tcPr>
            <w:tcW w:type="dxa" w:w="3118"/>
          </w:tcPr>
          <w:p>
            <w:r>
              <w:rPr>
                <w:b/>
                <w:sz w:val="20"/>
              </w:rPr>
              <w:t>Scholarship Availability</w:t>
            </w:r>
          </w:p>
        </w:tc>
        <w:tc>
          <w:tcPr>
            <w:tcW w:type="dxa" w:w="4320"/>
          </w:tcPr>
          <w:p>
            <w:r>
              <w:rPr>
                <w:sz w:val="20"/>
              </w:rPr>
              <w:t>Possible for strong profiles; your advisor checks before promising</w:t>
            </w:r>
          </w:p>
        </w:tc>
      </w:tr>
      <w:tr>
        <w:tc>
          <w:tcPr>
            <w:tcW w:type="dxa" w:w="3118"/>
          </w:tcPr>
          <w:p>
            <w:r>
              <w:rPr>
                <w:b/>
                <w:sz w:val="20"/>
              </w:rPr>
              <w:t>Offer Validity</w:t>
            </w:r>
          </w:p>
        </w:tc>
        <w:tc>
          <w:tcPr>
            <w:tcW w:type="dxa" w:w="4320"/>
          </w:tcPr>
          <w:p>
            <w:r>
              <w:rPr>
                <w:sz w:val="20"/>
              </w:rPr>
              <w:t>Early-bird pricing moves with each intake, so confirm the window</w:t>
            </w:r>
          </w:p>
        </w:tc>
      </w:tr>
    </w:tbl>
    <w:p>
      <w:r>
        <w:rPr>
          <w:b/>
        </w:rPr>
        <w:t xml:space="preserve">Request the fee structure: </w:t>
      </w:r>
      <w:r>
        <w:t>Fees depend on the intake and your admission profile, so no fixed figure sits here. Admissions sends the personal breakdown in writing, free and without obligation. Across our Master's programmes, totals usually land between AED 16,000 and 40,000.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2A44"/>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628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2A4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