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Executive MBA in Digital Marketing</w:t>
      </w:r>
    </w:p>
    <w:p>
      <w:pPr>
        <w:pStyle w:val="Heading2"/>
      </w:pPr>
      <w:r>
        <w:t>SEO</w:t>
      </w:r>
    </w:p>
    <w:p>
      <w:r>
        <w:rPr>
          <w:b/>
        </w:rPr>
        <w:t xml:space="preserve">Meta Title: </w:t>
      </w:r>
      <w:r>
        <w:t>Executive MBA in Digital Marketing | Girne American University</w:t>
      </w:r>
    </w:p>
    <w:p>
      <w:r>
        <w:rPr>
          <w:b/>
        </w:rPr>
        <w:t xml:space="preserve">Meta Description: </w:t>
      </w:r>
      <w:r>
        <w:t>12 to 18-month Executive MBA in Digital Marketing from Girne American University. Online senior cohort, AED instalments. Enquire now.</w:t>
      </w:r>
    </w:p>
    <w:p>
      <w:pPr>
        <w:pStyle w:val="Heading2"/>
      </w:pPr>
      <w:r>
        <w:t>Hero</w:t>
      </w:r>
    </w:p>
    <w:p>
      <w:r>
        <w:rPr>
          <w:sz w:val="22"/>
        </w:rPr>
        <w:t>Every marketing director now answers to a dashboard, and most reached the seat before the dashboard existed. This Executive MBA from Girne American University closes that gap at leadership level, over 12 to 18 months, studied online from the UAE.</w:t>
      </w:r>
    </w:p>
    <w:p>
      <w:r>
        <w:rPr>
          <w:color w:val="555C66"/>
        </w:rPr>
        <w:t>Level: Master's · Duration: 12 to 18 months</w:t>
      </w:r>
    </w:p>
    <w:p>
      <w:pPr>
        <w:pStyle w:val="Heading3"/>
      </w:pPr>
      <w:r>
        <w:t>Quick Highlights</w:t>
      </w:r>
    </w:p>
    <w:p>
      <w:pPr>
        <w:pStyle w:val="ListBullet"/>
      </w:pPr>
      <w:r>
        <w:t>Girne American University</w:t>
      </w:r>
    </w:p>
    <w:p>
      <w:pPr>
        <w:pStyle w:val="ListBullet"/>
      </w:pPr>
      <w:r>
        <w:t>12 to 18 months</w:t>
      </w:r>
    </w:p>
    <w:p>
      <w:pPr>
        <w:pStyle w:val="ListBullet"/>
      </w:pPr>
      <w:r>
        <w:t>Online senior cohort</w:t>
      </w:r>
    </w:p>
    <w:p>
      <w:pPr>
        <w:pStyle w:val="ListBullet"/>
      </w:pPr>
      <w:r>
        <w:t>Executive format</w:t>
      </w:r>
    </w:p>
    <w:p>
      <w:pPr>
        <w:pStyle w:val="ListBullet"/>
      </w:pPr>
      <w:r>
        <w:t>Research project</w:t>
      </w:r>
    </w:p>
    <w:p>
      <w:pPr>
        <w:pStyle w:val="ListBullet"/>
      </w:pPr>
      <w:r>
        <w:t>Scholarship available</w:t>
      </w:r>
    </w:p>
    <w:p>
      <w:pPr>
        <w:pStyle w:val="Heading2"/>
      </w:pPr>
      <w:r>
        <w:t>Programme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Executive MBA</w:t>
            </w:r>
          </w:p>
        </w:tc>
      </w:tr>
      <w:tr>
        <w:tc>
          <w:tcPr>
            <w:tcW w:type="dxa" w:w="3118"/>
          </w:tcPr>
          <w:p>
            <w:r>
              <w:rPr>
                <w:b/>
                <w:sz w:val="20"/>
              </w:rPr>
              <w:t>Awarding University</w:t>
            </w:r>
          </w:p>
        </w:tc>
        <w:tc>
          <w:tcPr>
            <w:tcW w:type="dxa" w:w="4320"/>
          </w:tcPr>
          <w:p>
            <w:r>
              <w:rPr>
                <w:sz w:val="20"/>
              </w:rPr>
              <w:t>Girne American University, North Cyprus</w:t>
            </w:r>
          </w:p>
        </w:tc>
      </w:tr>
      <w:tr>
        <w:tc>
          <w:tcPr>
            <w:tcW w:type="dxa" w:w="3118"/>
          </w:tcPr>
          <w:p>
            <w:r>
              <w:rPr>
                <w:b/>
                <w:sz w:val="20"/>
              </w:rPr>
              <w:t>Duration</w:t>
            </w:r>
          </w:p>
        </w:tc>
        <w:tc>
          <w:tcPr>
            <w:tcW w:type="dxa" w:w="4320"/>
          </w:tcPr>
          <w:p>
            <w:r>
              <w:rPr>
                <w:sz w:val="20"/>
              </w:rPr>
              <w:t>12 to 18 months</w:t>
            </w:r>
          </w:p>
        </w:tc>
      </w:tr>
      <w:tr>
        <w:tc>
          <w:tcPr>
            <w:tcW w:type="dxa" w:w="3118"/>
          </w:tcPr>
          <w:p>
            <w:r>
              <w:rPr>
                <w:b/>
                <w:sz w:val="20"/>
              </w:rPr>
              <w:t>Assessments</w:t>
            </w:r>
          </w:p>
        </w:tc>
        <w:tc>
          <w:tcPr>
            <w:tcW w:type="dxa" w:w="4320"/>
          </w:tcPr>
          <w:p>
            <w:r>
              <w:rPr>
                <w:sz w:val="20"/>
              </w:rPr>
              <w:t>Assignments, projects and a graduate research project</w:t>
            </w:r>
          </w:p>
        </w:tc>
      </w:tr>
      <w:tr>
        <w:tc>
          <w:tcPr>
            <w:tcW w:type="dxa" w:w="3118"/>
          </w:tcPr>
          <w:p>
            <w:r>
              <w:rPr>
                <w:b/>
                <w:sz w:val="20"/>
              </w:rPr>
              <w:t>Study Mode</w:t>
            </w:r>
          </w:p>
        </w:tc>
        <w:tc>
          <w:tcPr>
            <w:tcW w:type="dxa" w:w="4320"/>
          </w:tcPr>
          <w:p>
            <w:r>
              <w:rPr>
                <w:sz w:val="20"/>
              </w:rPr>
              <w:t>Online, executive format with flexible scheduling</w:t>
            </w:r>
          </w:p>
        </w:tc>
      </w:tr>
      <w:tr>
        <w:tc>
          <w:tcPr>
            <w:tcW w:type="dxa" w:w="3118"/>
          </w:tcPr>
          <w:p>
            <w:r>
              <w:rPr>
                <w:b/>
                <w:sz w:val="20"/>
              </w:rPr>
              <w:t>Credits</w:t>
            </w:r>
          </w:p>
        </w:tc>
        <w:tc>
          <w:tcPr>
            <w:tcW w:type="dxa" w:w="4320"/>
          </w:tcPr>
          <w:p>
            <w:r>
              <w:rPr>
                <w:sz w:val="20"/>
              </w:rPr>
              <w:t>Confirmed per admission, issued in writing</w:t>
            </w:r>
          </w:p>
        </w:tc>
      </w:tr>
    </w:tbl>
    <w:p>
      <w:r>
        <w:rPr>
          <w:b/>
        </w:rPr>
        <w:t xml:space="preserve">Note: </w:t>
      </w:r>
      <w:r>
        <w:t>The admission letter carries the credit detail and the fee structure, in writing, before payment. Marketing people respect a clear brief; here is yours.</w:t>
      </w:r>
    </w:p>
    <w:p>
      <w:pPr>
        <w:pStyle w:val="Heading2"/>
      </w:pPr>
      <w:r>
        <w:t>Programme Overview</w:t>
      </w:r>
    </w:p>
    <w:p>
      <w:r>
        <w:t>At executive level, digital marketing stops being about channels and becomes about systems: how data informs spend, how brands stay coherent across platforms that disagree, and how teams get managed when half the discipline changes every year. This Executive MBA works at that altitude. The executive core covers strategy, finance, human capital, and operations, then the coursework turns to the digital side of the discipline: channel strategy, analytics and measurement, brand building in platform economies, and leading marketing organisations through constant technical change.</w:t>
      </w:r>
    </w:p>
    <w:p>
      <w:r>
        <w:t>Cohorts are small and senior, mixing CMOs, digital directors, agency leads, and e-commerce executives, which makes the case discussions read like a marketing board with the slides removed. The degree closes with a graduate research project on a live commercial question.</w:t>
      </w:r>
    </w:p>
    <w:p>
      <w:pPr>
        <w:pStyle w:val="Heading2"/>
      </w:pPr>
      <w:r>
        <w:t>Why Choose This Programme</w:t>
      </w:r>
    </w:p>
    <w:p>
      <w:r>
        <w:rPr>
          <w:b/>
        </w:rPr>
        <w:t>Leadership level, channel-proof</w:t>
      </w:r>
    </w:p>
    <w:p>
      <w:r>
        <w:t>Platforms churn; strategy and measurement survive. The coursework aims at the durable half of the discipline.</w:t>
      </w:r>
    </w:p>
    <w:p>
      <w:r>
        <w:rPr>
          <w:b/>
        </w:rPr>
        <w:t>Analytics treated as a management subject</w:t>
      </w:r>
    </w:p>
    <w:p>
      <w:r>
        <w:t>Measurement and data sit inside the degree as leadership questions, which matches how CMOs are now evaluated.</w:t>
      </w:r>
    </w:p>
    <w:p>
      <w:r>
        <w:rPr>
          <w:b/>
        </w:rPr>
        <w:t>Eighteen months at the outside</w:t>
      </w:r>
    </w:p>
    <w:p>
      <w:r>
        <w:t>Marketing leaders cannot step away for two years. Twelve to eighteen months, executive-scheduled, is the realistic version.</w:t>
      </w:r>
    </w:p>
    <w:p>
      <w:r>
        <w:rPr>
          <w:b/>
        </w:rPr>
        <w:t>The research project can steer your own budget</w:t>
      </w:r>
    </w:p>
    <w:p>
      <w:r>
        <w:t>Point the final investigation at your own brand or market question and finish with a case your finance director can read.</w:t>
      </w:r>
    </w:p>
    <w:p>
      <w:r>
        <w:rPr>
          <w:b/>
        </w:rPr>
        <w:t>Instalments in dirhams</w:t>
      </w:r>
    </w:p>
    <w:p>
      <w:r>
        <w:t>Monthly AED payments, interest-free, agreed in writing before the programme starts.</w:t>
      </w:r>
    </w:p>
    <w:p>
      <w:r>
        <w:rPr>
          <w:b/>
        </w:rPr>
        <w:t>Support on Gulf time</w:t>
      </w:r>
    </w:p>
    <w:p>
      <w:r>
        <w:t>Sharjah-based advisors in person or on WhatsApp, and a success coach for the whole degree.</w:t>
      </w:r>
    </w:p>
    <w:p>
      <w:r>
        <w:rPr>
          <w:b/>
        </w:rPr>
        <w:t>Closing line:</w:t>
      </w:r>
      <w:r>
        <w:t xml:space="preserve"> The certificate is awarded by Girne American University, North Cyprus. The campaigns come after, and they will be judged the way campaigns always are, by the numbers behind them.</w:t>
      </w:r>
    </w:p>
    <w:p>
      <w:pPr>
        <w:pStyle w:val="Heading2"/>
      </w:pPr>
      <w:r>
        <w:t>What You Will Learn</w:t>
      </w:r>
    </w:p>
    <w:p>
      <w:pPr>
        <w:pStyle w:val="ListNumber"/>
      </w:pPr>
      <w:r>
        <w:t>Set digital marketing strategy that survives the quarterly review</w:t>
      </w:r>
    </w:p>
    <w:p>
      <w:pPr>
        <w:pStyle w:val="ListNumber"/>
      </w:pPr>
      <w:r>
        <w:t>Build brands across platform economies without losing coherence</w:t>
      </w:r>
    </w:p>
    <w:p>
      <w:pPr>
        <w:pStyle w:val="ListNumber"/>
      </w:pPr>
      <w:r>
        <w:t>Run measurement systems that finance departments trust</w:t>
      </w:r>
    </w:p>
    <w:p>
      <w:pPr>
        <w:pStyle w:val="ListNumber"/>
      </w:pPr>
      <w:r>
        <w:t>Manage marketing teams through continuous technical change</w:t>
      </w:r>
    </w:p>
    <w:p>
      <w:pPr>
        <w:pStyle w:val="ListNumber"/>
      </w:pPr>
      <w:r>
        <w:t>Allocate budget across channels with evidence behind every line</w:t>
      </w:r>
    </w:p>
    <w:p>
      <w:pPr>
        <w:pStyle w:val="ListNumber"/>
      </w:pPr>
      <w:r>
        <w:t>Read consumer data without being read by it</w:t>
      </w:r>
    </w:p>
    <w:p>
      <w:pPr>
        <w:pStyle w:val="ListNumber"/>
      </w:pPr>
      <w:r>
        <w:t>Investigate a digital marketing question with research discipline</w:t>
      </w:r>
    </w:p>
    <w:p>
      <w:pPr>
        <w:pStyle w:val="ListNumber"/>
      </w:pPr>
      <w:r>
        <w:t>Present marketing investment cases in financial terms, because that is how they get approved</w:t>
      </w:r>
    </w:p>
    <w:p>
      <w:pPr>
        <w:pStyle w:val="Heading2"/>
      </w:pPr>
      <w:r>
        <w:t>Career Opportunities</w:t>
      </w:r>
    </w:p>
    <w:p>
      <w:pPr>
        <w:pStyle w:val="ListBullet"/>
      </w:pPr>
      <w:r>
        <w:t>Chief Marketing Officer</w:t>
      </w:r>
    </w:p>
    <w:p>
      <w:pPr>
        <w:pStyle w:val="ListBullet"/>
      </w:pPr>
      <w:r>
        <w:t>Digital Marketing Director</w:t>
      </w:r>
    </w:p>
    <w:p>
      <w:pPr>
        <w:pStyle w:val="ListBullet"/>
      </w:pPr>
      <w:r>
        <w:t>Head of Growth</w:t>
      </w:r>
    </w:p>
    <w:p>
      <w:pPr>
        <w:pStyle w:val="ListBullet"/>
      </w:pPr>
      <w:r>
        <w:t>E-commerce Director</w:t>
      </w:r>
    </w:p>
    <w:p>
      <w:pPr>
        <w:pStyle w:val="ListBullet"/>
      </w:pPr>
      <w:r>
        <w:t>Brand Director</w:t>
      </w:r>
    </w:p>
    <w:p>
      <w:pPr>
        <w:pStyle w:val="ListBullet"/>
      </w:pPr>
      <w:r>
        <w:t>Performance Marketing Director</w:t>
      </w:r>
    </w:p>
    <w:p>
      <w:pPr>
        <w:pStyle w:val="ListBullet"/>
      </w:pPr>
      <w:r>
        <w:t>Customer Experience Director</w:t>
      </w:r>
    </w:p>
    <w:p>
      <w:pPr>
        <w:pStyle w:val="ListBullet"/>
      </w:pPr>
      <w:r>
        <w:t>Agency Managing Director</w:t>
      </w:r>
    </w:p>
    <w:p>
      <w:pPr>
        <w:pStyle w:val="ListBullet"/>
      </w:pPr>
      <w:r>
        <w:t>Marketing Technology Director</w:t>
      </w:r>
    </w:p>
    <w:p>
      <w:pPr>
        <w:pStyle w:val="ListBullet"/>
      </w:pPr>
      <w:r>
        <w:t>Regional Marketing Director</w:t>
      </w:r>
    </w:p>
    <w:p>
      <w:pPr>
        <w:pStyle w:val="Heading2"/>
      </w:pPr>
      <w:r>
        <w:t>Programme Structure</w:t>
      </w:r>
    </w:p>
    <w:p>
      <w:r>
        <w:t>Your journey, stage by stage</w:t>
      </w:r>
    </w:p>
    <w:p>
      <w:r>
        <w:t>Three movements: the executive core, the digital marketing coursework, and the graduate research project.</w:t>
      </w:r>
    </w:p>
    <w:p>
      <w:pPr>
        <w:pStyle w:val="Heading3"/>
        <w:spacing w:before="200"/>
      </w:pPr>
      <w:r>
        <w:t>Stage 1 · The executive core</w:t>
      </w:r>
    </w:p>
    <w:p>
      <w:pPr>
        <w:pStyle w:val="ListBullet"/>
      </w:pPr>
      <w:r>
        <w:t>Strategic management and business economics</w:t>
      </w:r>
    </w:p>
    <w:p>
      <w:pPr>
        <w:pStyle w:val="ListBullet"/>
      </w:pPr>
      <w:r>
        <w:t>Financial management and human resource management</w:t>
      </w:r>
    </w:p>
    <w:p>
      <w:pPr>
        <w:pStyle w:val="ListBullet"/>
      </w:pPr>
      <w:r>
        <w:t>Operations and management information systems</w:t>
      </w:r>
    </w:p>
    <w:p>
      <w:pPr>
        <w:pStyle w:val="Heading3"/>
        <w:spacing w:before="200"/>
      </w:pPr>
      <w:r>
        <w:t>Stage 2 · Digital marketing coursework</w:t>
      </w:r>
    </w:p>
    <w:p>
      <w:pPr>
        <w:pStyle w:val="ListBullet"/>
      </w:pPr>
      <w:r>
        <w:t>Channel strategy, analytics, and measurement</w:t>
      </w:r>
    </w:p>
    <w:p>
      <w:pPr>
        <w:pStyle w:val="ListBullet"/>
      </w:pPr>
      <w:r>
        <w:t>Brand building in platform economies</w:t>
      </w:r>
    </w:p>
    <w:p>
      <w:pPr>
        <w:pStyle w:val="ListBullet"/>
      </w:pPr>
      <w:r>
        <w:t>Leadership case work across digital and e-commerce organisations</w:t>
      </w:r>
    </w:p>
    <w:p>
      <w:pPr>
        <w:pStyle w:val="Heading3"/>
        <w:spacing w:before="200"/>
      </w:pPr>
      <w:r>
        <w:t>Stage 3 · The graduate research project</w:t>
      </w:r>
    </w:p>
    <w:p>
      <w:pPr>
        <w:pStyle w:val="ListBullet"/>
      </w:pPr>
      <w:r>
        <w:t>A supervised investigation of a digital marketing question, often drawn from the participant's own organisation</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One success coach from enrolment to graduation</w:t>
            </w:r>
          </w:p>
        </w:tc>
      </w:tr>
      <w:tr>
        <w:tc>
          <w:tcPr>
            <w:tcW w:type="dxa" w:w="3118"/>
          </w:tcPr>
          <w:p>
            <w:r>
              <w:rPr>
                <w:b/>
                <w:sz w:val="20"/>
              </w:rPr>
              <w:t>Flexible learning</w:t>
            </w:r>
          </w:p>
        </w:tc>
        <w:tc>
          <w:tcPr>
            <w:tcW w:type="dxa" w:w="4320"/>
          </w:tcPr>
          <w:p>
            <w:r>
              <w:rPr>
                <w:sz w:val="20"/>
              </w:rPr>
              <w:t>Executive scheduling arranged around campaign seasons and launches</w:t>
            </w:r>
          </w:p>
        </w:tc>
      </w:tr>
      <w:tr>
        <w:tc>
          <w:tcPr>
            <w:tcW w:type="dxa" w:w="3118"/>
          </w:tcPr>
          <w:p>
            <w:r>
              <w:rPr>
                <w:b/>
                <w:sz w:val="20"/>
              </w:rPr>
              <w:t>Assessment support</w:t>
            </w:r>
          </w:p>
        </w:tc>
        <w:tc>
          <w:tcPr>
            <w:tcW w:type="dxa" w:w="4320"/>
          </w:tcPr>
          <w:p>
            <w:r>
              <w:rPr>
                <w:sz w:val="20"/>
              </w:rPr>
              <w:t>Feedback on strategy and research work, handled properly</w:t>
            </w:r>
          </w:p>
        </w:tc>
      </w:tr>
      <w:tr>
        <w:tc>
          <w:tcPr>
            <w:tcW w:type="dxa" w:w="3118"/>
          </w:tcPr>
          <w:p>
            <w:r>
              <w:rPr>
                <w:b/>
                <w:sz w:val="20"/>
              </w:rPr>
              <w:t>Affordable instalments</w:t>
            </w:r>
          </w:p>
        </w:tc>
        <w:tc>
          <w:tcPr>
            <w:tcW w:type="dxa" w:w="4320"/>
          </w:tcPr>
          <w:p>
            <w:r>
              <w:rPr>
                <w:sz w:val="20"/>
              </w:rPr>
              <w:t>AED monthly payments, interest-free, confirmed in writing</w:t>
            </w:r>
          </w:p>
        </w:tc>
      </w:tr>
      <w:tr>
        <w:tc>
          <w:tcPr>
            <w:tcW w:type="dxa" w:w="3118"/>
          </w:tcPr>
          <w:p>
            <w:r>
              <w:rPr>
                <w:b/>
                <w:sz w:val="20"/>
              </w:rPr>
              <w:t>Career guidance</w:t>
            </w:r>
          </w:p>
        </w:tc>
        <w:tc>
          <w:tcPr>
            <w:tcW w:type="dxa" w:w="4320"/>
          </w:tcPr>
          <w:p>
            <w:r>
              <w:rPr>
                <w:sz w:val="20"/>
              </w:rPr>
              <w:t>Advisors familiar with marketing leadership hiring across the Gulf</w:t>
            </w:r>
          </w:p>
        </w:tc>
      </w:tr>
      <w:tr>
        <w:tc>
          <w:tcPr>
            <w:tcW w:type="dxa" w:w="3118"/>
          </w:tcPr>
          <w:p>
            <w:r>
              <w:rPr>
                <w:b/>
                <w:sz w:val="20"/>
              </w:rPr>
              <w:t>Documentation assistance</w:t>
            </w:r>
          </w:p>
        </w:tc>
        <w:tc>
          <w:tcPr>
            <w:tcW w:type="dxa" w:w="4320"/>
          </w:tcPr>
          <w:p>
            <w:r>
              <w:rPr>
                <w:sz w:val="20"/>
              </w:rPr>
              <w:t>Enrolment done with you, one step at a time</w:t>
            </w:r>
          </w:p>
        </w:tc>
      </w:tr>
    </w:tbl>
    <w:p>
      <w:pPr>
        <w:pStyle w:val="Heading2"/>
      </w:pPr>
      <w:r>
        <w:t>Why GCC Professionals Choose This Programme</w:t>
      </w:r>
    </w:p>
    <w:p>
      <w:r>
        <w:rPr>
          <w:b/>
        </w:rPr>
        <w:t>Study inside the region's fastest-growing media budget</w:t>
      </w:r>
    </w:p>
    <w:p>
      <w:r>
        <w:t>Fully online, no visa, no career break. Advertising budgets across the UAE keep shifting toward digital, and you can study from inside the market they are building.</w:t>
      </w:r>
    </w:p>
    <w:p>
      <w:r>
        <w:rPr>
          <w:b/>
        </w:rPr>
        <w:t>Measurement made the CMO seat accountable</w:t>
      </w:r>
    </w:p>
    <w:p>
      <w:r>
        <w:t>Gulf boards now read marketing through dashboards, and the leaders who can defend a number are the ones who keep the budget.</w:t>
      </w:r>
    </w:p>
    <w:p>
      <w:r>
        <w:rPr>
          <w:b/>
        </w:rPr>
        <w:t>The Gulf's brands are competing internationally</w:t>
      </w:r>
    </w:p>
    <w:p>
      <w:r>
        <w:t>Airlines, retail groups, and city brands from this region market globally, and they staff senior digital roles accordingly.</w:t>
      </w:r>
    </w:p>
    <w:p>
      <w:r>
        <w:rPr>
          <w:b/>
        </w:rPr>
        <w:t>The skills gap reaches senior marketing too</w:t>
      </w:r>
    </w:p>
    <w:p>
      <w:r>
        <w:t>Across the Gulf, employers keep reporting shortages of qualified candidates, and data-literate marketing leaders are the scarcest version.</w:t>
      </w:r>
    </w:p>
    <w:p>
      <w:r>
        <w:rPr>
          <w:b/>
        </w:rPr>
        <w:t>Eighteen months suits launch calendars</w:t>
      </w:r>
    </w:p>
    <w:p>
      <w:r>
        <w:t>The delivery bends around campaigns and peaks instead of asking you to pause them.</w:t>
      </w:r>
    </w:p>
    <w:p>
      <w:r>
        <w:rPr>
          <w:b/>
        </w:rPr>
        <w:t>The research project can steer your own budget</w:t>
      </w:r>
    </w:p>
    <w:p>
      <w:r>
        <w:t>Finish on a live question from your own brand or market and graduate with a case your finance director has already seen.</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Registration Fee</w:t>
            </w:r>
          </w:p>
        </w:tc>
        <w:tc>
          <w:tcPr>
            <w:tcW w:type="dxa" w:w="4320"/>
          </w:tcPr>
          <w:p>
            <w:r>
              <w:rPr>
                <w:sz w:val="20"/>
              </w:rPr>
              <w:t>Itemised in the full structure before any payment</w:t>
            </w:r>
          </w:p>
        </w:tc>
      </w:tr>
      <w:tr>
        <w:tc>
          <w:tcPr>
            <w:tcW w:type="dxa" w:w="3118"/>
          </w:tcPr>
          <w:p>
            <w:r>
              <w:rPr>
                <w:b/>
                <w:sz w:val="20"/>
              </w:rPr>
              <w:t>Initial Payment</w:t>
            </w:r>
          </w:p>
        </w:tc>
        <w:tc>
          <w:tcPr>
            <w:tcW w:type="dxa" w:w="4320"/>
          </w:tcPr>
          <w:p>
            <w:r>
              <w:rPr>
                <w:sz w:val="20"/>
              </w:rPr>
              <w:t>Confirmed in writing before anything is charged</w:t>
            </w:r>
          </w:p>
        </w:tc>
      </w:tr>
      <w:tr>
        <w:tc>
          <w:tcPr>
            <w:tcW w:type="dxa" w:w="3118"/>
          </w:tcPr>
          <w:p>
            <w:r>
              <w:rPr>
                <w:b/>
                <w:sz w:val="20"/>
              </w:rPr>
              <w:t>Monthly Instalments</w:t>
            </w:r>
          </w:p>
        </w:tc>
        <w:tc>
          <w:tcPr>
            <w:tcW w:type="dxa" w:w="4320"/>
          </w:tcPr>
          <w:p>
            <w:r>
              <w:rPr>
                <w:sz w:val="20"/>
              </w:rPr>
              <w:t>AED, interest-free, matched to salary dates</w:t>
            </w:r>
          </w:p>
        </w:tc>
      </w:tr>
      <w:tr>
        <w:tc>
          <w:tcPr>
            <w:tcW w:type="dxa" w:w="3118"/>
          </w:tcPr>
          <w:p>
            <w:r>
              <w:rPr>
                <w:b/>
                <w:sz w:val="20"/>
              </w:rPr>
              <w:t>Scholarship Availability</w:t>
            </w:r>
          </w:p>
        </w:tc>
        <w:tc>
          <w:tcPr>
            <w:tcW w:type="dxa" w:w="4320"/>
          </w:tcPr>
          <w:p>
            <w:r>
              <w:rPr>
                <w:sz w:val="20"/>
              </w:rPr>
              <w:t>Possible for strong profiles; your advisor checks before promising</w:t>
            </w:r>
          </w:p>
        </w:tc>
      </w:tr>
      <w:tr>
        <w:tc>
          <w:tcPr>
            <w:tcW w:type="dxa" w:w="3118"/>
          </w:tcPr>
          <w:p>
            <w:r>
              <w:rPr>
                <w:b/>
                <w:sz w:val="20"/>
              </w:rPr>
              <w:t>Offer Validity</w:t>
            </w:r>
          </w:p>
        </w:tc>
        <w:tc>
          <w:tcPr>
            <w:tcW w:type="dxa" w:w="4320"/>
          </w:tcPr>
          <w:p>
            <w:r>
              <w:rPr>
                <w:sz w:val="20"/>
              </w:rPr>
              <w:t>Early-bird pricing moves with each intake, so confirm the window</w:t>
            </w:r>
          </w:p>
        </w:tc>
      </w:tr>
    </w:tbl>
    <w:p>
      <w:r>
        <w:rPr>
          <w:b/>
        </w:rPr>
        <w:t xml:space="preserve">Request the fee structure: </w:t>
      </w:r>
      <w:r>
        <w:t>Fees depend on the intake and your admission profile, so no fixed figure sits here. Admissions sends the personal breakdown in writing, free and without obligation. Across our Master's programmes, totals usually land between AED 16,000 and 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