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MBA in International Business Management</w:t>
      </w:r>
    </w:p>
    <w:p>
      <w:pPr>
        <w:pStyle w:val="Heading2"/>
      </w:pPr>
      <w:r>
        <w:t>SEO</w:t>
      </w:r>
    </w:p>
    <w:p>
      <w:r>
        <w:rPr>
          <w:b/>
        </w:rPr>
        <w:t xml:space="preserve">Meta Title: </w:t>
      </w:r>
      <w:r>
        <w:t>MBA in International Business Management | Girne American University</w:t>
      </w:r>
    </w:p>
    <w:p>
      <w:r>
        <w:rPr>
          <w:b/>
        </w:rPr>
        <w:t xml:space="preserve">Meta Description: </w:t>
      </w:r>
      <w:r>
        <w:t>12 to 15-month MBA in International Business Management from Girne American University. Online study from the UAE, AED instalments. Enquire now.</w:t>
      </w:r>
    </w:p>
    <w:p>
      <w:pPr>
        <w:pStyle w:val="Heading2"/>
      </w:pPr>
      <w:r>
        <w:t>Hero</w:t>
      </w:r>
    </w:p>
    <w:p>
      <w:r>
        <w:rPr>
          <w:sz w:val="22"/>
        </w:rPr>
        <w:t>Girne American University sits on an island between three continents, which is a reasonable place to learn business that crosses borders. This MBA teaches exactly that, trade operations, international marketing, cross-border HRM, in 12 to 15 months, studied online from the UAE.</w:t>
      </w:r>
    </w:p>
    <w:p>
      <w:r>
        <w:rPr>
          <w:color w:val="555C66"/>
        </w:rPr>
        <w:t>Level: Master's · Duration: 12 to 15 months</w:t>
      </w:r>
    </w:p>
    <w:p>
      <w:pPr>
        <w:pStyle w:val="Heading3"/>
      </w:pPr>
      <w:r>
        <w:t>Quick Highlights</w:t>
      </w:r>
    </w:p>
    <w:p>
      <w:pPr>
        <w:pStyle w:val="ListBullet"/>
      </w:pPr>
      <w:r>
        <w:t>Girne American University</w:t>
      </w:r>
    </w:p>
    <w:p>
      <w:pPr>
        <w:pStyle w:val="ListBullet"/>
      </w:pPr>
      <w:r>
        <w:t>12 to 15 months</w:t>
      </w:r>
    </w:p>
    <w:p>
      <w:pPr>
        <w:pStyle w:val="ListBullet"/>
      </w:pPr>
      <w:r>
        <w:t>Online study</w:t>
      </w:r>
    </w:p>
    <w:p>
      <w:pPr>
        <w:pStyle w:val="ListBullet"/>
      </w:pPr>
      <w:r>
        <w:t>Part-time friendly</w:t>
      </w:r>
    </w:p>
    <w:p>
      <w:pPr>
        <w:pStyle w:val="ListBullet"/>
      </w:pPr>
      <w:r>
        <w:t>Research project</w:t>
      </w:r>
    </w:p>
    <w:p>
      <w:pPr>
        <w:pStyle w:val="ListBullet"/>
      </w:pPr>
      <w:r>
        <w:t>Scholarship available</w:t>
      </w:r>
    </w:p>
    <w:p>
      <w:pPr>
        <w:pStyle w:val="Heading2"/>
      </w:pPr>
      <w:r>
        <w:t>Programme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MBA</w:t>
            </w:r>
          </w:p>
        </w:tc>
      </w:tr>
      <w:tr>
        <w:tc>
          <w:tcPr>
            <w:tcW w:type="dxa" w:w="3118"/>
          </w:tcPr>
          <w:p>
            <w:r>
              <w:rPr>
                <w:b/>
                <w:sz w:val="20"/>
              </w:rPr>
              <w:t>Awarding University</w:t>
            </w:r>
          </w:p>
        </w:tc>
        <w:tc>
          <w:tcPr>
            <w:tcW w:type="dxa" w:w="4320"/>
          </w:tcPr>
          <w:p>
            <w:r>
              <w:rPr>
                <w:sz w:val="20"/>
              </w:rPr>
              <w:t>Girne American University, North Cyprus</w:t>
            </w:r>
          </w:p>
        </w:tc>
      </w:tr>
      <w:tr>
        <w:tc>
          <w:tcPr>
            <w:tcW w:type="dxa" w:w="3118"/>
          </w:tcPr>
          <w:p>
            <w:r>
              <w:rPr>
                <w:b/>
                <w:sz w:val="20"/>
              </w:rPr>
              <w:t>Duration</w:t>
            </w:r>
          </w:p>
        </w:tc>
        <w:tc>
          <w:tcPr>
            <w:tcW w:type="dxa" w:w="4320"/>
          </w:tcPr>
          <w:p>
            <w:r>
              <w:rPr>
                <w:sz w:val="20"/>
              </w:rPr>
              <w:t>12 to 15 months</w:t>
            </w:r>
          </w:p>
        </w:tc>
      </w:tr>
      <w:tr>
        <w:tc>
          <w:tcPr>
            <w:tcW w:type="dxa" w:w="3118"/>
          </w:tcPr>
          <w:p>
            <w:r>
              <w:rPr>
                <w:b/>
                <w:sz w:val="20"/>
              </w:rPr>
              <w:t>Assessments</w:t>
            </w:r>
          </w:p>
        </w:tc>
        <w:tc>
          <w:tcPr>
            <w:tcW w:type="dxa" w:w="4320"/>
          </w:tcPr>
          <w:p>
            <w:r>
              <w:rPr>
                <w:sz w:val="20"/>
              </w:rPr>
              <w:t>Assignments, projects and a graduate research project</w:t>
            </w:r>
          </w:p>
        </w:tc>
      </w:tr>
      <w:tr>
        <w:tc>
          <w:tcPr>
            <w:tcW w:type="dxa" w:w="3118"/>
          </w:tcPr>
          <w:p>
            <w:r>
              <w:rPr>
                <w:b/>
                <w:sz w:val="20"/>
              </w:rPr>
              <w:t>Study Mode</w:t>
            </w:r>
          </w:p>
        </w:tc>
        <w:tc>
          <w:tcPr>
            <w:tcW w:type="dxa" w:w="4320"/>
          </w:tcPr>
          <w:p>
            <w:r>
              <w:rPr>
                <w:sz w:val="20"/>
              </w:rPr>
              <w:t>Online, flexible part-time and distance delivery</w:t>
            </w:r>
          </w:p>
        </w:tc>
      </w:tr>
      <w:tr>
        <w:tc>
          <w:tcPr>
            <w:tcW w:type="dxa" w:w="3118"/>
          </w:tcPr>
          <w:p>
            <w:r>
              <w:rPr>
                <w:b/>
                <w:sz w:val="20"/>
              </w:rPr>
              <w:t>Credits</w:t>
            </w:r>
          </w:p>
        </w:tc>
        <w:tc>
          <w:tcPr>
            <w:tcW w:type="dxa" w:w="4320"/>
          </w:tcPr>
          <w:p>
            <w:r>
              <w:rPr>
                <w:sz w:val="20"/>
              </w:rPr>
              <w:t>Confirmed per admission, issued in writing</w:t>
            </w:r>
          </w:p>
        </w:tc>
      </w:tr>
    </w:tbl>
    <w:p>
      <w:r>
        <w:rPr>
          <w:b/>
        </w:rPr>
        <w:t xml:space="preserve">Note: </w:t>
      </w:r>
      <w:r>
        <w:t>The admission letter carries the credit detail and the fee structure, in writing, before any payment. That letter, not any webpage, is what you should plan around.</w:t>
      </w:r>
    </w:p>
    <w:p>
      <w:pPr>
        <w:pStyle w:val="Heading2"/>
      </w:pPr>
      <w:r>
        <w:t>Programme Overview</w:t>
      </w:r>
    </w:p>
    <w:p>
      <w:r>
        <w:t>International business fails in predictable places: a contract clause nobody read, a marketing campaign translated without thinking, an HR policy that collides with another country's labour law. This MBA works through exactly those failure points. The management core comes first, then coursework aimed at international trade operations, global marketing, human resource management across jurisdictions, and the leadership strategies that hold it together, with a graduate research project closing the degree.</w:t>
      </w:r>
    </w:p>
    <w:p>
      <w:r>
        <w:t>The delivery is flexible by design, built for part-time and distance study, which suits the profile it serves: managers whose roles already span markets, and founders taking a Gulf company abroad for the first time.</w:t>
      </w:r>
    </w:p>
    <w:p>
      <w:pPr>
        <w:pStyle w:val="Heading2"/>
      </w:pPr>
      <w:r>
        <w:t>Why Choose This Programme</w:t>
      </w:r>
    </w:p>
    <w:p>
      <w:r>
        <w:rPr>
          <w:b/>
        </w:rPr>
        <w:t>The function set, internationalized</w:t>
      </w:r>
    </w:p>
    <w:p>
      <w:r>
        <w:t>Marketing, HR, trade, leadership. Each one taught the way it actually runs across borders, which is messier and more interesting.</w:t>
      </w:r>
    </w:p>
    <w:p>
      <w:r>
        <w:rPr>
          <w:b/>
        </w:rPr>
        <w:t>Fifteen months, maximum</w:t>
      </w:r>
    </w:p>
    <w:p>
      <w:r>
        <w:t>Mobile careers do not pause for two-year degrees. The upper bound here is fifteen months, and the delivery bends around travel weeks.</w:t>
      </w:r>
    </w:p>
    <w:p>
      <w:r>
        <w:rPr>
          <w:b/>
        </w:rPr>
        <w:t>The cohort crosses borders too</w:t>
      </w:r>
    </w:p>
    <w:p>
      <w:r>
        <w:t>Girne American University's classrooms carry students from several markets, so the international part of the syllabus gets tested live in discussion.</w:t>
      </w:r>
    </w:p>
    <w:p>
      <w:r>
        <w:rPr>
          <w:b/>
        </w:rPr>
        <w:t>Research with a passport</w:t>
      </w:r>
    </w:p>
    <w:p>
      <w:r>
        <w:t>The graduate research project frequently takes an international question from the student's own company, which turns the degree into a market-entry document.</w:t>
      </w:r>
    </w:p>
    <w:p>
      <w:r>
        <w:rPr>
          <w:b/>
        </w:rPr>
        <w:t>Instalments in dirhams</w:t>
      </w:r>
    </w:p>
    <w:p>
      <w:r>
        <w:t>Monthly AED payments, interest-free, agreed in writing before the programme starts.</w:t>
      </w:r>
    </w:p>
    <w:p>
      <w:r>
        <w:rPr>
          <w:b/>
        </w:rPr>
        <w:t>Support across time zones</w:t>
      </w:r>
    </w:p>
    <w:p>
      <w:r>
        <w:t>Sharjah-based advisors in person or on WhatsApp, and a success coach who stays for the degree.</w:t>
      </w:r>
    </w:p>
    <w:p>
      <w:r>
        <w:rPr>
          <w:b/>
        </w:rPr>
        <w:t>Closing line:</w:t>
      </w:r>
      <w:r>
        <w:t xml:space="preserve"> The certificate is awarded by Girne American University, North Cyprus. The borders you cross afterwards are yours, and now you cross them with method.</w:t>
      </w:r>
    </w:p>
    <w:p>
      <w:pPr>
        <w:pStyle w:val="Heading2"/>
      </w:pPr>
      <w:r>
        <w:t>What You Will Learn</w:t>
      </w:r>
    </w:p>
    <w:p>
      <w:pPr>
        <w:pStyle w:val="ListNumber"/>
      </w:pPr>
      <w:r>
        <w:t>Run international trade operations with the paperwork and the strategy both in hand</w:t>
      </w:r>
    </w:p>
    <w:p>
      <w:pPr>
        <w:pStyle w:val="ListNumber"/>
      </w:pPr>
      <w:r>
        <w:t>Market across countries that disagree with each other about what sells</w:t>
      </w:r>
    </w:p>
    <w:p>
      <w:pPr>
        <w:pStyle w:val="ListNumber"/>
      </w:pPr>
      <w:r>
        <w:t>Manage workforces across employment regimes without breaking any of them</w:t>
      </w:r>
    </w:p>
    <w:p>
      <w:pPr>
        <w:pStyle w:val="ListNumber"/>
      </w:pPr>
      <w:r>
        <w:t>Lead across cultures while keeping the differences visible, because flattening them is how deals die</w:t>
      </w:r>
    </w:p>
    <w:p>
      <w:pPr>
        <w:pStyle w:val="ListNumber"/>
      </w:pPr>
      <w:r>
        <w:t>Read emerging trends in international business before they become consensus</w:t>
      </w:r>
    </w:p>
    <w:p>
      <w:pPr>
        <w:pStyle w:val="ListNumber"/>
      </w:pPr>
      <w:r>
        <w:t>Negotiate with partners and customers from other business cultures</w:t>
      </w:r>
    </w:p>
    <w:p>
      <w:pPr>
        <w:pStyle w:val="ListNumber"/>
      </w:pPr>
      <w:r>
        <w:t>Investigate an international business question with research discipline</w:t>
      </w:r>
    </w:p>
    <w:p>
      <w:pPr>
        <w:pStyle w:val="ListNumber"/>
      </w:pPr>
      <w:r>
        <w:t>Present findings that a leadership team in any country can act on</w:t>
      </w:r>
    </w:p>
    <w:p>
      <w:pPr>
        <w:pStyle w:val="Heading2"/>
      </w:pPr>
      <w:r>
        <w:t>Career Opportunities</w:t>
      </w:r>
    </w:p>
    <w:p>
      <w:pPr>
        <w:pStyle w:val="ListBullet"/>
      </w:pPr>
      <w:r>
        <w:t>International Business Manager</w:t>
      </w:r>
    </w:p>
    <w:p>
      <w:pPr>
        <w:pStyle w:val="ListBullet"/>
      </w:pPr>
      <w:r>
        <w:t>Trade Operations Manager</w:t>
      </w:r>
    </w:p>
    <w:p>
      <w:pPr>
        <w:pStyle w:val="ListBullet"/>
      </w:pPr>
      <w:r>
        <w:t>Export Manager</w:t>
      </w:r>
    </w:p>
    <w:p>
      <w:pPr>
        <w:pStyle w:val="ListBullet"/>
      </w:pPr>
      <w:r>
        <w:t>Global Marketing Manager</w:t>
      </w:r>
    </w:p>
    <w:p>
      <w:pPr>
        <w:pStyle w:val="ListBullet"/>
      </w:pPr>
      <w:r>
        <w:t>International HR Manager</w:t>
      </w:r>
    </w:p>
    <w:p>
      <w:pPr>
        <w:pStyle w:val="ListBullet"/>
      </w:pPr>
      <w:r>
        <w:t>Country Manager</w:t>
      </w:r>
    </w:p>
    <w:p>
      <w:pPr>
        <w:pStyle w:val="ListBullet"/>
      </w:pPr>
      <w:r>
        <w:t>Global Account Manager</w:t>
      </w:r>
    </w:p>
    <w:p>
      <w:pPr>
        <w:pStyle w:val="ListBullet"/>
      </w:pPr>
      <w:r>
        <w:t>Business Development Manager</w:t>
      </w:r>
    </w:p>
    <w:p>
      <w:pPr>
        <w:pStyle w:val="ListBullet"/>
      </w:pPr>
      <w:r>
        <w:t>Import and Export Manager</w:t>
      </w:r>
    </w:p>
    <w:p>
      <w:pPr>
        <w:pStyle w:val="ListBullet"/>
      </w:pPr>
      <w:r>
        <w:t>International Business Consultant</w:t>
      </w:r>
    </w:p>
    <w:p>
      <w:pPr>
        <w:pStyle w:val="Heading2"/>
      </w:pPr>
      <w:r>
        <w:t>Programme Structure</w:t>
      </w:r>
    </w:p>
    <w:p>
      <w:r>
        <w:t>Your journey, stage by stage</w:t>
      </w:r>
    </w:p>
    <w:p>
      <w:r>
        <w:t>Three movements: the business core, the international business coursework, and the graduate research project.</w:t>
      </w:r>
    </w:p>
    <w:p>
      <w:pPr>
        <w:pStyle w:val="Heading3"/>
        <w:spacing w:before="200"/>
      </w:pPr>
      <w:r>
        <w:t>Stage 1 · The business core</w:t>
      </w:r>
    </w:p>
    <w:p>
      <w:pPr>
        <w:pStyle w:val="ListBullet"/>
      </w:pPr>
      <w:r>
        <w:t>Economics, accounting, and the management fundamentals</w:t>
      </w:r>
    </w:p>
    <w:p>
      <w:pPr>
        <w:pStyle w:val="ListBullet"/>
      </w:pPr>
      <w:r>
        <w:t>Business analytics, marketing, and operations</w:t>
      </w:r>
    </w:p>
    <w:p>
      <w:pPr>
        <w:pStyle w:val="ListBullet"/>
      </w:pPr>
      <w:r>
        <w:t>Leadership and the international business environment</w:t>
      </w:r>
    </w:p>
    <w:p>
      <w:pPr>
        <w:pStyle w:val="Heading3"/>
        <w:spacing w:before="200"/>
      </w:pPr>
      <w:r>
        <w:t>Stage 2 · International business coursework</w:t>
      </w:r>
    </w:p>
    <w:p>
      <w:pPr>
        <w:pStyle w:val="ListBullet"/>
      </w:pPr>
      <w:r>
        <w:t>International trade operations and global marketing</w:t>
      </w:r>
    </w:p>
    <w:p>
      <w:pPr>
        <w:pStyle w:val="ListBullet"/>
      </w:pPr>
      <w:r>
        <w:t>Human resource management across jurisdictions</w:t>
      </w:r>
    </w:p>
    <w:p>
      <w:pPr>
        <w:pStyle w:val="ListBullet"/>
      </w:pPr>
      <w:r>
        <w:t>Global leadership strategies and cross-border case work</w:t>
      </w:r>
    </w:p>
    <w:p>
      <w:pPr>
        <w:pStyle w:val="Heading3"/>
        <w:spacing w:before="200"/>
      </w:pPr>
      <w:r>
        <w:t>Stage 3 · The graduate research project</w:t>
      </w:r>
    </w:p>
    <w:p>
      <w:pPr>
        <w:pStyle w:val="ListBullet"/>
      </w:pPr>
      <w:r>
        <w:t>A supervised investigation of an international business question, often drawn from the student's own company</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One success coach from enrolment to graduation</w:t>
            </w:r>
          </w:p>
        </w:tc>
      </w:tr>
      <w:tr>
        <w:tc>
          <w:tcPr>
            <w:tcW w:type="dxa" w:w="3118"/>
          </w:tcPr>
          <w:p>
            <w:r>
              <w:rPr>
                <w:b/>
                <w:sz w:val="20"/>
              </w:rPr>
              <w:t>Flexible learning</w:t>
            </w:r>
          </w:p>
        </w:tc>
        <w:tc>
          <w:tcPr>
            <w:tcW w:type="dxa" w:w="4320"/>
          </w:tcPr>
          <w:p>
            <w:r>
              <w:rPr>
                <w:sz w:val="20"/>
              </w:rPr>
              <w:t>Part-time and distance delivery, built around travel and Gulf working weeks</w:t>
            </w:r>
          </w:p>
        </w:tc>
      </w:tr>
      <w:tr>
        <w:tc>
          <w:tcPr>
            <w:tcW w:type="dxa" w:w="3118"/>
          </w:tcPr>
          <w:p>
            <w:r>
              <w:rPr>
                <w:b/>
                <w:sz w:val="20"/>
              </w:rPr>
              <w:t>Assessment support</w:t>
            </w:r>
          </w:p>
        </w:tc>
        <w:tc>
          <w:tcPr>
            <w:tcW w:type="dxa" w:w="4320"/>
          </w:tcPr>
          <w:p>
            <w:r>
              <w:rPr>
                <w:sz w:val="20"/>
              </w:rPr>
              <w:t>Feedback on international business cases, read with attention</w:t>
            </w:r>
          </w:p>
        </w:tc>
      </w:tr>
      <w:tr>
        <w:tc>
          <w:tcPr>
            <w:tcW w:type="dxa" w:w="3118"/>
          </w:tcPr>
          <w:p>
            <w:r>
              <w:rPr>
                <w:b/>
                <w:sz w:val="20"/>
              </w:rPr>
              <w:t>Affordable instalments</w:t>
            </w:r>
          </w:p>
        </w:tc>
        <w:tc>
          <w:tcPr>
            <w:tcW w:type="dxa" w:w="4320"/>
          </w:tcPr>
          <w:p>
            <w:r>
              <w:rPr>
                <w:sz w:val="20"/>
              </w:rPr>
              <w:t>AED monthly payments, interest-free, confirmed in writing</w:t>
            </w:r>
          </w:p>
        </w:tc>
      </w:tr>
      <w:tr>
        <w:tc>
          <w:tcPr>
            <w:tcW w:type="dxa" w:w="3118"/>
          </w:tcPr>
          <w:p>
            <w:r>
              <w:rPr>
                <w:b/>
                <w:sz w:val="20"/>
              </w:rPr>
              <w:t>Career guidance</w:t>
            </w:r>
          </w:p>
        </w:tc>
        <w:tc>
          <w:tcPr>
            <w:tcW w:type="dxa" w:w="4320"/>
          </w:tcPr>
          <w:p>
            <w:r>
              <w:rPr>
                <w:sz w:val="20"/>
              </w:rPr>
              <w:t>Advisors familiar with multinational and trade hiring across the Gulf</w:t>
            </w:r>
          </w:p>
        </w:tc>
      </w:tr>
      <w:tr>
        <w:tc>
          <w:tcPr>
            <w:tcW w:type="dxa" w:w="3118"/>
          </w:tcPr>
          <w:p>
            <w:r>
              <w:rPr>
                <w:b/>
                <w:sz w:val="20"/>
              </w:rPr>
              <w:t>Documentation assistance</w:t>
            </w:r>
          </w:p>
        </w:tc>
        <w:tc>
          <w:tcPr>
            <w:tcW w:type="dxa" w:w="4320"/>
          </w:tcPr>
          <w:p>
            <w:r>
              <w:rPr>
                <w:sz w:val="20"/>
              </w:rPr>
              <w:t>Enrolment handled with you, step by step</w:t>
            </w:r>
          </w:p>
        </w:tc>
      </w:tr>
    </w:tbl>
    <w:p>
      <w:pPr>
        <w:pStyle w:val="Heading2"/>
      </w:pPr>
      <w:r>
        <w:t>Why GCC Professionals Choose This Programme</w:t>
      </w:r>
    </w:p>
    <w:p>
      <w:r>
        <w:rPr>
          <w:b/>
        </w:rPr>
        <w:t>Study from the region's trade crossroads</w:t>
      </w:r>
    </w:p>
    <w:p>
      <w:r>
        <w:t>No visa, no relocation, no career break. The UAE sits at one of the world's busiest intersections of trade routes, and the degree fits around your work inside it.</w:t>
      </w:r>
    </w:p>
    <w:p>
      <w:r>
        <w:rPr>
          <w:b/>
        </w:rPr>
        <w:t>The non-oil economy is the growth story</w:t>
      </w:r>
    </w:p>
    <w:p>
      <w:r>
        <w:t>The UAE's non-oil sector contributes over 74% of GDP now, and that economy runs on cross-border business skills.</w:t>
      </w:r>
    </w:p>
    <w:p>
      <w:r>
        <w:rPr>
          <w:b/>
        </w:rPr>
        <w:t>Regional headquarters keep arriving</w:t>
      </w:r>
    </w:p>
    <w:p>
      <w:r>
        <w:t>Multinationals keep moving regional operations into Dubai and Abu Dhabi, and they staff them with managers who can hold several markets in one head.</w:t>
      </w:r>
    </w:p>
    <w:p>
      <w:r>
        <w:rPr>
          <w:b/>
        </w:rPr>
        <w:t>The skills gap includes international roles</w:t>
      </w:r>
    </w:p>
    <w:p>
      <w:r>
        <w:t>Across the Gulf, employers keep reporting shortages of qualified candidates, and roles spanning markets are the hardest to fill from within.</w:t>
      </w:r>
    </w:p>
    <w:p>
      <w:r>
        <w:rPr>
          <w:b/>
        </w:rPr>
        <w:t>Fifteen months suits mobile careers</w:t>
      </w:r>
    </w:p>
    <w:p>
      <w:r>
        <w:t>People aiming at international postings rarely have two years to spare. The degree's upper bound is fifteen months, and it was designed assuming you travel.</w:t>
      </w:r>
    </w:p>
    <w:p>
      <w:r>
        <w:rPr>
          <w:b/>
        </w:rPr>
        <w:t>The research project doubles as an expansion plan</w:t>
      </w:r>
    </w:p>
    <w:p>
      <w:r>
        <w:t>Take the final investigation from your own company's overseas ambitions and graduate with a document your board has already seen.</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Registration Fee</w:t>
            </w:r>
          </w:p>
        </w:tc>
        <w:tc>
          <w:tcPr>
            <w:tcW w:type="dxa" w:w="4320"/>
          </w:tcPr>
          <w:p>
            <w:r>
              <w:rPr>
                <w:sz w:val="20"/>
              </w:rPr>
              <w:t>Itemised in the full structure before any payment</w:t>
            </w:r>
          </w:p>
        </w:tc>
      </w:tr>
      <w:tr>
        <w:tc>
          <w:tcPr>
            <w:tcW w:type="dxa" w:w="3118"/>
          </w:tcPr>
          <w:p>
            <w:r>
              <w:rPr>
                <w:b/>
                <w:sz w:val="20"/>
              </w:rPr>
              <w:t>Initial Payment</w:t>
            </w:r>
          </w:p>
        </w:tc>
        <w:tc>
          <w:tcPr>
            <w:tcW w:type="dxa" w:w="4320"/>
          </w:tcPr>
          <w:p>
            <w:r>
              <w:rPr>
                <w:sz w:val="20"/>
              </w:rPr>
              <w:t>Confirmed in writing before anything is charged</w:t>
            </w:r>
          </w:p>
        </w:tc>
      </w:tr>
      <w:tr>
        <w:tc>
          <w:tcPr>
            <w:tcW w:type="dxa" w:w="3118"/>
          </w:tcPr>
          <w:p>
            <w:r>
              <w:rPr>
                <w:b/>
                <w:sz w:val="20"/>
              </w:rPr>
              <w:t>Monthly Instalments</w:t>
            </w:r>
          </w:p>
        </w:tc>
        <w:tc>
          <w:tcPr>
            <w:tcW w:type="dxa" w:w="4320"/>
          </w:tcPr>
          <w:p>
            <w:r>
              <w:rPr>
                <w:sz w:val="20"/>
              </w:rPr>
              <w:t>AED, interest-free, matched to salary dates</w:t>
            </w:r>
          </w:p>
        </w:tc>
      </w:tr>
      <w:tr>
        <w:tc>
          <w:tcPr>
            <w:tcW w:type="dxa" w:w="3118"/>
          </w:tcPr>
          <w:p>
            <w:r>
              <w:rPr>
                <w:b/>
                <w:sz w:val="20"/>
              </w:rPr>
              <w:t>Scholarship Availability</w:t>
            </w:r>
          </w:p>
        </w:tc>
        <w:tc>
          <w:tcPr>
            <w:tcW w:type="dxa" w:w="4320"/>
          </w:tcPr>
          <w:p>
            <w:r>
              <w:rPr>
                <w:sz w:val="20"/>
              </w:rPr>
              <w:t>Possible for strong profiles; your advisor checks before promising</w:t>
            </w:r>
          </w:p>
        </w:tc>
      </w:tr>
      <w:tr>
        <w:tc>
          <w:tcPr>
            <w:tcW w:type="dxa" w:w="3118"/>
          </w:tcPr>
          <w:p>
            <w:r>
              <w:rPr>
                <w:b/>
                <w:sz w:val="20"/>
              </w:rPr>
              <w:t>Offer Validity</w:t>
            </w:r>
          </w:p>
        </w:tc>
        <w:tc>
          <w:tcPr>
            <w:tcW w:type="dxa" w:w="4320"/>
          </w:tcPr>
          <w:p>
            <w:r>
              <w:rPr>
                <w:sz w:val="20"/>
              </w:rPr>
              <w:t>Early-bird pricing moves with each intake, so confirm the window</w:t>
            </w:r>
          </w:p>
        </w:tc>
      </w:tr>
    </w:tbl>
    <w:p>
      <w:r>
        <w:rPr>
          <w:b/>
        </w:rPr>
        <w:t xml:space="preserve">Request the fee structure: </w:t>
      </w:r>
      <w:r>
        <w:t>Fees depend on the intake and your admission profile, so no fixed figure is printed here. Admissions sends the personal breakdown in writing, free and without obligation. Across our Master's programmes, totals usually sit between AED 16,000 and 40,000.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