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MBA in Human Resource Management</w:t>
      </w:r>
    </w:p>
    <w:p>
      <w:pPr>
        <w:pStyle w:val="Heading2"/>
      </w:pPr>
      <w:r>
        <w:t>SEO</w:t>
      </w:r>
    </w:p>
    <w:p>
      <w:r>
        <w:rPr>
          <w:b/>
        </w:rPr>
        <w:t xml:space="preserve">Meta Title: </w:t>
      </w:r>
      <w:r>
        <w:t>MBA in Human Resource Management Online | Maverick</w:t>
      </w:r>
    </w:p>
    <w:p>
      <w:r>
        <w:rPr>
          <w:b/>
        </w:rPr>
        <w:t xml:space="preserve">Meta Description: </w:t>
      </w:r>
      <w:r>
        <w:t>16-month online MBA in Human Resource Management from Rushford Business School. 90 ECTS, evening study, AED instalments. Enquire now.</w:t>
      </w:r>
    </w:p>
    <w:p>
      <w:pPr>
        <w:pStyle w:val="Heading2"/>
      </w:pPr>
      <w:r>
        <w:t>Hero</w:t>
      </w:r>
    </w:p>
    <w:p>
      <w:r>
        <w:rPr>
          <w:sz w:val="22"/>
        </w:rPr>
        <w:t>People decisions are the ones companies get wrong most expensively. This 16-month online MBA from Rushford Business School trains the person who makes them, and it runs in the evenings so your current role keeps running too.</w:t>
      </w:r>
    </w:p>
    <w:p>
      <w:r>
        <w:rPr>
          <w:color w:val="555C66"/>
        </w:rPr>
        <w:t>Level: Master's · Duration: 16 months online</w:t>
      </w:r>
    </w:p>
    <w:p>
      <w:pPr>
        <w:pStyle w:val="Heading3"/>
      </w:pPr>
      <w:r>
        <w:t>Quick Highlights</w:t>
      </w:r>
    </w:p>
    <w:p>
      <w:pPr>
        <w:pStyle w:val="ListBullet"/>
      </w:pPr>
      <w:r>
        <w:t>Rushford Business School</w:t>
      </w:r>
    </w:p>
    <w:p>
      <w:pPr>
        <w:pStyle w:val="ListBullet"/>
      </w:pPr>
      <w:r>
        <w:t>16 months online</w:t>
      </w:r>
    </w:p>
    <w:p>
      <w:pPr>
        <w:pStyle w:val="ListBullet"/>
      </w:pPr>
      <w:r>
        <w:t>90 ECTS</w:t>
      </w:r>
    </w:p>
    <w:p>
      <w:pPr>
        <w:pStyle w:val="ListBullet"/>
      </w:pPr>
      <w:r>
        <w:t>Evening classes</w:t>
      </w:r>
    </w:p>
    <w:p>
      <w:pPr>
        <w:pStyle w:val="ListBullet"/>
      </w:pPr>
      <w:r>
        <w:t>Capstone project</w:t>
      </w:r>
    </w:p>
    <w:p>
      <w:pPr>
        <w:pStyle w:val="ListBullet"/>
      </w:pPr>
      <w:r>
        <w:t>Scholarship available</w:t>
      </w:r>
    </w:p>
    <w:p>
      <w:pPr>
        <w:pStyle w:val="Heading2"/>
      </w:pPr>
      <w:r>
        <w:t>Programme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MBA</w:t>
            </w:r>
          </w:p>
        </w:tc>
      </w:tr>
      <w:tr>
        <w:tc>
          <w:tcPr>
            <w:tcW w:type="dxa" w:w="3118"/>
          </w:tcPr>
          <w:p>
            <w:r>
              <w:rPr>
                <w:b/>
                <w:sz w:val="20"/>
              </w:rPr>
              <w:t>Awarding University</w:t>
            </w:r>
          </w:p>
        </w:tc>
        <w:tc>
          <w:tcPr>
            <w:tcW w:type="dxa" w:w="4320"/>
          </w:tcPr>
          <w:p>
            <w:r>
              <w:rPr>
                <w:sz w:val="20"/>
              </w:rPr>
              <w:t>Rushford Business School, Switzerland</w:t>
            </w:r>
          </w:p>
        </w:tc>
      </w:tr>
      <w:tr>
        <w:tc>
          <w:tcPr>
            <w:tcW w:type="dxa" w:w="3118"/>
          </w:tcPr>
          <w:p>
            <w:r>
              <w:rPr>
                <w:b/>
                <w:sz w:val="20"/>
              </w:rPr>
              <w:t>Duration</w:t>
            </w:r>
          </w:p>
        </w:tc>
        <w:tc>
          <w:tcPr>
            <w:tcW w:type="dxa" w:w="4320"/>
          </w:tcPr>
          <w:p>
            <w:r>
              <w:rPr>
                <w:sz w:val="20"/>
              </w:rPr>
              <w:t>16 months</w:t>
            </w:r>
          </w:p>
        </w:tc>
      </w:tr>
      <w:tr>
        <w:tc>
          <w:tcPr>
            <w:tcW w:type="dxa" w:w="3118"/>
          </w:tcPr>
          <w:p>
            <w:r>
              <w:rPr>
                <w:b/>
                <w:sz w:val="20"/>
              </w:rPr>
              <w:t>Assessments</w:t>
            </w:r>
          </w:p>
        </w:tc>
        <w:tc>
          <w:tcPr>
            <w:tcW w:type="dxa" w:w="4320"/>
          </w:tcPr>
          <w:p>
            <w:r>
              <w:rPr>
                <w:sz w:val="20"/>
              </w:rPr>
              <w:t>Assignments, projects and a capstone</w:t>
            </w:r>
          </w:p>
        </w:tc>
      </w:tr>
      <w:tr>
        <w:tc>
          <w:tcPr>
            <w:tcW w:type="dxa" w:w="3118"/>
          </w:tcPr>
          <w:p>
            <w:r>
              <w:rPr>
                <w:b/>
                <w:sz w:val="20"/>
              </w:rPr>
              <w:t>Study Mode</w:t>
            </w:r>
          </w:p>
        </w:tc>
        <w:tc>
          <w:tcPr>
            <w:tcW w:type="dxa" w:w="4320"/>
          </w:tcPr>
          <w:p>
            <w:r>
              <w:rPr>
                <w:sz w:val="20"/>
              </w:rPr>
              <w:t>Online, evenings and weekends</w:t>
            </w:r>
          </w:p>
        </w:tc>
      </w:tr>
      <w:tr>
        <w:tc>
          <w:tcPr>
            <w:tcW w:type="dxa" w:w="3118"/>
          </w:tcPr>
          <w:p>
            <w:r>
              <w:rPr>
                <w:b/>
                <w:sz w:val="20"/>
              </w:rPr>
              <w:t>Credits</w:t>
            </w:r>
          </w:p>
        </w:tc>
        <w:tc>
          <w:tcPr>
            <w:tcW w:type="dxa" w:w="4320"/>
          </w:tcPr>
          <w:p>
            <w:r>
              <w:rPr>
                <w:sz w:val="20"/>
              </w:rPr>
              <w:t>90 ECTS across 27 courses</w:t>
            </w:r>
          </w:p>
        </w:tc>
      </w:tr>
    </w:tbl>
    <w:p>
      <w:r>
        <w:rPr>
          <w:b/>
        </w:rPr>
        <w:t xml:space="preserve">Note: </w:t>
      </w:r>
      <w:r>
        <w:t>Fee and intake details are issued per intake, in writing, before payment. Ask for the written version, because it is the only one that counts.</w:t>
      </w:r>
    </w:p>
    <w:p>
      <w:pPr>
        <w:pStyle w:val="Heading2"/>
      </w:pPr>
      <w:r>
        <w:t>Programme Overview</w:t>
      </w:r>
    </w:p>
    <w:p>
      <w:r>
        <w:t>HR stopped being a back-office function somewhere around the time retention became a board topic. This MBA treats it that way: the Rushford management core comes first, then a specialisation covering HR strategy, people management, organizational change, talent, engagement, and HR's role in international business and M&amp;A.</w:t>
      </w:r>
    </w:p>
    <w:p>
      <w:r>
        <w:t>The format assumes you have a job, and a busy one. Courses run in three-week blocks in the evenings, assessments mirror real HR work, and the capstone can take a live problem straight from your organisation. Plenty of students finish with a talent or engagement plan their employer ended up adopting, which is as good a result as any grade.</w:t>
      </w:r>
    </w:p>
    <w:p>
      <w:pPr>
        <w:pStyle w:val="Heading2"/>
      </w:pPr>
      <w:r>
        <w:t>Why Choose This Programme</w:t>
      </w:r>
    </w:p>
    <w:p>
      <w:r>
        <w:rPr>
          <w:b/>
        </w:rPr>
        <w:t>Keep the role you are upgrading from</w:t>
      </w:r>
    </w:p>
    <w:p>
      <w:r>
        <w:t>Evening sessions, three-week courses, fully online. The degree was scheduled around working lives on purpose.</w:t>
      </w:r>
    </w:p>
    <w:p>
      <w:r>
        <w:rPr>
          <w:b/>
        </w:rPr>
        <w:t>Emiratisation made HR strategic</w:t>
      </w:r>
    </w:p>
    <w:p>
      <w:r>
        <w:t>Every private company with 50 or more staff has annual Emirati hiring targets, and MOHRE now enforces them with data. Someone qualified has to run that file.</w:t>
      </w:r>
    </w:p>
    <w:p>
      <w:r>
        <w:rPr>
          <w:b/>
        </w:rPr>
        <w:t>The syllabus covers the messy parts</w:t>
      </w:r>
    </w:p>
    <w:p>
      <w:r>
        <w:t>Organizational change, HR in M&amp;A, performance and reward. The subjects that separate an HR manager from an HR leader.</w:t>
      </w:r>
    </w:p>
    <w:p>
      <w:r>
        <w:rPr>
          <w:b/>
        </w:rPr>
        <w:t>The award is the full thing</w:t>
      </w:r>
    </w:p>
    <w:p>
      <w:r>
        <w:t>27 courses and a capstone, 90 ECTS total, certificate from Rushford Business School, Switzerland.</w:t>
      </w:r>
    </w:p>
    <w:p>
      <w:r>
        <w:rPr>
          <w:b/>
        </w:rPr>
        <w:t>Pay monthly, in dirhams, interest-free</w:t>
      </w:r>
    </w:p>
    <w:p>
      <w:r>
        <w:t>Instalments sit against your salary date, and the plan is written down before it starts.</w:t>
      </w:r>
    </w:p>
    <w:p>
      <w:r>
        <w:rPr>
          <w:b/>
        </w:rPr>
        <w:t>Real people, locally</w:t>
      </w:r>
    </w:p>
    <w:p>
      <w:r>
        <w:t>A named success coach for the degree and Sharjah-based advisors who answer on WhatsApp. Usually within the day.</w:t>
      </w:r>
    </w:p>
    <w:p>
      <w:r>
        <w:rPr>
          <w:b/>
        </w:rPr>
        <w:t>Closing line:</w:t>
      </w:r>
      <w:r>
        <w:t xml:space="preserve"> The certificate is issued by Rushford Business School, Switzerland. The better question is what you do with it in the first six months, and that part is yours.</w:t>
      </w:r>
    </w:p>
    <w:p>
      <w:pPr>
        <w:pStyle w:val="Heading2"/>
      </w:pPr>
      <w:r>
        <w:t>What You Will Learn</w:t>
      </w:r>
    </w:p>
    <w:p>
      <w:pPr>
        <w:pStyle w:val="ListNumber"/>
      </w:pPr>
      <w:r>
        <w:t>Build HR strategy that a CFO will fund</w:t>
      </w:r>
    </w:p>
    <w:p>
      <w:pPr>
        <w:pStyle w:val="ListNumber"/>
      </w:pPr>
      <w:r>
        <w:t>Manage people through restructures and growth without losing the good ones</w:t>
      </w:r>
    </w:p>
    <w:p>
      <w:pPr>
        <w:pStyle w:val="ListNumber"/>
      </w:pPr>
      <w:r>
        <w:t>Run talent management as a system, not a series of lucky hires</w:t>
      </w:r>
    </w:p>
    <w:p>
      <w:pPr>
        <w:pStyle w:val="ListNumber"/>
      </w:pPr>
      <w:r>
        <w:t>Design performance and reward schemes that change behaviour</w:t>
      </w:r>
    </w:p>
    <w:p>
      <w:pPr>
        <w:pStyle w:val="ListNumber"/>
      </w:pPr>
      <w:r>
        <w:t>Handle HR due diligence when a merger lands on your desk</w:t>
      </w:r>
    </w:p>
    <w:p>
      <w:pPr>
        <w:pStyle w:val="ListNumber"/>
      </w:pPr>
      <w:r>
        <w:t>Manage HR across borders and employment laws</w:t>
      </w:r>
    </w:p>
    <w:p>
      <w:pPr>
        <w:pStyle w:val="ListNumber"/>
      </w:pPr>
      <w:r>
        <w:t>Turn engagement data into decisions the business can trace</w:t>
      </w:r>
    </w:p>
    <w:p>
      <w:pPr>
        <w:pStyle w:val="ListNumber"/>
      </w:pPr>
      <w:r>
        <w:t>Deliver a capstone that solves a live people problem at work</w:t>
      </w:r>
    </w:p>
    <w:p>
      <w:pPr>
        <w:pStyle w:val="Heading2"/>
      </w:pPr>
      <w:r>
        <w:t>Career Opportunities</w:t>
      </w:r>
    </w:p>
    <w:p>
      <w:pPr>
        <w:pStyle w:val="ListBullet"/>
      </w:pPr>
      <w:r>
        <w:t>Human Resource Manager</w:t>
      </w:r>
    </w:p>
    <w:p>
      <w:pPr>
        <w:pStyle w:val="ListBullet"/>
      </w:pPr>
      <w:r>
        <w:t>Talent Acquisition Specialist</w:t>
      </w:r>
    </w:p>
    <w:p>
      <w:pPr>
        <w:pStyle w:val="ListBullet"/>
      </w:pPr>
      <w:r>
        <w:t>Organizational Development Consultant</w:t>
      </w:r>
    </w:p>
    <w:p>
      <w:pPr>
        <w:pStyle w:val="ListBullet"/>
      </w:pPr>
      <w:r>
        <w:t>Training and Development Manager</w:t>
      </w:r>
    </w:p>
    <w:p>
      <w:pPr>
        <w:pStyle w:val="ListBullet"/>
      </w:pPr>
      <w:r>
        <w:t>Human Resource Business Partner</w:t>
      </w:r>
    </w:p>
    <w:p>
      <w:pPr>
        <w:pStyle w:val="ListBullet"/>
      </w:pPr>
      <w:r>
        <w:t>Human Resource Consultant</w:t>
      </w:r>
    </w:p>
    <w:p>
      <w:pPr>
        <w:pStyle w:val="ListBullet"/>
      </w:pPr>
      <w:r>
        <w:t>Compensation and Benefits Manager</w:t>
      </w:r>
    </w:p>
    <w:p>
      <w:pPr>
        <w:pStyle w:val="ListBullet"/>
      </w:pPr>
      <w:r>
        <w:t>People Analytics Lead</w:t>
      </w:r>
    </w:p>
    <w:p>
      <w:pPr>
        <w:pStyle w:val="ListBullet"/>
      </w:pPr>
      <w:r>
        <w:t>Emiratisation Programme Lead</w:t>
      </w:r>
    </w:p>
    <w:p>
      <w:pPr>
        <w:pStyle w:val="ListBullet"/>
      </w:pPr>
      <w:r>
        <w:t>Learning and Development Manager</w:t>
      </w:r>
    </w:p>
    <w:p>
      <w:pPr>
        <w:pStyle w:val="Heading2"/>
      </w:pPr>
      <w:r>
        <w:t>Programme Structure</w:t>
      </w:r>
    </w:p>
    <w:p>
      <w:r>
        <w:t>Your journey, stage by stage</w:t>
      </w:r>
    </w:p>
    <w:p>
      <w:r>
        <w:t>Four stages: foundations, business core, the HR specialisation, and a capstone on a real people problem.</w:t>
      </w:r>
    </w:p>
    <w:p>
      <w:pPr>
        <w:pStyle w:val="Heading3"/>
        <w:spacing w:before="200"/>
      </w:pPr>
      <w:r>
        <w:t>Stage 1 · Management foundations</w:t>
      </w:r>
    </w:p>
    <w:p>
      <w:pPr>
        <w:pStyle w:val="ListBullet"/>
      </w:pPr>
      <w:r>
        <w:t>Managerial Economics</w:t>
      </w:r>
    </w:p>
    <w:p>
      <w:pPr>
        <w:pStyle w:val="ListBullet"/>
      </w:pPr>
      <w:r>
        <w:t>Managerial Skills</w:t>
      </w:r>
    </w:p>
    <w:p>
      <w:pPr>
        <w:pStyle w:val="ListBullet"/>
      </w:pPr>
      <w:r>
        <w:t>Accounting for Financial Reporting</w:t>
      </w:r>
    </w:p>
    <w:p>
      <w:pPr>
        <w:pStyle w:val="ListBullet"/>
      </w:pPr>
      <w:r>
        <w:t>Accounting for Managerial Decisions</w:t>
      </w:r>
    </w:p>
    <w:p>
      <w:pPr>
        <w:pStyle w:val="ListBullet"/>
      </w:pPr>
      <w:r>
        <w:t>Business Analytics</w:t>
      </w:r>
    </w:p>
    <w:p>
      <w:pPr>
        <w:pStyle w:val="ListBullet"/>
      </w:pPr>
      <w:r>
        <w:t>Financial Management</w:t>
      </w:r>
    </w:p>
    <w:p>
      <w:pPr>
        <w:pStyle w:val="Heading3"/>
        <w:spacing w:before="200"/>
      </w:pPr>
      <w:r>
        <w:t>Stage 2 · Business core</w:t>
      </w:r>
    </w:p>
    <w:p>
      <w:pPr>
        <w:pStyle w:val="ListBullet"/>
      </w:pPr>
      <w:r>
        <w:t>Operations Management: Productivity &amp; Quality</w:t>
      </w:r>
    </w:p>
    <w:p>
      <w:pPr>
        <w:pStyle w:val="ListBullet"/>
      </w:pPr>
      <w:r>
        <w:t>International Business Environment</w:t>
      </w:r>
    </w:p>
    <w:p>
      <w:pPr>
        <w:pStyle w:val="ListBullet"/>
      </w:pPr>
      <w:r>
        <w:t>Leadership and Managing Human Capital</w:t>
      </w:r>
    </w:p>
    <w:p>
      <w:pPr>
        <w:pStyle w:val="ListBullet"/>
      </w:pPr>
      <w:r>
        <w:t>Marketing Management</w:t>
      </w:r>
    </w:p>
    <w:p>
      <w:pPr>
        <w:pStyle w:val="ListBullet"/>
      </w:pPr>
      <w:r>
        <w:t>Financial Statement Analysis</w:t>
      </w:r>
    </w:p>
    <w:p>
      <w:pPr>
        <w:pStyle w:val="ListBullet"/>
      </w:pPr>
      <w:r>
        <w:t>Corporate Social Responsibility, Ethics &amp; Law</w:t>
      </w:r>
    </w:p>
    <w:p>
      <w:pPr>
        <w:pStyle w:val="ListBullet"/>
      </w:pPr>
      <w:r>
        <w:t>Strategic Management: Integrating the Enterprise</w:t>
      </w:r>
    </w:p>
    <w:p>
      <w:pPr>
        <w:pStyle w:val="Heading3"/>
        <w:spacing w:before="200"/>
      </w:pPr>
      <w:r>
        <w:t>Stage 3 · The HR specialisation</w:t>
      </w:r>
    </w:p>
    <w:p>
      <w:pPr>
        <w:pStyle w:val="ListBullet"/>
      </w:pPr>
      <w:r>
        <w:t>Principles of Human Resource Management</w:t>
      </w:r>
    </w:p>
    <w:p>
      <w:pPr>
        <w:pStyle w:val="ListBullet"/>
      </w:pPr>
      <w:r>
        <w:t>Advanced Human Resource Development</w:t>
      </w:r>
    </w:p>
    <w:p>
      <w:pPr>
        <w:pStyle w:val="ListBullet"/>
      </w:pPr>
      <w:r>
        <w:t>HRM Strategy</w:t>
      </w:r>
    </w:p>
    <w:p>
      <w:pPr>
        <w:pStyle w:val="ListBullet"/>
      </w:pPr>
      <w:r>
        <w:t>Organizational Change</w:t>
      </w:r>
    </w:p>
    <w:p>
      <w:pPr>
        <w:pStyle w:val="ListBullet"/>
      </w:pPr>
      <w:r>
        <w:t>People Management</w:t>
      </w:r>
    </w:p>
    <w:p>
      <w:pPr>
        <w:pStyle w:val="ListBullet"/>
      </w:pPr>
      <w:r>
        <w:t>Human Resource in International Business</w:t>
      </w:r>
    </w:p>
    <w:p>
      <w:pPr>
        <w:pStyle w:val="ListBullet"/>
      </w:pPr>
      <w:r>
        <w:t>Electives from: Performance Management and Reward, Employee Engagement, Role of Human Resources in M&amp;A, Talent Management</w:t>
      </w:r>
    </w:p>
    <w:p>
      <w:pPr>
        <w:pStyle w:val="Heading3"/>
        <w:spacing w:before="200"/>
      </w:pPr>
      <w:r>
        <w:t>Stage 4 · The capstone</w:t>
      </w:r>
    </w:p>
    <w:p>
      <w:pPr>
        <w:pStyle w:val="ListBullet"/>
      </w:pPr>
      <w:r>
        <w:t>Capstone Project on a live HR challenge</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One success coach, from induction to the award letter</w:t>
            </w:r>
          </w:p>
        </w:tc>
      </w:tr>
      <w:tr>
        <w:tc>
          <w:tcPr>
            <w:tcW w:type="dxa" w:w="3118"/>
          </w:tcPr>
          <w:p>
            <w:r>
              <w:rPr>
                <w:b/>
                <w:sz w:val="20"/>
              </w:rPr>
              <w:t>Flexible learning</w:t>
            </w:r>
          </w:p>
        </w:tc>
        <w:tc>
          <w:tcPr>
            <w:tcW w:type="dxa" w:w="4320"/>
          </w:tcPr>
          <w:p>
            <w:r>
              <w:rPr>
                <w:sz w:val="20"/>
              </w:rPr>
              <w:t>Evening and weekend sessions on Gulf time, recordings for the bad weeks</w:t>
            </w:r>
          </w:p>
        </w:tc>
      </w:tr>
      <w:tr>
        <w:tc>
          <w:tcPr>
            <w:tcW w:type="dxa" w:w="3118"/>
          </w:tcPr>
          <w:p>
            <w:r>
              <w:rPr>
                <w:b/>
                <w:sz w:val="20"/>
              </w:rPr>
              <w:t>Assignment support</w:t>
            </w:r>
          </w:p>
        </w:tc>
        <w:tc>
          <w:tcPr>
            <w:tcW w:type="dxa" w:w="4320"/>
          </w:tcPr>
          <w:p>
            <w:r>
              <w:rPr>
                <w:sz w:val="20"/>
              </w:rPr>
              <w:t>Feedback on the HR plans themselves, formatting aside</w:t>
            </w:r>
          </w:p>
        </w:tc>
      </w:tr>
      <w:tr>
        <w:tc>
          <w:tcPr>
            <w:tcW w:type="dxa" w:w="3118"/>
          </w:tcPr>
          <w:p>
            <w:r>
              <w:rPr>
                <w:b/>
                <w:sz w:val="20"/>
              </w:rPr>
              <w:t>Affordable instalments</w:t>
            </w:r>
          </w:p>
        </w:tc>
        <w:tc>
          <w:tcPr>
            <w:tcW w:type="dxa" w:w="4320"/>
          </w:tcPr>
          <w:p>
            <w:r>
              <w:rPr>
                <w:sz w:val="20"/>
              </w:rPr>
              <w:t>AED monthly payments, interest-free, agreed in writing</w:t>
            </w:r>
          </w:p>
        </w:tc>
      </w:tr>
      <w:tr>
        <w:tc>
          <w:tcPr>
            <w:tcW w:type="dxa" w:w="3118"/>
          </w:tcPr>
          <w:p>
            <w:r>
              <w:rPr>
                <w:b/>
                <w:sz w:val="20"/>
              </w:rPr>
              <w:t>Career guidance</w:t>
            </w:r>
          </w:p>
        </w:tc>
        <w:tc>
          <w:tcPr>
            <w:tcW w:type="dxa" w:w="4320"/>
          </w:tcPr>
          <w:p>
            <w:r>
              <w:rPr>
                <w:sz w:val="20"/>
              </w:rPr>
              <w:t>Advisors who track Gulf HR hiring, from HRBP roles to Emiratisation leads</w:t>
            </w:r>
          </w:p>
        </w:tc>
      </w:tr>
      <w:tr>
        <w:tc>
          <w:tcPr>
            <w:tcW w:type="dxa" w:w="3118"/>
          </w:tcPr>
          <w:p>
            <w:r>
              <w:rPr>
                <w:b/>
                <w:sz w:val="20"/>
              </w:rPr>
              <w:t>Documentation assistance</w:t>
            </w:r>
          </w:p>
        </w:tc>
        <w:tc>
          <w:tcPr>
            <w:tcW w:type="dxa" w:w="4320"/>
          </w:tcPr>
          <w:p>
            <w:r>
              <w:rPr>
                <w:sz w:val="20"/>
              </w:rPr>
              <w:t>Enrolment done with you, one document at a time</w:t>
            </w:r>
          </w:p>
        </w:tc>
      </w:tr>
    </w:tbl>
    <w:p>
      <w:pPr>
        <w:pStyle w:val="Heading2"/>
      </w:pPr>
      <w:r>
        <w:t>Why GCC Professionals Choose This Programme</w:t>
      </w:r>
    </w:p>
    <w:p>
      <w:r>
        <w:rPr>
          <w:b/>
        </w:rPr>
        <w:t>From your desk, not a campus</w:t>
      </w:r>
    </w:p>
    <w:p>
      <w:r>
        <w:t>Fully online, no visa, no career break. The UAE keeps your salary moving while the specialisation builds.</w:t>
      </w:r>
    </w:p>
    <w:p>
      <w:r>
        <w:rPr>
          <w:b/>
        </w:rPr>
        <w:t>Emiratisation is a compliance job now</w:t>
      </w:r>
    </w:p>
    <w:p>
      <w:r>
        <w:t>Under Cabinet Resolution No. 18 of 2022, private firms with 50 or more staff must grow their Emirati skilled workforce annually, and MOHRE monitors it with penalties for non-compliance. That is a permanent demand for qualified HR.</w:t>
      </w:r>
    </w:p>
    <w:p>
      <w:r>
        <w:rPr>
          <w:b/>
        </w:rPr>
        <w:t>Talent is the scarcest thing in the Gulf</w:t>
      </w:r>
    </w:p>
    <w:p>
      <w:r>
        <w:t>With expatriates making up the large majority of Dubai's population, attraction and retention are the business. Employers across the GCC still report skills gaps.</w:t>
      </w:r>
    </w:p>
    <w:p>
      <w:r>
        <w:rPr>
          <w:b/>
        </w:rPr>
        <w:t>Retention is a board topic</w:t>
      </w:r>
    </w:p>
    <w:p>
      <w:r>
        <w:t>Surveys of UAE workers keep showing a large share actively looking for new roles while employed. Companies respond by professionalizing HR, which means hiring people with formal training.</w:t>
      </w:r>
    </w:p>
    <w:p>
      <w:r>
        <w:rPr>
          <w:b/>
        </w:rPr>
        <w:t>Skills-based hiring is spreading</w:t>
      </w:r>
    </w:p>
    <w:p>
      <w:r>
        <w:t>Gulf employers are shifting from credential screening to skills-based hiring, and HR teams are the ones who have to build those systems.</w:t>
      </w:r>
    </w:p>
    <w:p>
      <w:r>
        <w:rPr>
          <w:b/>
        </w:rPr>
        <w:t>The capstone lands in your workplace</w:t>
      </w:r>
    </w:p>
    <w:p>
      <w:r>
        <w:t>Take the final project from your own organisation and finish with a people plan that has already been tested where it will be used.</w:t>
      </w:r>
    </w:p>
    <w:p>
      <w:r>
        <w:rPr>
          <w:b/>
        </w:rPr>
        <w:t>Honest take</w:t>
      </w:r>
    </w:p>
    <w:p>
      <w:r>
        <w:t>an HR MBA opens doors, but it does not replace the CIPD or SHRM certifications some employers ask for in specialist roles. Think of this as the leadership layer on top of your practice, and plan the certificates alongside it if your target role needs them.</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Itemised within the full structure before payment</w:t>
            </w:r>
          </w:p>
        </w:tc>
      </w:tr>
      <w:tr>
        <w:tc>
          <w:tcPr>
            <w:tcW w:type="dxa" w:w="3118"/>
          </w:tcPr>
          <w:p>
            <w:r>
              <w:rPr>
                <w:b/>
                <w:sz w:val="20"/>
              </w:rPr>
              <w:t>Initial Payment</w:t>
            </w:r>
          </w:p>
        </w:tc>
        <w:tc>
          <w:tcPr>
            <w:tcW w:type="dxa" w:w="4320"/>
          </w:tcPr>
          <w:p>
            <w:r>
              <w:rPr>
                <w:sz w:val="20"/>
              </w:rPr>
              <w:t>Confirmed in writing before anything is charged</w:t>
            </w:r>
          </w:p>
        </w:tc>
      </w:tr>
      <w:tr>
        <w:tc>
          <w:tcPr>
            <w:tcW w:type="dxa" w:w="3118"/>
          </w:tcPr>
          <w:p>
            <w:r>
              <w:rPr>
                <w:b/>
                <w:sz w:val="20"/>
              </w:rPr>
              <w:t>Monthly Instalments</w:t>
            </w:r>
          </w:p>
        </w:tc>
        <w:tc>
          <w:tcPr>
            <w:tcW w:type="dxa" w:w="4320"/>
          </w:tcPr>
          <w:p>
            <w:r>
              <w:rPr>
                <w:sz w:val="20"/>
              </w:rPr>
              <w:t>AED, interest-free, matched to salary dates</w:t>
            </w:r>
          </w:p>
        </w:tc>
      </w:tr>
      <w:tr>
        <w:tc>
          <w:tcPr>
            <w:tcW w:type="dxa" w:w="3118"/>
          </w:tcPr>
          <w:p>
            <w:r>
              <w:rPr>
                <w:b/>
                <w:sz w:val="20"/>
              </w:rPr>
              <w:t>Scholarship Availability</w:t>
            </w:r>
          </w:p>
        </w:tc>
        <w:tc>
          <w:tcPr>
            <w:tcW w:type="dxa" w:w="4320"/>
          </w:tcPr>
          <w:p>
            <w:r>
              <w:rPr>
                <w:sz w:val="20"/>
              </w:rPr>
              <w:t>Possible for strong profiles; advisor confirms eligibility</w:t>
            </w:r>
          </w:p>
        </w:tc>
      </w:tr>
      <w:tr>
        <w:tc>
          <w:tcPr>
            <w:tcW w:type="dxa" w:w="3118"/>
          </w:tcPr>
          <w:p>
            <w:r>
              <w:rPr>
                <w:b/>
                <w:sz w:val="20"/>
              </w:rPr>
              <w:t>Offer Validity</w:t>
            </w:r>
          </w:p>
        </w:tc>
        <w:tc>
          <w:tcPr>
            <w:tcW w:type="dxa" w:w="4320"/>
          </w:tcPr>
          <w:p>
            <w:r>
              <w:rPr>
                <w:sz w:val="20"/>
              </w:rPr>
              <w:t>Early-bird pricing is per intake, so check before the window closes</w:t>
            </w:r>
          </w:p>
        </w:tc>
      </w:tr>
    </w:tbl>
    <w:p>
      <w:r>
        <w:rPr>
          <w:b/>
        </w:rPr>
        <w:t xml:space="preserve">Request the fee structure: </w:t>
      </w:r>
      <w:r>
        <w:t>Fees depend on the intake and the study mode, which is why no fixed figure is printed here. Request the personal breakdown from admissions; it is free and commits you to nothing. Across our Master's programmes, totals usually sit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