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Healthcare Leadership</w:t>
      </w:r>
    </w:p>
    <w:p>
      <w:pPr>
        <w:pStyle w:val="Heading2"/>
      </w:pPr>
      <w:r>
        <w:t>SEO</w:t>
      </w:r>
    </w:p>
    <w:p>
      <w:r>
        <w:rPr>
          <w:b/>
        </w:rPr>
        <w:t xml:space="preserve">Meta Title: </w:t>
      </w:r>
      <w:r>
        <w:t>MBA in Healthcare Leadership Online | Rushford | Maverick</w:t>
      </w:r>
    </w:p>
    <w:p>
      <w:r>
        <w:rPr>
          <w:b/>
        </w:rPr>
        <w:t xml:space="preserve">Meta Description: </w:t>
      </w:r>
      <w:r>
        <w:t>16-month online MBA in Healthcare Leadership from Rushford Business School. Policy, operations, patient experience. 90 ECTS, AED instalments. Enquire now.</w:t>
      </w:r>
    </w:p>
    <w:p>
      <w:pPr>
        <w:pStyle w:val="Heading2"/>
      </w:pPr>
      <w:r>
        <w:t>Hero</w:t>
      </w:r>
    </w:p>
    <w:p>
      <w:r>
        <w:rPr>
          <w:sz w:val="22"/>
        </w:rPr>
        <w:t>Hospitals do not fail for lack of doctors; they fail for lack of leadership that understands both care and commerce. This 16-month online MBA from Rushford Business School trains that leadership, and you complete it from the UAE without leaving your post.</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Each intake has its own fee sheet and calendar. Both arrive in writing before any payment, which is when you should ask every question you have.</w:t>
      </w:r>
    </w:p>
    <w:p>
      <w:pPr>
        <w:pStyle w:val="Heading2"/>
      </w:pPr>
      <w:r>
        <w:t>Programme Overview</w:t>
      </w:r>
    </w:p>
    <w:p>
      <w:r>
        <w:t>Healthcare leadership sits on an uncomfortable fence: patient outcomes on one side, budgets, policy, and regulation on the other. This MBA is for the people expected to stand on that fence. After the Rushford management core, the specialisation works through healthcare economics, policy, information systems, ethics and medicolegal issues, telemedicine, and the emotional intelligence that evidence-based, patient-centered care actually demands.</w:t>
      </w:r>
    </w:p>
    <w:p>
      <w:r>
        <w:t>The format was built for clinicians and administrators who cannot stop working, because most of them cannot. Three-week courses, evening sessions, and a capstone that can be taken straight from your facility: a service line, a quality problem, a policy question. In a sector this regulated, the choice of problem will not be hard.</w:t>
      </w:r>
    </w:p>
    <w:p>
      <w:pPr>
        <w:pStyle w:val="Heading2"/>
      </w:pPr>
      <w:r>
        <w:t>Why Choose This Programme</w:t>
      </w:r>
    </w:p>
    <w:p>
      <w:r>
        <w:rPr>
          <w:b/>
        </w:rPr>
        <w:t>Your shift schedule survives the degree</w:t>
      </w:r>
    </w:p>
    <w:p>
      <w:r>
        <w:t>Evenings, three-week courses, fully online. The programme assumes you are still on the rota.</w:t>
      </w:r>
    </w:p>
    <w:p>
      <w:r>
        <w:rPr>
          <w:b/>
        </w:rPr>
        <w:t>The sector is being rebuilt around leaders</w:t>
      </w:r>
    </w:p>
    <w:p>
      <w:r>
        <w:t>The UAE keeps opening and expanding healthcare facilities. Expansion means new departments, and departments need heads.</w:t>
      </w:r>
    </w:p>
    <w:p>
      <w:r>
        <w:rPr>
          <w:b/>
        </w:rPr>
        <w:t>It covers the uncomfortable subjects</w:t>
      </w:r>
    </w:p>
    <w:p>
      <w:r>
        <w:t>Medicolegal issues, health economics, policy. The topics most business degrees ignore and most hospitals need daily.</w:t>
      </w:r>
    </w:p>
    <w:p>
      <w:r>
        <w:rPr>
          <w:b/>
        </w:rPr>
        <w:t>A complete Swiss award</w:t>
      </w:r>
    </w:p>
    <w:p>
      <w:r>
        <w:t>27 courses and a capstone, 90 ECTS total. Rushford Business School, Switzerland, signs the certificate.</w:t>
      </w:r>
    </w:p>
    <w:p>
      <w:r>
        <w:rPr>
          <w:b/>
        </w:rPr>
        <w:t>Dirhams, monthly, without interest</w:t>
      </w:r>
    </w:p>
    <w:p>
      <w:r>
        <w:t>Instalments sit against salary dates, with the schedule written down first.</w:t>
      </w:r>
    </w:p>
    <w:p>
      <w:r>
        <w:rPr>
          <w:b/>
        </w:rPr>
        <w:t>Advisors in your time zone</w:t>
      </w:r>
    </w:p>
    <w:p>
      <w:r>
        <w:t>A named success coach for the degree, and Sharjah-based advisors reachable by visit or WhatsApp.</w:t>
      </w:r>
    </w:p>
    <w:p>
      <w:r>
        <w:rPr>
          <w:b/>
        </w:rPr>
        <w:t>Closing line:</w:t>
      </w:r>
      <w:r>
        <w:t xml:space="preserve"> Rushford Business School, Switzerland, issues the certificate. The patient experience improvements it should lead to are on you, and that is the part worth the effort.</w:t>
      </w:r>
    </w:p>
    <w:p>
      <w:pPr>
        <w:pStyle w:val="Heading2"/>
      </w:pPr>
      <w:r>
        <w:t>What You Will Learn</w:t>
      </w:r>
    </w:p>
    <w:p>
      <w:pPr>
        <w:pStyle w:val="ListNumber"/>
      </w:pPr>
      <w:r>
        <w:t>Lead healthcare operations with both clinical and commercial judgment</w:t>
      </w:r>
    </w:p>
    <w:p>
      <w:pPr>
        <w:pStyle w:val="ListNumber"/>
      </w:pPr>
      <w:r>
        <w:t>Navigate healthcare policy and the regulatory environment it creates</w:t>
      </w:r>
    </w:p>
    <w:p>
      <w:pPr>
        <w:pStyle w:val="ListNumber"/>
      </w:pPr>
      <w:r>
        <w:t>Manage information systems without letting them manage you</w:t>
      </w:r>
    </w:p>
    <w:p>
      <w:pPr>
        <w:pStyle w:val="ListNumber"/>
      </w:pPr>
      <w:r>
        <w:t>Handle ethics and medicolegal questions before they become incidents</w:t>
      </w:r>
    </w:p>
    <w:p>
      <w:pPr>
        <w:pStyle w:val="ListNumber"/>
      </w:pPr>
      <w:r>
        <w:t>Evaluate telemedicine and technology change with evidence</w:t>
      </w:r>
    </w:p>
    <w:p>
      <w:pPr>
        <w:pStyle w:val="ListNumber"/>
      </w:pPr>
      <w:r>
        <w:t>Balance patient satisfaction data against operational cost</w:t>
      </w:r>
    </w:p>
    <w:p>
      <w:pPr>
        <w:pStyle w:val="ListNumber"/>
      </w:pPr>
      <w:r>
        <w:t>Coordinate interdisciplinary teams across functions and shifts</w:t>
      </w:r>
    </w:p>
    <w:p>
      <w:pPr>
        <w:pStyle w:val="ListNumber"/>
      </w:pPr>
      <w:r>
        <w:t>Deliver a capstone on a live healthcare management problem</w:t>
      </w:r>
    </w:p>
    <w:p>
      <w:pPr>
        <w:pStyle w:val="Heading2"/>
      </w:pPr>
      <w:r>
        <w:t>Career Opportunities</w:t>
      </w:r>
    </w:p>
    <w:p>
      <w:pPr>
        <w:pStyle w:val="ListBullet"/>
      </w:pPr>
      <w:r>
        <w:t>Healthcare Executive</w:t>
      </w:r>
    </w:p>
    <w:p>
      <w:pPr>
        <w:pStyle w:val="ListBullet"/>
      </w:pPr>
      <w:r>
        <w:t>Hospital Operations Manager</w:t>
      </w:r>
    </w:p>
    <w:p>
      <w:pPr>
        <w:pStyle w:val="ListBullet"/>
      </w:pPr>
      <w:r>
        <w:t>Healthcare Policy Analyst</w:t>
      </w:r>
    </w:p>
    <w:p>
      <w:pPr>
        <w:pStyle w:val="ListBullet"/>
      </w:pPr>
      <w:r>
        <w:t>Clinical Services Manager</w:t>
      </w:r>
    </w:p>
    <w:p>
      <w:pPr>
        <w:pStyle w:val="ListBullet"/>
      </w:pPr>
      <w:r>
        <w:t>Health Insurance Manager</w:t>
      </w:r>
    </w:p>
    <w:p>
      <w:pPr>
        <w:pStyle w:val="ListBullet"/>
      </w:pPr>
      <w:r>
        <w:t>Quality and Patient Safety Manager</w:t>
      </w:r>
    </w:p>
    <w:p>
      <w:pPr>
        <w:pStyle w:val="ListBullet"/>
      </w:pPr>
      <w:r>
        <w:t>Healthcare Administrator</w:t>
      </w:r>
    </w:p>
    <w:p>
      <w:pPr>
        <w:pStyle w:val="ListBullet"/>
      </w:pPr>
      <w:r>
        <w:t>Medical Centre Director</w:t>
      </w:r>
    </w:p>
    <w:p>
      <w:pPr>
        <w:pStyle w:val="ListBullet"/>
      </w:pPr>
      <w:r>
        <w:t>Healthcare Consultant</w:t>
      </w:r>
    </w:p>
    <w:p>
      <w:pPr>
        <w:pStyle w:val="ListBullet"/>
      </w:pPr>
      <w:r>
        <w:t>Telehealth Programme Manager</w:t>
      </w:r>
    </w:p>
    <w:p>
      <w:pPr>
        <w:pStyle w:val="Heading2"/>
      </w:pPr>
      <w:r>
        <w:t>Programme Structure</w:t>
      </w:r>
    </w:p>
    <w:p>
      <w:r>
        <w:t>Your journey, stage by stage</w:t>
      </w:r>
    </w:p>
    <w:p>
      <w:r>
        <w:t>Four stages: management foundations, the business core, the healthcare leadership specialisation, and a capstone on a live problem from the sector.</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healthcare leadership specialisation</w:t>
      </w:r>
    </w:p>
    <w:p>
      <w:pPr>
        <w:pStyle w:val="ListBullet"/>
      </w:pPr>
      <w:r>
        <w:t>Healthcare economics and funding models</w:t>
      </w:r>
    </w:p>
    <w:p>
      <w:pPr>
        <w:pStyle w:val="ListBullet"/>
      </w:pPr>
      <w:r>
        <w:t>Healthcare policy and regulatory frameworks</w:t>
      </w:r>
    </w:p>
    <w:p>
      <w:pPr>
        <w:pStyle w:val="ListBullet"/>
      </w:pPr>
      <w:r>
        <w:t>Health information management systems</w:t>
      </w:r>
    </w:p>
    <w:p>
      <w:pPr>
        <w:pStyle w:val="ListBullet"/>
      </w:pPr>
      <w:r>
        <w:t>Ethics and medicolegal practice</w:t>
      </w:r>
    </w:p>
    <w:p>
      <w:pPr>
        <w:pStyle w:val="ListBullet"/>
      </w:pPr>
      <w:r>
        <w:t>Telemedicine and technological change</w:t>
      </w:r>
    </w:p>
    <w:p>
      <w:pPr>
        <w:pStyle w:val="ListBullet"/>
      </w:pPr>
      <w:r>
        <w:t>Patient experience, interdisciplinary collaboration, and evidence-based care</w:t>
      </w:r>
    </w:p>
    <w:p>
      <w:pPr>
        <w:pStyle w:val="Heading3"/>
        <w:spacing w:before="200"/>
      </w:pPr>
      <w:r>
        <w:t>Stage 4 · The capstone</w:t>
      </w:r>
    </w:p>
    <w:p>
      <w:pPr>
        <w:pStyle w:val="ListBullet"/>
      </w:pPr>
      <w:r>
        <w:t>Capstone Project on a live healthcare leadership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Evening and weekend sessions on Gulf time, recordings included</w:t>
            </w:r>
          </w:p>
        </w:tc>
      </w:tr>
      <w:tr>
        <w:tc>
          <w:tcPr>
            <w:tcW w:type="dxa" w:w="3118"/>
          </w:tcPr>
          <w:p>
            <w:r>
              <w:rPr>
                <w:b/>
                <w:sz w:val="20"/>
              </w:rPr>
              <w:t>Assignment support</w:t>
            </w:r>
          </w:p>
        </w:tc>
        <w:tc>
          <w:tcPr>
            <w:tcW w:type="dxa" w:w="4320"/>
          </w:tcPr>
          <w:p>
            <w:r>
              <w:rPr>
                <w:sz w:val="20"/>
              </w:rPr>
              <w:t>Feedback on healthcare cases and policy briefs, handled seriously</w:t>
            </w:r>
          </w:p>
        </w:tc>
      </w:tr>
      <w:tr>
        <w:tc>
          <w:tcPr>
            <w:tcW w:type="dxa" w:w="3118"/>
          </w:tcPr>
          <w:p>
            <w:r>
              <w:rPr>
                <w:b/>
                <w:sz w:val="20"/>
              </w:rPr>
              <w:t>Affordable instalments</w:t>
            </w:r>
          </w:p>
        </w:tc>
        <w:tc>
          <w:tcPr>
            <w:tcW w:type="dxa" w:w="4320"/>
          </w:tcPr>
          <w:p>
            <w:r>
              <w:rPr>
                <w:sz w:val="20"/>
              </w:rPr>
              <w:t>Interest-free AED monthly payments, agreed in writing</w:t>
            </w:r>
          </w:p>
        </w:tc>
      </w:tr>
      <w:tr>
        <w:tc>
          <w:tcPr>
            <w:tcW w:type="dxa" w:w="3118"/>
          </w:tcPr>
          <w:p>
            <w:r>
              <w:rPr>
                <w:b/>
                <w:sz w:val="20"/>
              </w:rPr>
              <w:t>Career guidance</w:t>
            </w:r>
          </w:p>
        </w:tc>
        <w:tc>
          <w:tcPr>
            <w:tcW w:type="dxa" w:w="4320"/>
          </w:tcPr>
          <w:p>
            <w:r>
              <w:rPr>
                <w:sz w:val="20"/>
              </w:rPr>
              <w:t>Advisors who track hospital and health system hiring in the Gulf</w:t>
            </w:r>
          </w:p>
        </w:tc>
      </w:tr>
      <w:tr>
        <w:tc>
          <w:tcPr>
            <w:tcW w:type="dxa" w:w="3118"/>
          </w:tcPr>
          <w:p>
            <w:r>
              <w:rPr>
                <w:b/>
                <w:sz w:val="20"/>
              </w:rPr>
              <w:t>Documentation assistance</w:t>
            </w:r>
          </w:p>
        </w:tc>
        <w:tc>
          <w:tcPr>
            <w:tcW w:type="dxa" w:w="4320"/>
          </w:tcPr>
          <w:p>
            <w:r>
              <w:rPr>
                <w:sz w:val="20"/>
              </w:rPr>
              <w:t>Enrolment handled with you, document by document</w:t>
            </w:r>
          </w:p>
        </w:tc>
      </w:tr>
    </w:tbl>
    <w:p>
      <w:pPr>
        <w:pStyle w:val="Heading2"/>
      </w:pPr>
      <w:r>
        <w:t>Why GCC Professionals Choose This Programme</w:t>
      </w:r>
    </w:p>
    <w:p>
      <w:r>
        <w:rPr>
          <w:b/>
        </w:rPr>
        <w:t>Study while you serve</w:t>
      </w:r>
    </w:p>
    <w:p>
      <w:r>
        <w:t>Fully online from the UAE or anywhere in the GCC. No visa, no career break, no gap in your clinical or administrative record.</w:t>
      </w:r>
    </w:p>
    <w:p>
      <w:r>
        <w:rPr>
          <w:b/>
        </w:rPr>
        <w:t>The market is expanding at 10% a year</w:t>
      </w:r>
    </w:p>
    <w:p>
      <w:r>
        <w:t>UAE healthcare keeps expanding year after year. Growth at that pace is a management problem as much as a clinical one.</w:t>
      </w:r>
    </w:p>
    <w:p>
      <w:r>
        <w:rPr>
          <w:b/>
        </w:rPr>
        <w:t>Insurance made everyone accountable</w:t>
      </w:r>
    </w:p>
    <w:p>
      <w:r>
        <w:t>With the national health insurance mandate in force since January 2025, providers answer to payers as well as patients. That doubles the need for leaders who understand both sides.</w:t>
      </w:r>
    </w:p>
    <w:p>
      <w:r>
        <w:rPr>
          <w:b/>
        </w:rPr>
        <w:t>The skills gap includes hospital corridors</w:t>
      </w:r>
    </w:p>
    <w:p>
      <w:r>
        <w:t>Across the Gulf, employers keep reporting shortages of qualified candidates, and healthcare administration is short on formally trained managers.</w:t>
      </w:r>
    </w:p>
    <w:p>
      <w:r>
        <w:rPr>
          <w:b/>
        </w:rPr>
        <w:t>Telemedicine is policy now, not novelty</w:t>
      </w:r>
    </w:p>
    <w:p>
      <w:r>
        <w:t>The specialisation treats telemedicine and technology change as management subjects, matching how Gulf health systems are actually deploying them.</w:t>
      </w:r>
    </w:p>
    <w:p>
      <w:r>
        <w:rPr>
          <w:b/>
        </w:rPr>
        <w:t>The capstone can improve your own facility</w:t>
      </w:r>
    </w:p>
    <w:p>
      <w:r>
        <w:t>Take the final project from your workplace and finish with a change proposal that has academic weight and operational context.</w:t>
      </w:r>
    </w:p>
    <w:p>
      <w:r>
        <w:rPr>
          <w:b/>
        </w:rPr>
        <w:t>Honest take</w:t>
      </w:r>
    </w:p>
    <w:p>
      <w:r>
        <w:t>this degree builds the management side of healthcare careers. Clinical licensing stays with your professional authority, and no MBA changes that, so plan the two tracks side by side.</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Shown inside the full fee structure before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timed to salary dates</w:t>
            </w:r>
          </w:p>
        </w:tc>
      </w:tr>
      <w:tr>
        <w:tc>
          <w:tcPr>
            <w:tcW w:type="dxa" w:w="3118"/>
          </w:tcPr>
          <w:p>
            <w:r>
              <w:rPr>
                <w:b/>
                <w:sz w:val="20"/>
              </w:rPr>
              <w:t>Scholarship Availability</w:t>
            </w:r>
          </w:p>
        </w:tc>
        <w:tc>
          <w:tcPr>
            <w:tcW w:type="dxa" w:w="4320"/>
          </w:tcPr>
          <w:p>
            <w:r>
              <w:rPr>
                <w:sz w:val="20"/>
              </w:rPr>
              <w:t>Possible for strong profiles; your advisor confirms eligibility</w:t>
            </w:r>
          </w:p>
        </w:tc>
      </w:tr>
      <w:tr>
        <w:tc>
          <w:tcPr>
            <w:tcW w:type="dxa" w:w="3118"/>
          </w:tcPr>
          <w:p>
            <w:r>
              <w:rPr>
                <w:b/>
                <w:sz w:val="20"/>
              </w:rPr>
              <w:t>Offer Validity</w:t>
            </w:r>
          </w:p>
        </w:tc>
        <w:tc>
          <w:tcPr>
            <w:tcW w:type="dxa" w:w="4320"/>
          </w:tcPr>
          <w:p>
            <w:r>
              <w:rPr>
                <w:sz w:val="20"/>
              </w:rPr>
              <w:t>Early-bird pricing moves with each intake, so check the window</w:t>
            </w:r>
          </w:p>
        </w:tc>
      </w:tr>
    </w:tbl>
    <w:p>
      <w:r>
        <w:rPr>
          <w:b/>
        </w:rPr>
        <w:t xml:space="preserve">Request the fee structure: </w:t>
      </w:r>
      <w:r>
        <w:t>Fees depend on intake and study mode, which is why no fixed number appears on this page. Admissions sends a personal breakdown on request,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