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MSc in Counselling Psychology</w:t>
      </w:r>
    </w:p>
    <w:p>
      <w:r>
        <w:rPr>
          <w:color w:val="555C66"/>
        </w:rPr>
        <w:t>Duration: 8 to 18 months · pace confirmed per admission · Format: Thesis-based postgraduate degree · Delivery: Online, supported through the regional partner network</w:t>
      </w:r>
    </w:p>
    <w:p>
      <w:pPr>
        <w:pStyle w:val="Heading2"/>
      </w:pPr>
      <w:r>
        <w:t>SEO</w:t>
      </w:r>
    </w:p>
    <w:p>
      <w:r>
        <w:rPr>
          <w:b/>
        </w:rPr>
        <w:t xml:space="preserve">Meta title: </w:t>
      </w:r>
      <w:r>
        <w:t>MSc Counselling Psychology UAE | Thesis-Based Degree</w:t>
      </w:r>
    </w:p>
    <w:p>
      <w:r>
        <w:rPr>
          <w:b/>
        </w:rPr>
        <w:t xml:space="preserve">Meta description: </w:t>
      </w:r>
      <w:r>
        <w:t>GAU MSc in Counselling Psychology, thesis-based, online, 8 to 18 months. Research-led study in a growing field. Fees confirmed in writing.</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Awarded by</w:t>
            </w:r>
          </w:p>
        </w:tc>
        <w:tc>
          <w:tcPr>
            <w:tcW w:type="dxa" w:w="4320"/>
          </w:tcPr>
          <w:p>
            <w:r>
              <w:rPr>
                <w:sz w:val="20"/>
              </w:rPr>
              <w:t>Girne American University, North Cyprus</w:t>
            </w:r>
          </w:p>
        </w:tc>
      </w:tr>
      <w:tr>
        <w:tc>
          <w:tcPr>
            <w:tcW w:type="dxa" w:w="3118"/>
          </w:tcPr>
          <w:p>
            <w:r>
              <w:rPr>
                <w:b/>
                <w:sz w:val="20"/>
              </w:rPr>
              <w:t>Recognition</w:t>
            </w:r>
          </w:p>
        </w:tc>
        <w:tc>
          <w:tcPr>
            <w:tcW w:type="dxa" w:w="4320"/>
          </w:tcPr>
          <w:p>
            <w:r>
              <w:rPr>
                <w:sz w:val="20"/>
              </w:rPr>
              <w:t>YÖDAK and YÖK accredited; IACBE member school</w:t>
            </w:r>
          </w:p>
        </w:tc>
      </w:tr>
      <w:tr>
        <w:tc>
          <w:tcPr>
            <w:tcW w:type="dxa" w:w="3118"/>
          </w:tcPr>
          <w:p>
            <w:r>
              <w:rPr>
                <w:b/>
                <w:sz w:val="20"/>
              </w:rPr>
              <w:t>Duration</w:t>
            </w:r>
          </w:p>
        </w:tc>
        <w:tc>
          <w:tcPr>
            <w:tcW w:type="dxa" w:w="4320"/>
          </w:tcPr>
          <w:p>
            <w:r>
              <w:rPr>
                <w:sz w:val="20"/>
              </w:rPr>
              <w:t>8 to 18 months, depending on pace</w:t>
            </w:r>
          </w:p>
        </w:tc>
      </w:tr>
      <w:tr>
        <w:tc>
          <w:tcPr>
            <w:tcW w:type="dxa" w:w="3118"/>
          </w:tcPr>
          <w:p>
            <w:r>
              <w:rPr>
                <w:b/>
                <w:sz w:val="20"/>
              </w:rPr>
              <w:t>Structure</w:t>
            </w:r>
          </w:p>
        </w:tc>
        <w:tc>
          <w:tcPr>
            <w:tcW w:type="dxa" w:w="4320"/>
          </w:tcPr>
          <w:p>
            <w:r>
              <w:rPr>
                <w:sz w:val="20"/>
              </w:rPr>
              <w:t>Core coursework, electives, then a supervised thesis</w:t>
            </w:r>
          </w:p>
        </w:tc>
      </w:tr>
      <w:tr>
        <w:tc>
          <w:tcPr>
            <w:tcW w:type="dxa" w:w="3118"/>
          </w:tcPr>
          <w:p>
            <w:r>
              <w:rPr>
                <w:b/>
                <w:sz w:val="20"/>
              </w:rPr>
              <w:t>Credits</w:t>
            </w:r>
          </w:p>
        </w:tc>
        <w:tc>
          <w:tcPr>
            <w:tcW w:type="dxa" w:w="4320"/>
          </w:tcPr>
          <w:p>
            <w:r>
              <w:rPr>
                <w:sz w:val="20"/>
              </w:rPr>
              <w:t>Confirmed per admission, issued in writing</w:t>
            </w:r>
          </w:p>
        </w:tc>
      </w:tr>
      <w:tr>
        <w:tc>
          <w:tcPr>
            <w:tcW w:type="dxa" w:w="3118"/>
          </w:tcPr>
          <w:p>
            <w:r>
              <w:rPr>
                <w:b/>
                <w:sz w:val="20"/>
              </w:rPr>
              <w:t>Best fit</w:t>
            </w:r>
          </w:p>
        </w:tc>
        <w:tc>
          <w:tcPr>
            <w:tcW w:type="dxa" w:w="4320"/>
          </w:tcPr>
          <w:p>
            <w:r>
              <w:rPr>
                <w:sz w:val="20"/>
              </w:rPr>
              <w:t>Professionals moving deeper into mental health work and research</w:t>
            </w:r>
          </w:p>
        </w:tc>
      </w:tr>
    </w:tbl>
    <w:p>
      <w:r>
        <w:t>Ten years ago, counselling was a niche conversation in the Gulf. Today the UAE mental health market is on its way from USD 1.5 billion to USD 2.7 billion, and the number of qualified people has not kept up. That gap is exactly where this degree points.</w:t>
      </w:r>
    </w:p>
    <w:p>
      <w:pPr>
        <w:pStyle w:val="Heading2"/>
      </w:pPr>
      <w:r>
        <w:t>Programme Overview</w:t>
      </w:r>
    </w:p>
    <w:p>
      <w:r>
        <w:t>Counselling psychology attracts two kinds of students: those who want to help people, and those who want credentials on a wall. A thesis-based MSc filters for a third kind, the one who wants to understand the evidence behind what helps, and be able to test it. The Girne American University MSc in Counselling Psychology sequences taught coursework in psychological foundations and research methods, then gives you a supervised thesis to run and defend.</w:t>
      </w:r>
    </w:p>
    <w:p>
      <w:r>
        <w:t>What you finish with is not a licence and nobody should tell you otherwise. What you finish with is a recognised postgraduate qualification with original research attached, which opens doors into support roles, research posts, organisational wellbeing work, and doctoral study. If clinical practice is your destination, this degree is a strong academic foundation on that path, and we will be straight with you about the licensing steps that sit on top of it.</w:t>
      </w:r>
    </w:p>
    <w:p>
      <w:pPr>
        <w:pStyle w:val="Heading2"/>
      </w:pPr>
      <w:r>
        <w:t>Why Choose This Programme</w:t>
      </w:r>
    </w:p>
    <w:p>
      <w:r>
        <w:rPr>
          <w:b/>
        </w:rPr>
        <w:t>The shortage is measurable</w:t>
      </w:r>
    </w:p>
    <w:p>
      <w:r>
        <w:t>The UAE's specialist-to-patient ratio in mental health sits well below international benchmarks, and demand keeps climbing while qualified supply lags.</w:t>
      </w:r>
    </w:p>
    <w:p>
      <w:r>
        <w:rPr>
          <w:b/>
        </w:rPr>
        <w:t>Research depth beyond theory</w:t>
      </w:r>
    </w:p>
    <w:p>
      <w:r>
        <w:t>A supervised thesis defended before a committee means you graduate with original work alongside the completed courses.</w:t>
      </w:r>
    </w:p>
    <w:p>
      <w:r>
        <w:rPr>
          <w:b/>
        </w:rPr>
        <w:t>A genuine route to doctoral study</w:t>
      </w:r>
    </w:p>
    <w:p>
      <w:r>
        <w:t>A recognised thesis MSc is the conventional prerequisite for PhD and professional doctorate programmes, and this one follows that convention.</w:t>
      </w:r>
    </w:p>
    <w:p>
      <w:r>
        <w:rPr>
          <w:b/>
        </w:rPr>
        <w:t>Accreditation that travels</w:t>
      </w:r>
    </w:p>
    <w:p>
      <w:r>
        <w:t>GAU carries YÖDAK and YÖK accreditation plus IACBE membership, which reads cleanly on applications across the GCC and beyond.</w:t>
      </w:r>
    </w:p>
    <w:p>
      <w:r>
        <w:rPr>
          <w:b/>
        </w:rPr>
        <w:t>Built around working lives</w:t>
      </w:r>
    </w:p>
    <w:p>
      <w:r>
        <w:t>Coursework is scheduled for working professionals, and the thesis phase runs on your supervision calendar.</w:t>
      </w:r>
    </w:p>
    <w:p>
      <w:r>
        <w:rPr>
          <w:b/>
        </w:rPr>
        <w:t>The stigma curve is bending</w:t>
      </w:r>
    </w:p>
    <w:p>
      <w:r>
        <w:t>Regional awareness campaigns and telehealth expansion have changed who seeks help and how often. The sector needs trained people faster than it is producing them.</w:t>
      </w:r>
    </w:p>
    <w:p>
      <w:r>
        <w:rPr>
          <w:b/>
        </w:rPr>
        <w:t xml:space="preserve">Honest take: </w:t>
      </w:r>
      <w:r>
        <w:t>this is an academic postgraduate degree. Practising as a licensed counsellor or psychologist in the UAE also requires professional licensing with the relevant health authority, and that process is separate from the degree itself.</w:t>
      </w:r>
    </w:p>
    <w:p>
      <w:pPr>
        <w:pStyle w:val="Heading2"/>
      </w:pPr>
      <w:r>
        <w:t>What You Will Learn</w:t>
      </w:r>
    </w:p>
    <w:p>
      <w:pPr>
        <w:pStyle w:val="ListBullet"/>
      </w:pPr>
      <w:r>
        <w:t>Frame a counselling psychology research question with ethical rigour</w:t>
      </w:r>
    </w:p>
    <w:p>
      <w:pPr>
        <w:pStyle w:val="ListBullet"/>
      </w:pPr>
      <w:r>
        <w:t>Apply quantitative and qualitative methods to human-behaviour research</w:t>
      </w:r>
    </w:p>
    <w:p>
      <w:pPr>
        <w:pStyle w:val="ListBullet"/>
      </w:pPr>
      <w:r>
        <w:t>Read psychological literature critically and keep your scepticism</w:t>
      </w:r>
    </w:p>
    <w:p>
      <w:pPr>
        <w:pStyle w:val="ListBullet"/>
      </w:pPr>
      <w:r>
        <w:t>Understand major counselling frameworks and the evidence behind them</w:t>
      </w:r>
    </w:p>
    <w:p>
      <w:pPr>
        <w:pStyle w:val="ListBullet"/>
      </w:pPr>
      <w:r>
        <w:t>Design and run a supervised study from proposal to defence</w:t>
      </w:r>
    </w:p>
    <w:p>
      <w:pPr>
        <w:pStyle w:val="ListBullet"/>
      </w:pPr>
      <w:r>
        <w:t>Write for an examining committee without flattening your voice</w:t>
      </w:r>
    </w:p>
    <w:p>
      <w:pPr>
        <w:pStyle w:val="ListBullet"/>
      </w:pPr>
      <w:r>
        <w:t>Apply findings to Gulf cultural contexts with sensitivity</w:t>
      </w:r>
    </w:p>
    <w:p>
      <w:pPr>
        <w:pStyle w:val="ListBullet"/>
      </w:pPr>
      <w:r>
        <w:t>Distinguish what the evidence supports from what sounds convincing</w:t>
      </w:r>
    </w:p>
    <w:p>
      <w:pPr>
        <w:pStyle w:val="Heading2"/>
      </w:pPr>
      <w:r>
        <w:t>Career Opportunities</w:t>
      </w:r>
    </w:p>
    <w:p>
      <w:pPr>
        <w:pStyle w:val="ListBullet"/>
      </w:pPr>
      <w:r>
        <w:t>Wellbeing coordinator</w:t>
      </w:r>
    </w:p>
    <w:p>
      <w:pPr>
        <w:pStyle w:val="ListBullet"/>
      </w:pPr>
      <w:r>
        <w:t>employee assistance programme manager</w:t>
      </w:r>
    </w:p>
    <w:p>
      <w:pPr>
        <w:pStyle w:val="ListBullet"/>
      </w:pPr>
      <w:r>
        <w:t>research assistant</w:t>
      </w:r>
    </w:p>
    <w:p>
      <w:pPr>
        <w:pStyle w:val="ListBullet"/>
      </w:pPr>
      <w:r>
        <w:t>academic support specialist</w:t>
      </w:r>
    </w:p>
    <w:p>
      <w:pPr>
        <w:pStyle w:val="ListBullet"/>
      </w:pPr>
      <w:r>
        <w:t>community programme officer</w:t>
      </w:r>
    </w:p>
    <w:p>
      <w:pPr>
        <w:pStyle w:val="ListBullet"/>
      </w:pPr>
      <w:r>
        <w:t>HR and people development specialist</w:t>
      </w:r>
    </w:p>
    <w:p>
      <w:pPr>
        <w:pStyle w:val="ListBullet"/>
      </w:pPr>
      <w:r>
        <w:t>lecturer</w:t>
      </w:r>
    </w:p>
    <w:p>
      <w:pPr>
        <w:pStyle w:val="ListBullet"/>
      </w:pPr>
      <w:r>
        <w:t>doctoral candidate</w:t>
      </w:r>
    </w:p>
    <w:p>
      <w:pPr>
        <w:pStyle w:val="ListBullet"/>
      </w:pPr>
      <w:r>
        <w:t>NGO programme manager</w:t>
      </w:r>
    </w:p>
    <w:p>
      <w:pPr>
        <w:pStyle w:val="ListBullet"/>
      </w:pPr>
      <w:r>
        <w:t>counselling services researcher.</w:t>
      </w:r>
    </w:p>
    <w:p>
      <w:r>
        <w:t>Roles are market-standard and reflect where graduates with this academic profile move. Direct clinical or counselling practice in the UAE requires separate professional licensing with the relevant health authority, and the degree strengthens your academic standing rather than replacing that requirement.</w:t>
      </w:r>
    </w:p>
    <w:p>
      <w:pPr>
        <w:pStyle w:val="Heading2"/>
      </w:pPr>
      <w:r>
        <w:t>Programme Structure</w:t>
      </w:r>
    </w:p>
    <w:p>
      <w:pPr>
        <w:pStyle w:val="Heading3"/>
      </w:pPr>
      <w:r>
        <w:t>Stage one: taught core (months 1 to 6)</w:t>
      </w:r>
    </w:p>
    <w:p>
      <w:r>
        <w:t>Core courses in psychological foundations, counselling frameworks, and research methods. The cohort builds shared grounding here.</w:t>
      </w:r>
    </w:p>
    <w:p>
      <w:pPr>
        <w:pStyle w:val="Heading3"/>
      </w:pPr>
      <w:r>
        <w:t>Stage two: electives and methods (months 4 to 10)</w:t>
      </w:r>
    </w:p>
    <w:p>
      <w:r>
        <w:t>Electives let you lean toward topics that match your interests, while the methods sequence prepares you to design your own study.</w:t>
      </w:r>
    </w:p>
    <w:p>
      <w:pPr>
        <w:pStyle w:val="Heading3"/>
      </w:pPr>
      <w:r>
        <w:t>Stage three: thesis (months 8 to 18)</w:t>
      </w:r>
    </w:p>
    <w:p>
      <w:r>
        <w:t>Proposal, supervised research, writing, and defence before a faculty committee. Most candidates spend four to six months on the thesis once the proposal is approved.</w:t>
      </w:r>
    </w:p>
    <w:p>
      <w:pPr>
        <w:pStyle w:val="Heading2"/>
      </w:pPr>
      <w:r>
        <w:t>Why Study Through Maverick</w:t>
      </w:r>
    </w:p>
    <w:p>
      <w:pPr>
        <w:pStyle w:val="ListBullet"/>
      </w:pPr>
      <w:r>
        <w:t>Regional admissions team in Sharjah, reachable by phone and WhatsApp</w:t>
      </w:r>
    </w:p>
    <w:p>
      <w:pPr>
        <w:pStyle w:val="ListBullet"/>
      </w:pPr>
      <w:r>
        <w:t>Supervisor matching and academic guidance through the thesis phase</w:t>
      </w:r>
    </w:p>
    <w:p>
      <w:pPr>
        <w:pStyle w:val="ListBullet"/>
      </w:pPr>
      <w:r>
        <w:t>Written confirmation of fees, dates, and requirements before payment</w:t>
      </w:r>
    </w:p>
    <w:p>
      <w:pPr>
        <w:pStyle w:val="ListBullet"/>
      </w:pPr>
      <w:r>
        <w:t>Instalment plans in AED</w:t>
      </w:r>
    </w:p>
    <w:p>
      <w:pPr>
        <w:pStyle w:val="ListBullet"/>
      </w:pPr>
      <w:r>
        <w:t>Career conversations anchored in your research, not generic listings</w:t>
      </w:r>
    </w:p>
    <w:p>
      <w:pPr>
        <w:pStyle w:val="ListBullet"/>
      </w:pPr>
      <w:r>
        <w:t>English-language support where transcripts or essays need it</w:t>
      </w:r>
    </w:p>
    <w:p>
      <w:pPr>
        <w:pStyle w:val="Heading2"/>
      </w:pPr>
      <w:r>
        <w:t>GCC Market Context</w:t>
      </w:r>
    </w:p>
    <w:p>
      <w:pPr>
        <w:pStyle w:val="ListBullet"/>
      </w:pPr>
      <w:r>
        <w:t>The UAE mental health market is valued at USD 1.5 billion in 2025 and projected to reach USD 2.7 billion by 2031, a 12% CAGR (Ken Research).</w:t>
      </w:r>
    </w:p>
    <w:p>
      <w:pPr>
        <w:pStyle w:val="ListBullet"/>
      </w:pPr>
      <w:r>
        <w:t>The specialist-to-patient ratio in UAE mental health services falls well below international standards, per Bonafide Research.</w:t>
      </w:r>
    </w:p>
    <w:p>
      <w:pPr>
        <w:pStyle w:val="ListBullet"/>
      </w:pPr>
      <w:r>
        <w:t>Government awareness campaigns and telehealth expansion have lifted demand for trained professionals across the Emirates.</w:t>
      </w:r>
    </w:p>
    <w:p>
      <w:pPr>
        <w:pStyle w:val="ListBullet"/>
      </w:pPr>
      <w:r>
        <w:t>Employer wellbeing programmes and EAP services are growing across the GCC, creating non-clinical roles for psychology graduates.</w:t>
      </w:r>
    </w:p>
    <w:p>
      <w:pPr>
        <w:pStyle w:val="ListBullet"/>
      </w:pPr>
      <w:r>
        <w:t>Doctoral study interest in psychology is rising regionally; a recognised thesis MSc is the standard prerequisite.</w:t>
      </w:r>
    </w:p>
    <w:p>
      <w:pPr>
        <w:pStyle w:val="Heading2"/>
      </w:pPr>
      <w:r>
        <w:t>Fees &amp; Scholarships</w:t>
      </w:r>
    </w:p>
    <w:p>
      <w:pPr>
        <w:pStyle w:val="ListBullet"/>
      </w:pPr>
      <w:r>
        <w:t>Programme fee range across the portfolio: AED 16,000 to AED 40,000</w:t>
      </w:r>
    </w:p>
    <w:p>
      <w:pPr>
        <w:pStyle w:val="ListBullet"/>
      </w:pPr>
      <w:r>
        <w:t>Exact fee for this programme: confirmed in writing at admission</w:t>
      </w:r>
    </w:p>
    <w:p>
      <w:pPr>
        <w:pStyle w:val="ListBullet"/>
      </w:pPr>
      <w:r>
        <w:t>Instalments in AED available</w:t>
      </w:r>
    </w:p>
    <w:p>
      <w:pPr>
        <w:pStyle w:val="ListBullet"/>
      </w:pPr>
      <w:r>
        <w:t>No hidden charges; everything documented before payment</w:t>
      </w:r>
    </w:p>
    <w:p>
      <w:pPr>
        <w:pStyle w:val="ListBullet"/>
      </w:pPr>
      <w:r>
        <w:t>Employer sponsorship letters supported on request</w:t>
      </w:r>
    </w:p>
    <w:p>
      <w:r>
        <w:t>The written quote arrives before any payment commitment. Every programme we place runs this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