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MSc in Strategic Management</w:t>
      </w:r>
    </w:p>
    <w:p>
      <w:pPr>
        <w:pStyle w:val="Heading2"/>
      </w:pPr>
      <w:r>
        <w:t>SEO</w:t>
      </w:r>
    </w:p>
    <w:p>
      <w:r>
        <w:rPr>
          <w:b/>
        </w:rPr>
        <w:t xml:space="preserve">Meta Title: </w:t>
      </w:r>
      <w:r>
        <w:t>MSc in Strategic Management Online | Rushford | Maverick</w:t>
      </w:r>
    </w:p>
    <w:p>
      <w:r>
        <w:rPr>
          <w:b/>
        </w:rPr>
        <w:t xml:space="preserve">Meta Description: </w:t>
      </w:r>
      <w:r>
        <w:t>12-month online MSc in Strategic Management from Rushford Business School. 60 ECTS, 15 courses, AED instalments. Enquire now.</w:t>
      </w:r>
    </w:p>
    <w:p>
      <w:pPr>
        <w:pStyle w:val="Heading2"/>
      </w:pPr>
      <w:r>
        <w:t>Hero</w:t>
      </w:r>
    </w:p>
    <w:p>
      <w:r>
        <w:rPr>
          <w:sz w:val="22"/>
        </w:rPr>
        <w:t>The difference between managing and leading is usually strategy. This 12-month online MSc from Rushford Business School closes that gap with fifteen focused courses, and you study it from the UAE without leaving your job.</w:t>
      </w:r>
    </w:p>
    <w:p>
      <w:r>
        <w:rPr>
          <w:color w:val="555C66"/>
        </w:rPr>
        <w:t>Level: Master's · Duration: 12 months online</w:t>
      </w:r>
    </w:p>
    <w:p>
      <w:pPr>
        <w:pStyle w:val="Heading3"/>
      </w:pPr>
      <w:r>
        <w:t>Quick Highlights</w:t>
      </w:r>
    </w:p>
    <w:p>
      <w:pPr>
        <w:pStyle w:val="ListBullet"/>
      </w:pPr>
      <w:r>
        <w:t>Rushford Business School</w:t>
      </w:r>
    </w:p>
    <w:p>
      <w:pPr>
        <w:pStyle w:val="ListBullet"/>
      </w:pPr>
      <w:r>
        <w:t>12 months online</w:t>
      </w:r>
    </w:p>
    <w:p>
      <w:pPr>
        <w:pStyle w:val="ListBullet"/>
      </w:pPr>
      <w:r>
        <w:t>60 ECTS</w:t>
      </w:r>
    </w:p>
    <w:p>
      <w:pPr>
        <w:pStyle w:val="ListBullet"/>
      </w:pPr>
      <w:r>
        <w:t>15 courses</w:t>
      </w:r>
    </w:p>
    <w:p>
      <w:pPr>
        <w:pStyle w:val="ListBullet"/>
      </w:pPr>
      <w:r>
        <w:t>Asynchronous study</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MSc</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12 months</w:t>
            </w:r>
          </w:p>
        </w:tc>
      </w:tr>
      <w:tr>
        <w:tc>
          <w:tcPr>
            <w:tcW w:type="dxa" w:w="3118"/>
          </w:tcPr>
          <w:p>
            <w:r>
              <w:rPr>
                <w:b/>
                <w:sz w:val="20"/>
              </w:rPr>
              <w:t>Assessments</w:t>
            </w:r>
          </w:p>
        </w:tc>
        <w:tc>
          <w:tcPr>
            <w:tcW w:type="dxa" w:w="4320"/>
          </w:tcPr>
          <w:p>
            <w:r>
              <w:rPr>
                <w:sz w:val="20"/>
              </w:rPr>
              <w:t>Assignments, projects and course assessments</w:t>
            </w:r>
          </w:p>
        </w:tc>
      </w:tr>
      <w:tr>
        <w:tc>
          <w:tcPr>
            <w:tcW w:type="dxa" w:w="3118"/>
          </w:tcPr>
          <w:p>
            <w:r>
              <w:rPr>
                <w:b/>
                <w:sz w:val="20"/>
              </w:rPr>
              <w:t>Study Mode</w:t>
            </w:r>
          </w:p>
        </w:tc>
        <w:tc>
          <w:tcPr>
            <w:tcW w:type="dxa" w:w="4320"/>
          </w:tcPr>
          <w:p>
            <w:r>
              <w:rPr>
                <w:sz w:val="20"/>
              </w:rPr>
              <w:t>Online, asynchronous on the e-Campus</w:t>
            </w:r>
          </w:p>
        </w:tc>
      </w:tr>
      <w:tr>
        <w:tc>
          <w:tcPr>
            <w:tcW w:type="dxa" w:w="3118"/>
          </w:tcPr>
          <w:p>
            <w:r>
              <w:rPr>
                <w:b/>
                <w:sz w:val="20"/>
              </w:rPr>
              <w:t>Credits</w:t>
            </w:r>
          </w:p>
        </w:tc>
        <w:tc>
          <w:tcPr>
            <w:tcW w:type="dxa" w:w="4320"/>
          </w:tcPr>
          <w:p>
            <w:r>
              <w:rPr>
                <w:sz w:val="20"/>
              </w:rPr>
              <w:t>60 ECTS across 15 courses</w:t>
            </w:r>
          </w:p>
        </w:tc>
      </w:tr>
    </w:tbl>
    <w:p>
      <w:r>
        <w:rPr>
          <w:b/>
        </w:rPr>
        <w:t xml:space="preserve">Note: </w:t>
      </w:r>
      <w:r>
        <w:t>Longer versions exist if you want more depth: 90 ECTS over 18 months, 120 ECTS over 24. Fees and dates are confirmed per intake, in writing, before payment.</w:t>
      </w:r>
    </w:p>
    <w:p>
      <w:pPr>
        <w:pStyle w:val="Heading2"/>
      </w:pPr>
      <w:r>
        <w:t>Programme Overview</w:t>
      </w:r>
    </w:p>
    <w:p>
      <w:r>
        <w:t>Strategy is taught everywhere and understood less often. This MSc treats it as a discipline with methods: five core management courses put the business fundamentals in place, then ten specialization courses work through strategy as formulation, implementation, evaluation, and governance, with the case-based approach Rushford uses across its strategy teaching.</w:t>
      </w:r>
    </w:p>
    <w:p>
      <w:r>
        <w:t>The whole degree runs asynchronously on the e-Campus. Fifteen courses of four ECTS each across twelve months, which suits consultants, analysts, and managers whose calendars do not include free weekdays (and whose travel calendars include even fewer). The research methodology inside the leadership block also makes this a sensible stepping stone to doctoral work later.</w:t>
      </w:r>
    </w:p>
    <w:p>
      <w:pPr>
        <w:pStyle w:val="Heading2"/>
      </w:pPr>
      <w:r>
        <w:t>Why Choose This Programme</w:t>
      </w:r>
    </w:p>
    <w:p>
      <w:r>
        <w:rPr>
          <w:b/>
        </w:rPr>
        <w:t>Twelve months to a Swiss MSc</w:t>
      </w:r>
    </w:p>
    <w:p>
      <w:r>
        <w:t>Sixty ECTS in a year. The fastest credible route on this site to a strategy credential.</w:t>
      </w:r>
    </w:p>
    <w:p>
      <w:r>
        <w:rPr>
          <w:b/>
        </w:rPr>
        <w:t>A specialization, in depth</w:t>
      </w:r>
    </w:p>
    <w:p>
      <w:r>
        <w:t>Ten of the fifteen courses are strategy-specific, which is a ratio most general degrees cannot match.</w:t>
      </w:r>
    </w:p>
    <w:p>
      <w:r>
        <w:rPr>
          <w:b/>
        </w:rPr>
        <w:t>The Gulf buys strategy constantly</w:t>
      </w:r>
    </w:p>
    <w:p>
      <w:r>
        <w:t>UAE management consulting was valued at USD 2.55 billion in 2025 and is forecast to reach USD 3.57 billion by 2031. Someone in every one of those engagements holds the analysis together.</w:t>
      </w:r>
    </w:p>
    <w:p>
      <w:r>
        <w:rPr>
          <w:b/>
        </w:rPr>
        <w:t>Asynchronous by design</w:t>
      </w:r>
    </w:p>
    <w:p>
      <w:r>
        <w:t>No fixed classroom hours. The e-Campus carries lectures, readings, simulations, and assessments around your schedule.</w:t>
      </w:r>
    </w:p>
    <w:p>
      <w:r>
        <w:rPr>
          <w:b/>
        </w:rPr>
        <w:t>Dirham instalments, interest-free</w:t>
      </w:r>
    </w:p>
    <w:p>
      <w:r>
        <w:t>Monthly AED payments matched to salary dates, agreed in writing first.</w:t>
      </w:r>
    </w:p>
    <w:p>
      <w:r>
        <w:rPr>
          <w:b/>
        </w:rPr>
        <w:t>Local support throughout</w:t>
      </w:r>
    </w:p>
    <w:p>
      <w:r>
        <w:t>One success coach for the year, and advisors in Sharjah available in person or on WhatsApp.</w:t>
      </w:r>
    </w:p>
    <w:p>
      <w:r>
        <w:rPr>
          <w:b/>
        </w:rPr>
        <w:t>Closing line:</w:t>
      </w:r>
      <w:r>
        <w:t xml:space="preserve"> Rushford Business School, Switzerland, awards the degree. The pace is yours; the discipline is the programme's.</w:t>
      </w:r>
    </w:p>
    <w:p>
      <w:pPr>
        <w:pStyle w:val="Heading2"/>
      </w:pPr>
      <w:r>
        <w:t>What You Will Learn</w:t>
      </w:r>
    </w:p>
    <w:p>
      <w:pPr>
        <w:pStyle w:val="ListNumber"/>
      </w:pPr>
      <w:r>
        <w:t>Diagnose an organization's strategic position with evidence</w:t>
      </w:r>
    </w:p>
    <w:p>
      <w:pPr>
        <w:pStyle w:val="ListNumber"/>
      </w:pPr>
      <w:r>
        <w:t>Formulate strategy that accounts for budgets, politics, and markets</w:t>
      </w:r>
    </w:p>
    <w:p>
      <w:pPr>
        <w:pStyle w:val="ListNumber"/>
      </w:pPr>
      <w:r>
        <w:t>Implement plans without losing them inside the org chart</w:t>
      </w:r>
    </w:p>
    <w:p>
      <w:pPr>
        <w:pStyle w:val="ListNumber"/>
      </w:pPr>
      <w:r>
        <w:t>Evaluate strategic outcomes and govern what comes next</w:t>
      </w:r>
    </w:p>
    <w:p>
      <w:pPr>
        <w:pStyle w:val="ListNumber"/>
      </w:pPr>
      <w:r>
        <w:t>Run case analysis until pattern recognition sets in</w:t>
      </w:r>
    </w:p>
    <w:p>
      <w:pPr>
        <w:pStyle w:val="ListNumber"/>
      </w:pPr>
      <w:r>
        <w:t>Use research methodology to test strategic claims</w:t>
      </w:r>
    </w:p>
    <w:p>
      <w:pPr>
        <w:pStyle w:val="ListNumber"/>
      </w:pPr>
      <w:r>
        <w:t>Communicate strategy to boards, teams, and clients alike</w:t>
      </w:r>
    </w:p>
    <w:p>
      <w:pPr>
        <w:pStyle w:val="ListNumber"/>
      </w:pPr>
      <w:r>
        <w:t>Complete assessments built around live strategic questions</w:t>
      </w:r>
    </w:p>
    <w:p>
      <w:pPr>
        <w:pStyle w:val="Heading2"/>
      </w:pPr>
      <w:r>
        <w:t>Career Opportunities</w:t>
      </w:r>
    </w:p>
    <w:p>
      <w:pPr>
        <w:pStyle w:val="ListBullet"/>
      </w:pPr>
      <w:r>
        <w:t>Strategy Analyst</w:t>
      </w:r>
    </w:p>
    <w:p>
      <w:pPr>
        <w:pStyle w:val="ListBullet"/>
      </w:pPr>
      <w:r>
        <w:t>Corporate Strategy Manager</w:t>
      </w:r>
    </w:p>
    <w:p>
      <w:pPr>
        <w:pStyle w:val="ListBullet"/>
      </w:pPr>
      <w:r>
        <w:t>Management Consultant</w:t>
      </w:r>
    </w:p>
    <w:p>
      <w:pPr>
        <w:pStyle w:val="ListBullet"/>
      </w:pPr>
      <w:r>
        <w:t>Business Analyst</w:t>
      </w:r>
    </w:p>
    <w:p>
      <w:pPr>
        <w:pStyle w:val="ListBullet"/>
      </w:pPr>
      <w:r>
        <w:t>Transformation Consultant</w:t>
      </w:r>
    </w:p>
    <w:p>
      <w:pPr>
        <w:pStyle w:val="ListBullet"/>
      </w:pPr>
      <w:r>
        <w:t>Strategy and Operations Lead</w:t>
      </w:r>
    </w:p>
    <w:p>
      <w:pPr>
        <w:pStyle w:val="ListBullet"/>
      </w:pPr>
      <w:r>
        <w:t>Market Research Manager</w:t>
      </w:r>
    </w:p>
    <w:p>
      <w:pPr>
        <w:pStyle w:val="ListBullet"/>
      </w:pPr>
      <w:r>
        <w:t>Programme Manager</w:t>
      </w:r>
    </w:p>
    <w:p>
      <w:pPr>
        <w:pStyle w:val="ListBullet"/>
      </w:pPr>
      <w:r>
        <w:t>Corporate Development Associate</w:t>
      </w:r>
    </w:p>
    <w:p>
      <w:pPr>
        <w:pStyle w:val="ListBullet"/>
      </w:pPr>
      <w:r>
        <w:t>Strategy Director</w:t>
      </w:r>
    </w:p>
    <w:p>
      <w:pPr>
        <w:pStyle w:val="Heading2"/>
      </w:pPr>
      <w:r>
        <w:t>Programme Structure</w:t>
      </w:r>
    </w:p>
    <w:p>
      <w:r>
        <w:t>Your journey, block by block</w:t>
      </w:r>
    </w:p>
    <w:p>
      <w:r>
        <w:t>Three blocks across fifteen courses: core management, the strategy foundation, and the leadership and research block.</w:t>
      </w:r>
    </w:p>
    <w:p>
      <w:pPr>
        <w:pStyle w:val="Heading3"/>
        <w:spacing w:before="200"/>
      </w:pPr>
      <w:r>
        <w:t>Block 1 · Core management (20 ECTS)</w:t>
      </w:r>
    </w:p>
    <w:p>
      <w:pPr>
        <w:pStyle w:val="ListBullet"/>
      </w:pPr>
      <w:r>
        <w:t>Transformational Management</w:t>
      </w:r>
    </w:p>
    <w:p>
      <w:pPr>
        <w:pStyle w:val="ListBullet"/>
      </w:pPr>
      <w:r>
        <w:t>Managerial Economics</w:t>
      </w:r>
    </w:p>
    <w:p>
      <w:pPr>
        <w:pStyle w:val="ListBullet"/>
      </w:pPr>
      <w:r>
        <w:t>Organisational Behaviour</w:t>
      </w:r>
    </w:p>
    <w:p>
      <w:pPr>
        <w:pStyle w:val="ListBullet"/>
      </w:pPr>
      <w:r>
        <w:t>Marketing in a Digital World</w:t>
      </w:r>
    </w:p>
    <w:p>
      <w:pPr>
        <w:pStyle w:val="ListBullet"/>
      </w:pPr>
      <w:r>
        <w:t>Accounting for Financial Reporting</w:t>
      </w:r>
    </w:p>
    <w:p>
      <w:pPr>
        <w:pStyle w:val="Heading3"/>
        <w:spacing w:before="200"/>
      </w:pPr>
      <w:r>
        <w:t>Block 2 · Strategy foundation (20 ECTS)</w:t>
      </w:r>
    </w:p>
    <w:p>
      <w:pPr>
        <w:pStyle w:val="ListBullet"/>
      </w:pPr>
      <w:r>
        <w:t>Ten specialization courses covering strategy formulation, implementation, evaluation, and governance, taught with the case method</w:t>
      </w:r>
    </w:p>
    <w:p>
      <w:pPr>
        <w:pStyle w:val="Heading3"/>
        <w:spacing w:before="200"/>
      </w:pPr>
      <w:r>
        <w:t>Block 3 · Leadership and research (20 ECTS plus electives)</w:t>
      </w:r>
    </w:p>
    <w:p>
      <w:pPr>
        <w:pStyle w:val="ListBullet"/>
      </w:pPr>
      <w:r>
        <w:t>Research Methodology</w:t>
      </w:r>
    </w:p>
    <w:p>
      <w:pPr>
        <w:pStyle w:val="ListBullet"/>
      </w:pPr>
      <w:r>
        <w:t>Business Analytics</w:t>
      </w:r>
    </w:p>
    <w:p>
      <w:pPr>
        <w:pStyle w:val="ListBullet"/>
      </w:pPr>
      <w:r>
        <w:t>Project Management</w:t>
      </w:r>
    </w:p>
    <w:p>
      <w:pPr>
        <w:pStyle w:val="ListBullet"/>
      </w:pPr>
      <w:r>
        <w:t>Corporate Social Responsibility: Ethics and Law</w:t>
      </w:r>
    </w:p>
    <w:p>
      <w:pPr>
        <w:pStyle w:val="ListBullet"/>
      </w:pPr>
      <w:r>
        <w:t>Leadership 20/40</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induction to the award letter</w:t>
            </w:r>
          </w:p>
        </w:tc>
      </w:tr>
      <w:tr>
        <w:tc>
          <w:tcPr>
            <w:tcW w:type="dxa" w:w="3118"/>
          </w:tcPr>
          <w:p>
            <w:r>
              <w:rPr>
                <w:b/>
                <w:sz w:val="20"/>
              </w:rPr>
              <w:t>Flexible learning</w:t>
            </w:r>
          </w:p>
        </w:tc>
        <w:tc>
          <w:tcPr>
            <w:tcW w:type="dxa" w:w="4320"/>
          </w:tcPr>
          <w:p>
            <w:r>
              <w:rPr>
                <w:sz w:val="20"/>
              </w:rPr>
              <w:t>Asynchronous e-Campus study, built for consultants and managers</w:t>
            </w:r>
          </w:p>
        </w:tc>
      </w:tr>
      <w:tr>
        <w:tc>
          <w:tcPr>
            <w:tcW w:type="dxa" w:w="3118"/>
          </w:tcPr>
          <w:p>
            <w:r>
              <w:rPr>
                <w:b/>
                <w:sz w:val="20"/>
              </w:rPr>
              <w:t>Assessment support</w:t>
            </w:r>
          </w:p>
        </w:tc>
        <w:tc>
          <w:tcPr>
            <w:tcW w:type="dxa" w:w="4320"/>
          </w:tcPr>
          <w:p>
            <w:r>
              <w:rPr>
                <w:sz w:val="20"/>
              </w:rPr>
              <w:t>Feedback on case work and strategic analyses, handled properly</w:t>
            </w:r>
          </w:p>
        </w:tc>
      </w:tr>
      <w:tr>
        <w:tc>
          <w:tcPr>
            <w:tcW w:type="dxa" w:w="3118"/>
          </w:tcPr>
          <w:p>
            <w:r>
              <w:rPr>
                <w:b/>
                <w:sz w:val="20"/>
              </w:rPr>
              <w:t>Affordable instalments</w:t>
            </w:r>
          </w:p>
        </w:tc>
        <w:tc>
          <w:tcPr>
            <w:tcW w:type="dxa" w:w="4320"/>
          </w:tcPr>
          <w:p>
            <w:r>
              <w:rPr>
                <w:sz w:val="20"/>
              </w:rPr>
              <w:t>Interest-free AED monthly payments, confirmed in writing</w:t>
            </w:r>
          </w:p>
        </w:tc>
      </w:tr>
      <w:tr>
        <w:tc>
          <w:tcPr>
            <w:tcW w:type="dxa" w:w="3118"/>
          </w:tcPr>
          <w:p>
            <w:r>
              <w:rPr>
                <w:b/>
                <w:sz w:val="20"/>
              </w:rPr>
              <w:t>Career guidance</w:t>
            </w:r>
          </w:p>
        </w:tc>
        <w:tc>
          <w:tcPr>
            <w:tcW w:type="dxa" w:w="4320"/>
          </w:tcPr>
          <w:p>
            <w:r>
              <w:rPr>
                <w:sz w:val="20"/>
              </w:rPr>
              <w:t>Advisors familiar with strategy and consulting hiring in the Gulf</w:t>
            </w:r>
          </w:p>
        </w:tc>
      </w:tr>
      <w:tr>
        <w:tc>
          <w:tcPr>
            <w:tcW w:type="dxa" w:w="3118"/>
          </w:tcPr>
          <w:p>
            <w:r>
              <w:rPr>
                <w:b/>
                <w:sz w:val="20"/>
              </w:rPr>
              <w:t>Documentation assistance</w:t>
            </w:r>
          </w:p>
        </w:tc>
        <w:tc>
          <w:tcPr>
            <w:tcW w:type="dxa" w:w="4320"/>
          </w:tcPr>
          <w:p>
            <w:r>
              <w:rPr>
                <w:sz w:val="20"/>
              </w:rPr>
              <w:t>Enrolment worked through with you, step by step</w:t>
            </w:r>
          </w:p>
        </w:tc>
      </w:tr>
    </w:tbl>
    <w:p>
      <w:pPr>
        <w:pStyle w:val="Heading2"/>
      </w:pPr>
      <w:r>
        <w:t>Why GCC Professionals Choose This Programme</w:t>
      </w:r>
    </w:p>
    <w:p>
      <w:r>
        <w:rPr>
          <w:b/>
        </w:rPr>
        <w:t>Study from your desk in the Gulf</w:t>
      </w:r>
    </w:p>
    <w:p>
      <w:r>
        <w:t>Fully online, no visa, no career break. The degree fits around billable hours, deadlines, and travel.</w:t>
      </w:r>
    </w:p>
    <w:p>
      <w:r>
        <w:rPr>
          <w:b/>
        </w:rPr>
        <w:t>Consulting demand keeps compounding</w:t>
      </w:r>
    </w:p>
    <w:p>
      <w:r>
        <w:t>Mordor Intelligence puts the UAE management consulting market at USD 2.55 billion in 2025, growing to USD 3.57 billion by 2031, with technology consulting the fastest-growing line.</w:t>
      </w:r>
    </w:p>
    <w:p>
      <w:r>
        <w:rPr>
          <w:b/>
        </w:rPr>
        <w:t>National agendas are strategy programmes</w:t>
      </w:r>
    </w:p>
    <w:p>
      <w:r>
        <w:t>Every Gulf government runs multi-year transformation agendas, and they staff them with people who can formulate and track strategy.</w:t>
      </w:r>
    </w:p>
    <w:p>
      <w:r>
        <w:rPr>
          <w:b/>
        </w:rPr>
        <w:t>The skills gap touches analysts too</w:t>
      </w:r>
    </w:p>
    <w:p>
      <w:r>
        <w:t>Taggd's 2026 GCC study reports nine in ten employers struggling to find qualified candidates, and structured strategic thinking is among the rarest.</w:t>
      </w:r>
    </w:p>
    <w:p>
      <w:r>
        <w:rPr>
          <w:b/>
        </w:rPr>
        <w:t>Twelve months suits senior calendars</w:t>
      </w:r>
    </w:p>
    <w:p>
      <w:r>
        <w:t>The asynchronous format means no sabbatical and no weekend sacrifice beyond what you choose.</w:t>
      </w:r>
    </w:p>
    <w:p>
      <w:r>
        <w:rPr>
          <w:b/>
        </w:rPr>
        <w:t>The MSc reads well on a doctoral path</w:t>
      </w:r>
    </w:p>
    <w:p>
      <w:r>
        <w:t>Research methodology sits inside the degree, which keeps the route to a DBA or PhD open later.</w:t>
      </w:r>
    </w:p>
    <w:p>
      <w:r>
        <w:rPr>
          <w:b/>
        </w:rPr>
        <w:t>Honest take</w:t>
      </w:r>
    </w:p>
    <w:p>
      <w:r>
        <w:t>sixty ECTS in a year is demanding, and asynchronous does not mean passive. Budget the study hours honestly before you enrol, because the people who stall are the ones who assumed otherwise.</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eligibility</w:t>
            </w:r>
          </w:p>
        </w:tc>
      </w:tr>
      <w:tr>
        <w:tc>
          <w:tcPr>
            <w:tcW w:type="dxa" w:w="3118"/>
          </w:tcPr>
          <w:p>
            <w:r>
              <w:rPr>
                <w:b/>
                <w:sz w:val="20"/>
              </w:rPr>
              <w:t>Offer Validity</w:t>
            </w:r>
          </w:p>
        </w:tc>
        <w:tc>
          <w:tcPr>
            <w:tcW w:type="dxa" w:w="4320"/>
          </w:tcPr>
          <w:p>
            <w:r>
              <w:rPr>
                <w:sz w:val="20"/>
              </w:rPr>
              <w:t>Early-bird pricing is set per intake, so check the window</w:t>
            </w:r>
          </w:p>
        </w:tc>
      </w:tr>
    </w:tbl>
    <w:p>
      <w:r>
        <w:rPr>
          <w:b/>
        </w:rPr>
        <w:t xml:space="preserve">Request the fee structure: </w:t>
      </w:r>
      <w:r>
        <w:t>Because fees move with the intake and the ECTS version you choose, no fixed figure is printed here. Admissions sends a personal breakdown on request, free and without obligation. Across our Master's programmes,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