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Renewable Energy &amp; Sustainability</w:t>
      </w:r>
    </w:p>
    <w:p>
      <w:pPr>
        <w:pStyle w:val="Heading2"/>
      </w:pPr>
      <w:r>
        <w:t>SEO</w:t>
      </w:r>
    </w:p>
    <w:p>
      <w:r>
        <w:rPr>
          <w:b/>
        </w:rPr>
        <w:t xml:space="preserve">Meta Title: </w:t>
      </w:r>
      <w:r>
        <w:t>Executive MBA in Renewable Energy &amp; Sustainability | Girne American University</w:t>
      </w:r>
    </w:p>
    <w:p>
      <w:r>
        <w:rPr>
          <w:b/>
        </w:rPr>
        <w:t xml:space="preserve">Meta Description: </w:t>
      </w:r>
      <w:r>
        <w:t>12 to 18-month Executive MBA in Renewable Energy and Sustainability from Girne American University. Online senior cohort, AED installments. Enquire now.</w:t>
      </w:r>
    </w:p>
    <w:p>
      <w:pPr>
        <w:pStyle w:val="Heading2"/>
      </w:pPr>
      <w:r>
        <w:t>Hero</w:t>
      </w:r>
    </w:p>
    <w:p>
      <w:r>
        <w:rPr>
          <w:sz w:val="22"/>
        </w:rPr>
        <w:t>The Gulf is spending AED 600 billion to reinvent its own energy economy, and the executives who can run that reinvention are being hired now. This Executive MBA from Girne American University trains them,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Energy professionals respect data sheets; treat the letter as one.</w:t>
      </w:r>
    </w:p>
    <w:p>
      <w:pPr>
        <w:pStyle w:val="Heading2"/>
      </w:pPr>
      <w:r>
        <w:t>Program Overview</w:t>
      </w:r>
    </w:p>
    <w:p>
      <w:r>
        <w:t>The energy transition is not a policy document; it is a capital allocation problem with a deadline, and it needs executives who can hold both halves of that sentence. This Executive MBA is built for exactly them. The executive core covers strategy, finance, human capital, and operations, then the coursework focuses on renewable energy economics, sustainability strategy, the policy frameworks shaping investment, and the management questions that appear when utilities, developers, and corporates all change business models at once.</w:t>
      </w:r>
    </w:p>
    <w:p>
      <w:r>
        <w:t>Cohorts are small and senior, drawing from energy, utilities, construction, and corporate sustainability functions, which turns the case discussions into something close to a sector working group. The degree closes with a graduate research project, and participants close to live transition projects tend to produce the sharpest ones.</w:t>
      </w:r>
    </w:p>
    <w:p>
      <w:pPr>
        <w:pStyle w:val="Heading2"/>
      </w:pPr>
      <w:r>
        <w:t>Why Choose This Program</w:t>
      </w:r>
    </w:p>
    <w:p>
      <w:r>
        <w:rPr>
          <w:b/>
        </w:rPr>
        <w:t>The transition, taught as a business problem</w:t>
      </w:r>
    </w:p>
    <w:p>
      <w:r>
        <w:t>Economics, strategy, and execution. The degree assumes you want to run the transition, not only endorse it.</w:t>
      </w:r>
    </w:p>
    <w:p>
      <w:r>
        <w:rPr>
          <w:b/>
        </w:rPr>
        <w:t>A cohort from the sector itself</w:t>
      </w:r>
    </w:p>
    <w:p>
      <w:r>
        <w:t>Small, senior, and drawn from the companies actually spending the transition money. The network is the second curriculum.</w:t>
      </w:r>
    </w:p>
    <w:p>
      <w:r>
        <w:rPr>
          <w:b/>
        </w:rPr>
        <w:t>18 months at the outside</w:t>
      </w:r>
    </w:p>
    <w:p>
      <w:r>
        <w:t>Energy executives do not get sabbaticals. 12 to 18 months, executive-scheduled, is the realistic version.</w:t>
      </w:r>
    </w:p>
    <w:p>
      <w:r>
        <w:rPr>
          <w:b/>
        </w:rPr>
        <w:t>The research project can join the deal flow</w:t>
      </w:r>
    </w:p>
    <w:p>
      <w:r>
        <w:t>Point the final investigation at a live project, a tariff question, a sustainability strategy, and finish with a document that earns a seat in the meeting.</w:t>
      </w:r>
    </w:p>
    <w:p>
      <w:r>
        <w:rPr>
          <w:b/>
        </w:rPr>
        <w:t>Installments in dirhams</w:t>
      </w:r>
    </w:p>
    <w:p>
      <w:r>
        <w:t>Monthly AED payments, interest-free, agreed in writing before the program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region's 2050 target is already signed; the careers it creates are being decided this decade.</w:t>
      </w:r>
    </w:p>
    <w:p>
      <w:pPr>
        <w:pStyle w:val="Heading2"/>
      </w:pPr>
      <w:r>
        <w:t>What You Will Learn</w:t>
      </w:r>
    </w:p>
    <w:p>
      <w:pPr>
        <w:pStyle w:val="ListNumber"/>
      </w:pPr>
      <w:r>
        <w:t>Evaluate renewable energy projects with the economics they deserve</w:t>
      </w:r>
    </w:p>
    <w:p>
      <w:pPr>
        <w:pStyle w:val="ListNumber"/>
      </w:pPr>
      <w:r>
        <w:t>Build sustainability strategy that survives contact with a budget committee</w:t>
      </w:r>
    </w:p>
    <w:p>
      <w:pPr>
        <w:pStyle w:val="ListNumber"/>
      </w:pPr>
      <w:r>
        <w:t>Work through the policy frameworks that shape energy investment decisions</w:t>
      </w:r>
    </w:p>
    <w:p>
      <w:pPr>
        <w:pStyle w:val="ListNumber"/>
      </w:pPr>
      <w:r>
        <w:t>Manage organizations through business-model change, which is what the transition actually is</w:t>
      </w:r>
    </w:p>
    <w:p>
      <w:pPr>
        <w:pStyle w:val="ListNumber"/>
      </w:pPr>
      <w:r>
        <w:t>Read carbon, efficiency, and grid questions well enough to challenge consultants</w:t>
      </w:r>
    </w:p>
    <w:p>
      <w:pPr>
        <w:pStyle w:val="ListNumber"/>
      </w:pPr>
      <w:r>
        <w:t>Lead cross-functional transition programs across engineering, finance, and government affairs</w:t>
      </w:r>
    </w:p>
    <w:p>
      <w:pPr>
        <w:pStyle w:val="ListNumber"/>
      </w:pPr>
      <w:r>
        <w:t>Investigate an energy or sustainability question with research discipline</w:t>
      </w:r>
    </w:p>
    <w:p>
      <w:pPr>
        <w:pStyle w:val="ListNumber"/>
      </w:pPr>
      <w:r>
        <w:t>Present transition cases to boards and regulators in terms both accept</w:t>
      </w:r>
    </w:p>
    <w:p>
      <w:pPr>
        <w:pStyle w:val="Heading2"/>
      </w:pPr>
      <w:r>
        <w:t>Career Opportunities</w:t>
      </w:r>
    </w:p>
    <w:p>
      <w:pPr>
        <w:pStyle w:val="ListBullet"/>
      </w:pPr>
      <w:r>
        <w:t>Renewable Energy Director</w:t>
      </w:r>
    </w:p>
    <w:p>
      <w:pPr>
        <w:pStyle w:val="ListBullet"/>
      </w:pPr>
      <w:r>
        <w:t>Sustainability Director</w:t>
      </w:r>
    </w:p>
    <w:p>
      <w:pPr>
        <w:pStyle w:val="ListBullet"/>
      </w:pPr>
      <w:r>
        <w:t>Energy Transition Manager</w:t>
      </w:r>
    </w:p>
    <w:p>
      <w:pPr>
        <w:pStyle w:val="ListBullet"/>
      </w:pPr>
      <w:r>
        <w:t>Utilities Executive</w:t>
      </w:r>
    </w:p>
    <w:p>
      <w:pPr>
        <w:pStyle w:val="ListBullet"/>
      </w:pPr>
      <w:r>
        <w:t>Head of ESG</w:t>
      </w:r>
    </w:p>
    <w:p>
      <w:pPr>
        <w:pStyle w:val="ListBullet"/>
      </w:pPr>
      <w:r>
        <w:t>Clean Energy Investment Manager</w:t>
      </w:r>
    </w:p>
    <w:p>
      <w:pPr>
        <w:pStyle w:val="ListBullet"/>
      </w:pPr>
      <w:r>
        <w:t>Corporate Sustainability Strategist</w:t>
      </w:r>
    </w:p>
    <w:p>
      <w:pPr>
        <w:pStyle w:val="ListBullet"/>
      </w:pPr>
      <w:r>
        <w:t>Energy Policy Manager</w:t>
      </w:r>
    </w:p>
    <w:p>
      <w:pPr>
        <w:pStyle w:val="ListBullet"/>
      </w:pPr>
      <w:r>
        <w:t>Development Project Director</w:t>
      </w:r>
    </w:p>
    <w:p>
      <w:pPr>
        <w:pStyle w:val="ListBullet"/>
      </w:pPr>
      <w:r>
        <w:t>Chief Sustainability Officer</w:t>
      </w:r>
    </w:p>
    <w:p>
      <w:pPr>
        <w:pStyle w:val="Heading2"/>
      </w:pPr>
      <w:r>
        <w:t>Program Structure</w:t>
      </w:r>
    </w:p>
    <w:p>
      <w:r>
        <w:t>Your journey, stage by stage</w:t>
      </w:r>
    </w:p>
    <w:p>
      <w:r>
        <w:t>Three movements: the executive core, the renewable energy and sustainability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Renewable energy and sustainability coursework</w:t>
      </w:r>
    </w:p>
    <w:p>
      <w:pPr>
        <w:pStyle w:val="ListBullet"/>
      </w:pPr>
      <w:r>
        <w:t>Renewable energy economics and sustainability strategy</w:t>
      </w:r>
    </w:p>
    <w:p>
      <w:pPr>
        <w:pStyle w:val="ListBullet"/>
      </w:pPr>
      <w:r>
        <w:t>Policy frameworks, regulation, and investment decisions</w:t>
      </w:r>
    </w:p>
    <w:p>
      <w:pPr>
        <w:pStyle w:val="ListBullet"/>
      </w:pPr>
      <w:r>
        <w:t>Transition leadership case work across the energy value chain</w:t>
      </w:r>
    </w:p>
    <w:p>
      <w:pPr>
        <w:pStyle w:val="Heading3"/>
        <w:spacing w:before="200"/>
      </w:pPr>
      <w:r>
        <w:t>Stage 3 · The graduate research project</w:t>
      </w:r>
    </w:p>
    <w:p>
      <w:pPr>
        <w:pStyle w:val="ListBullet"/>
      </w:pPr>
      <w:r>
        <w:t>A supervised investigation of an energy or sustainability question, often drawn from the participant's own organization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to graduation</w:t>
            </w:r>
          </w:p>
        </w:tc>
      </w:tr>
      <w:tr>
        <w:tc>
          <w:tcPr>
            <w:tcW w:type="dxa" w:w="3118"/>
          </w:tcPr>
          <w:p>
            <w:r>
              <w:rPr>
                <w:b/>
                <w:sz w:val="20"/>
              </w:rPr>
              <w:t>Flexible learning</w:t>
            </w:r>
          </w:p>
        </w:tc>
        <w:tc>
          <w:tcPr>
            <w:tcW w:type="dxa" w:w="4320"/>
          </w:tcPr>
          <w:p>
            <w:r>
              <w:rPr>
                <w:sz w:val="20"/>
              </w:rPr>
              <w:t>Executive scheduling arranged around project cycles and site commitments</w:t>
            </w:r>
          </w:p>
        </w:tc>
      </w:tr>
      <w:tr>
        <w:tc>
          <w:tcPr>
            <w:tcW w:type="dxa" w:w="3118"/>
          </w:tcPr>
          <w:p>
            <w:r>
              <w:rPr>
                <w:b/>
                <w:sz w:val="20"/>
              </w:rPr>
              <w:t>Assessment support</w:t>
            </w:r>
          </w:p>
        </w:tc>
        <w:tc>
          <w:tcPr>
            <w:tcW w:type="dxa" w:w="4320"/>
          </w:tcPr>
          <w:p>
            <w:r>
              <w:rPr>
                <w:sz w:val="20"/>
              </w:rPr>
              <w:t>Feedback on strategy and research work, handled properly</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energy, utilities, and sustainability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inside the largest energy bet in the region's history</w:t>
      </w:r>
    </w:p>
    <w:p>
      <w:r>
        <w:t>Fully online, no visa, no career break. The UAE's net-zero plan commits AED 600 billion through 2050, and you can study from inside the market that money is rebuilding.</w:t>
      </w:r>
    </w:p>
    <w:p>
      <w:r>
        <w:rPr>
          <w:b/>
        </w:rPr>
        <w:t>The jobs target is already public</w:t>
      </w:r>
    </w:p>
    <w:p>
      <w:r>
        <w:t>The national energy strategy sets a target of 50,000 green jobs by 2030, and the leadership layer of those jobs is what this degree prepares you for.</w:t>
      </w:r>
    </w:p>
    <w:p>
      <w:r>
        <w:rPr>
          <w:b/>
        </w:rPr>
        <w:t>From Barakah to Masdar, the reference projects keep coming</w:t>
      </w:r>
    </w:p>
    <w:p>
      <w:r>
        <w:t>The UAE keeps commissioning projects that the whole sector studies, and every one of them needs executives who can manage technology, money, and policy together.</w:t>
      </w:r>
    </w:p>
    <w:p>
      <w:r>
        <w:rPr>
          <w:b/>
        </w:rPr>
        <w:t>The skills gap reaches the transition too</w:t>
      </w:r>
    </w:p>
    <w:p>
      <w:r>
        <w:t>Across the Gulf, employers keep reporting shortages of qualified candidates, and sustainability leadership is among the newest and thinnest benches.</w:t>
      </w:r>
    </w:p>
    <w:p>
      <w:r>
        <w:rPr>
          <w:b/>
        </w:rPr>
        <w:t>18 months suits project calendars</w:t>
      </w:r>
    </w:p>
    <w:p>
      <w:r>
        <w:t>The delivery bends around development cycles and site schedules instead of asking you to choose between them.</w:t>
      </w:r>
    </w:p>
    <w:p>
      <w:r>
        <w:rPr>
          <w:b/>
        </w:rPr>
        <w:t>The research project can enter your deal flow</w:t>
      </w:r>
    </w:p>
    <w:p>
      <w:r>
        <w:t>Finish on a live question from your own transition work and graduate with a document your investment committee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