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Healthcare Management</w:t>
      </w:r>
    </w:p>
    <w:p>
      <w:r>
        <w:rPr>
          <w:color w:val="555C66"/>
        </w:rPr>
        <w:t>Duration: 8 to 18 months · pace confirmed per admission · Format: Thesis-based postgraduate degree · Delivery: Online, supported through the regional partner network</w:t>
      </w:r>
    </w:p>
    <w:p>
      <w:pPr>
        <w:pStyle w:val="Heading2"/>
      </w:pPr>
      <w:r>
        <w:t>SEO</w:t>
      </w:r>
    </w:p>
    <w:p>
      <w:r>
        <w:rPr>
          <w:b/>
        </w:rPr>
        <w:t xml:space="preserve">Meta title: </w:t>
      </w:r>
      <w:r>
        <w:t>MSc Healthcare Management UAE | Thesis-Based Degree</w:t>
      </w:r>
    </w:p>
    <w:p>
      <w:r>
        <w:rPr>
          <w:b/>
        </w:rPr>
        <w:t xml:space="preserve">Meta description: </w:t>
      </w:r>
      <w:r>
        <w:t>GAU MSc in Healthcare Management, thesis-based, online, 8 to 18 months. Supervised research for clinicians and administrators. Fees in writing first.</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Awarded by</w:t>
            </w:r>
          </w:p>
        </w:tc>
        <w:tc>
          <w:tcPr>
            <w:tcW w:type="dxa" w:w="4320"/>
          </w:tcPr>
          <w:p>
            <w:r>
              <w:rPr>
                <w:sz w:val="20"/>
              </w:rPr>
              <w:t>Girne American University, North Cyprus</w:t>
            </w:r>
          </w:p>
        </w:tc>
      </w:tr>
      <w:tr>
        <w:tc>
          <w:tcPr>
            <w:tcW w:type="dxa" w:w="3118"/>
          </w:tcPr>
          <w:p>
            <w:r>
              <w:rPr>
                <w:b/>
                <w:sz w:val="20"/>
              </w:rPr>
              <w:t>Recognition</w:t>
            </w:r>
          </w:p>
        </w:tc>
        <w:tc>
          <w:tcPr>
            <w:tcW w:type="dxa" w:w="4320"/>
          </w:tcPr>
          <w:p>
            <w:r>
              <w:rPr>
                <w:sz w:val="20"/>
              </w:rPr>
              <w:t>YÖDAK and YÖK accredited; IACBE member school</w:t>
            </w:r>
          </w:p>
        </w:tc>
      </w:tr>
      <w:tr>
        <w:tc>
          <w:tcPr>
            <w:tcW w:type="dxa" w:w="3118"/>
          </w:tcPr>
          <w:p>
            <w:r>
              <w:rPr>
                <w:b/>
                <w:sz w:val="20"/>
              </w:rPr>
              <w:t>Duration</w:t>
            </w:r>
          </w:p>
        </w:tc>
        <w:tc>
          <w:tcPr>
            <w:tcW w:type="dxa" w:w="4320"/>
          </w:tcPr>
          <w:p>
            <w:r>
              <w:rPr>
                <w:sz w:val="20"/>
              </w:rPr>
              <w:t>8 to 18 months, depending on pace</w:t>
            </w:r>
          </w:p>
        </w:tc>
      </w:tr>
      <w:tr>
        <w:tc>
          <w:tcPr>
            <w:tcW w:type="dxa" w:w="3118"/>
          </w:tcPr>
          <w:p>
            <w:r>
              <w:rPr>
                <w:b/>
                <w:sz w:val="20"/>
              </w:rPr>
              <w:t>Structure</w:t>
            </w:r>
          </w:p>
        </w:tc>
        <w:tc>
          <w:tcPr>
            <w:tcW w:type="dxa" w:w="4320"/>
          </w:tcPr>
          <w:p>
            <w:r>
              <w:rPr>
                <w:sz w:val="20"/>
              </w:rPr>
              <w:t>Core coursework, electives, then a supervised thesis</w:t>
            </w:r>
          </w:p>
        </w:tc>
      </w:tr>
      <w:tr>
        <w:tc>
          <w:tcPr>
            <w:tcW w:type="dxa" w:w="3118"/>
          </w:tcPr>
          <w:p>
            <w:r>
              <w:rPr>
                <w:b/>
                <w:sz w:val="20"/>
              </w:rPr>
              <w:t>Credits</w:t>
            </w:r>
          </w:p>
        </w:tc>
        <w:tc>
          <w:tcPr>
            <w:tcW w:type="dxa" w:w="4320"/>
          </w:tcPr>
          <w:p>
            <w:r>
              <w:rPr>
                <w:sz w:val="20"/>
              </w:rPr>
              <w:t>Confirmed per admission, issued in writing</w:t>
            </w:r>
          </w:p>
        </w:tc>
      </w:tr>
      <w:tr>
        <w:tc>
          <w:tcPr>
            <w:tcW w:type="dxa" w:w="3118"/>
          </w:tcPr>
          <w:p>
            <w:r>
              <w:rPr>
                <w:b/>
                <w:sz w:val="20"/>
              </w:rPr>
              <w:t>Best fit</w:t>
            </w:r>
          </w:p>
        </w:tc>
        <w:tc>
          <w:tcPr>
            <w:tcW w:type="dxa" w:w="4320"/>
          </w:tcPr>
          <w:p>
            <w:r>
              <w:rPr>
                <w:sz w:val="20"/>
              </w:rPr>
              <w:t>Healthcare professionals moving into management and research</w:t>
            </w:r>
          </w:p>
        </w:tc>
      </w:tr>
    </w:tbl>
    <w:p>
      <w:r>
        <w:t>The Gulf healthcare system is doubling in size and short of people who can run it. That combination is rare, and it rewards the professional who brings both clinical credibility and research-trained management thinking. This is the degree for that person.</w:t>
      </w:r>
    </w:p>
    <w:p>
      <w:pPr>
        <w:pStyle w:val="Heading2"/>
      </w:pPr>
      <w:r>
        <w:t>Program Overview</w:t>
      </w:r>
    </w:p>
    <w:p>
      <w:r>
        <w:t>Healthcare management can be learned from a textbook. Healthcare management you can defend cannot. The Girne American University MSc in Healthcare Management pairs taught coursework in health systems, operations, and leadership with a supervised thesis where you investigate a real question from your own professional context.</w:t>
      </w:r>
    </w:p>
    <w:p>
      <w:r>
        <w:t>The thesis changes what this degree means on a CV. Instead of listing courses you attended, you present original findings, examined by a committee. For a clinician stepping into management, or an administrator aiming higher, that is a different order of evidence. It is also the recognized stepping stone toward doctoral study in health management, which the region's growing academic medical institutions increasingly value.</w:t>
      </w:r>
    </w:p>
    <w:p>
      <w:pPr>
        <w:pStyle w:val="Heading2"/>
      </w:pPr>
      <w:r>
        <w:t>Why This Program</w:t>
      </w:r>
    </w:p>
    <w:p>
      <w:r>
        <w:t>**Thesis-weighted, not course-heavy**</w:t>
      </w:r>
    </w:p>
    <w:p>
      <w:r>
        <w:t>A supervised research thesis examined by a faculty committee sits at the center of the degree. That is where the learning sticks.</w:t>
      </w:r>
    </w:p>
    <w:p>
      <w:r>
        <w:t>**Built for the clinician-to-manager move**</w:t>
      </w:r>
    </w:p>
    <w:p>
      <w:r>
        <w:t>The coursework sequence is designed for professionals who know care delivery and need the management evidence to back it.</w:t>
      </w:r>
    </w:p>
    <w:p>
      <w:r>
        <w:t>**A live problem as your topic**</w:t>
      </w:r>
    </w:p>
    <w:p>
      <w:r>
        <w:t>Most candidates research a question from their own hospital, insurer, or health authority. Your employer often benefits before you graduate.</w:t>
      </w:r>
    </w:p>
    <w:p>
      <w:r>
        <w:t>**Accreditation that crosses borders**</w:t>
      </w:r>
    </w:p>
    <w:p>
      <w:r>
        <w:t>GAU holds YÖDAK and YÖK accreditation with IACBE membership, which holds up when your next role is in another emirate or another country.</w:t>
      </w:r>
    </w:p>
    <w:p>
      <w:r>
        <w:t>**Scheduling that respects shift patterns**</w:t>
      </w:r>
    </w:p>
    <w:p>
      <w:r>
        <w:t>Coursework runs around working professionals, and the thesis phase runs on a supervision calendar rather than a lecture one.</w:t>
      </w:r>
    </w:p>
    <w:p>
      <w:r>
        <w:t>**Doctoral doors open from here**</w:t>
      </w:r>
    </w:p>
    <w:p>
      <w:r>
        <w:t>A defended thesis MSc is the conventional prerequisite for PhD programs, and this one is structured to that standard.</w:t>
      </w:r>
    </w:p>
    <w:p>
      <w:r>
        <w:t>Honest take: if you want a faster, purely operational credential for a management move, an executive MBA in healthcare fits better. This program asks more of you and returns a research profile alongside the title.</w:t>
      </w:r>
    </w:p>
    <w:p>
      <w:pPr>
        <w:pStyle w:val="Heading2"/>
      </w:pPr>
      <w:r>
        <w:t>What You Will Learn</w:t>
      </w:r>
    </w:p>
    <w:p>
      <w:pPr>
        <w:pStyle w:val="ListBullet"/>
      </w:pPr>
      <w:r>
        <w:t>Frame a healthcare management research question that matters</w:t>
      </w:r>
    </w:p>
    <w:p>
      <w:pPr>
        <w:pStyle w:val="ListBullet"/>
      </w:pPr>
      <w:r>
        <w:t>Choose and justify research methods suited to health settings</w:t>
      </w:r>
    </w:p>
    <w:p>
      <w:pPr>
        <w:pStyle w:val="ListBullet"/>
      </w:pPr>
      <w:r>
        <w:t>Read health policy and management literature critically</w:t>
      </w:r>
    </w:p>
    <w:p>
      <w:pPr>
        <w:pStyle w:val="ListBullet"/>
      </w:pPr>
      <w:r>
        <w:t>Analyze operational, financial, or workforce data from health systems</w:t>
      </w:r>
    </w:p>
    <w:p>
      <w:pPr>
        <w:pStyle w:val="ListBullet"/>
      </w:pPr>
      <w:r>
        <w:t>Write for an examining committee without losing clarity</w:t>
      </w:r>
    </w:p>
    <w:p>
      <w:pPr>
        <w:pStyle w:val="ListBullet"/>
      </w:pPr>
      <w:r>
        <w:t>Defend your findings under committee questioning</w:t>
      </w:r>
    </w:p>
    <w:p>
      <w:pPr>
        <w:pStyle w:val="ListBullet"/>
      </w:pPr>
      <w:r>
        <w:t>Connect management theory to Gulf healthcare realities</w:t>
      </w:r>
    </w:p>
    <w:p>
      <w:pPr>
        <w:pStyle w:val="ListBullet"/>
      </w:pPr>
      <w:r>
        <w:t>Turn research findings into recommendations administrators can act on</w:t>
      </w:r>
    </w:p>
    <w:p>
      <w:pPr>
        <w:pStyle w:val="Heading2"/>
      </w:pPr>
      <w:r>
        <w:t>Career Opportunities</w:t>
      </w:r>
    </w:p>
    <w:p>
      <w:pPr>
        <w:pStyle w:val="ListBullet"/>
      </w:pPr>
      <w:r>
        <w:t>Hospital administrator</w:t>
      </w:r>
    </w:p>
    <w:p>
      <w:pPr>
        <w:pStyle w:val="ListBullet"/>
      </w:pPr>
      <w:r>
        <w:t>healthcare operations manager</w:t>
      </w:r>
    </w:p>
    <w:p>
      <w:pPr>
        <w:pStyle w:val="ListBullet"/>
      </w:pPr>
      <w:r>
        <w:t>health services researcher</w:t>
      </w:r>
    </w:p>
    <w:p>
      <w:pPr>
        <w:pStyle w:val="ListBullet"/>
      </w:pPr>
      <w:r>
        <w:t>clinical services manager</w:t>
      </w:r>
    </w:p>
    <w:p>
      <w:pPr>
        <w:pStyle w:val="ListBullet"/>
      </w:pPr>
      <w:r>
        <w:t>quality and patient safety lead</w:t>
      </w:r>
    </w:p>
    <w:p>
      <w:pPr>
        <w:pStyle w:val="ListBullet"/>
      </w:pPr>
      <w:r>
        <w:t>health policy analyst</w:t>
      </w:r>
    </w:p>
    <w:p>
      <w:pPr>
        <w:pStyle w:val="ListBullet"/>
      </w:pPr>
      <w:r>
        <w:t>consultant</w:t>
      </w:r>
    </w:p>
    <w:p>
      <w:pPr>
        <w:pStyle w:val="ListBullet"/>
      </w:pPr>
      <w:r>
        <w:t>academic</w:t>
      </w:r>
    </w:p>
    <w:p>
      <w:pPr>
        <w:pStyle w:val="ListBullet"/>
      </w:pPr>
      <w:r>
        <w:t>program director</w:t>
      </w:r>
    </w:p>
    <w:p>
      <w:pPr>
        <w:pStyle w:val="ListBullet"/>
      </w:pPr>
      <w:r>
        <w:t>doctoral candidate.</w:t>
      </w:r>
    </w:p>
    <w:p>
      <w:r>
        <w:t>Roles are market-standard for the region and match where graduates with this profile typically move. Licensing for clinical roles stays separate, and this degree strengthens the management side rather than the clinical one.</w:t>
      </w:r>
    </w:p>
    <w:p>
      <w:pPr>
        <w:pStyle w:val="Heading2"/>
      </w:pPr>
      <w:r>
        <w:t>Program Structure</w:t>
      </w:r>
    </w:p>
    <w:p>
      <w:pPr>
        <w:pStyle w:val="Heading3"/>
      </w:pPr>
      <w:r>
        <w:t>Stage one: taught core (months 1 to 6)</w:t>
      </w:r>
    </w:p>
    <w:p>
      <w:r>
        <w:t>Core courses in healthcare management, health systems, and research foundations. The cohort builds shared vocabulary here.</w:t>
      </w:r>
    </w:p>
    <w:p>
      <w:pPr>
        <w:pStyle w:val="Heading3"/>
      </w:pPr>
      <w:r>
        <w:t>Stage two: electives and methods (months 4 to 10)</w:t>
      </w:r>
    </w:p>
    <w:p>
      <w:r>
        <w:t>Electives let you focus on operations, policy, or workforce questions, while the methods sequence prepares you to design your study.</w:t>
      </w:r>
    </w:p>
    <w:p>
      <w:pPr>
        <w:pStyle w:val="Heading3"/>
      </w:pPr>
      <w:r>
        <w:t>Stage three: thesis (months 8 to 18)</w:t>
      </w:r>
    </w:p>
    <w:p>
      <w:r>
        <w:t>Proposal, supervised research, writing, and defence before a faculty committee. Most candidates take four to six months for the thesis once the proposal is approved.</w:t>
      </w:r>
    </w:p>
    <w:p>
      <w:pPr>
        <w:pStyle w:val="Heading2"/>
      </w:pPr>
      <w:r>
        <w:t>Why Study Through Maverick</w:t>
      </w:r>
    </w:p>
    <w:p>
      <w:pPr>
        <w:pStyle w:val="ListBullet"/>
      </w:pPr>
      <w:r>
        <w:t>Regional admissions team in Sharjah, reachable by phone and WhatsApp</w:t>
      </w:r>
    </w:p>
    <w:p>
      <w:pPr>
        <w:pStyle w:val="ListBullet"/>
      </w:pPr>
      <w:r>
        <w:t>Supervisor matching and academic guidance through the thesis phase</w:t>
      </w:r>
    </w:p>
    <w:p>
      <w:pPr>
        <w:pStyle w:val="ListBullet"/>
      </w:pPr>
      <w:r>
        <w:t>Written confirmation of fees, dates, and requirements before payment</w:t>
      </w:r>
    </w:p>
    <w:p>
      <w:pPr>
        <w:pStyle w:val="ListBullet"/>
      </w:pPr>
      <w:r>
        <w:t>Installment plans in AED</w:t>
      </w:r>
    </w:p>
    <w:p>
      <w:pPr>
        <w:pStyle w:val="ListBullet"/>
      </w:pPr>
      <w:r>
        <w:t>Career conversations grounded in your research output, not generic listings</w:t>
      </w:r>
    </w:p>
    <w:p>
      <w:pPr>
        <w:pStyle w:val="ListBullet"/>
      </w:pPr>
      <w:r>
        <w:t>English-language support where transcripts or essays need it</w:t>
      </w:r>
    </w:p>
    <w:p>
      <w:pPr>
        <w:pStyle w:val="Heading2"/>
      </w:pPr>
      <w:r>
        <w:t>GCC Market Context</w:t>
      </w:r>
    </w:p>
    <w:p>
      <w:pPr>
        <w:pStyle w:val="ListBullet"/>
      </w:pPr>
      <w:r>
        <w:t>The UAE healthcare sector keeps expanding year after year, with new facilities opening across the emirates.</w:t>
      </w:r>
    </w:p>
    <w:p>
      <w:pPr>
        <w:pStyle w:val="ListBullet"/>
      </w:pPr>
      <w:r>
        <w:t>Emirate-level health authorities keep reporting shortfalls of nurses, physicians, and allied health professionals.</w:t>
      </w:r>
    </w:p>
    <w:p>
      <w:pPr>
        <w:pStyle w:val="ListBullet"/>
      </w:pPr>
      <w:r>
        <w:t>Healthcare staffing spend keeps climbing as providers scale.</w:t>
      </w:r>
    </w:p>
    <w:p>
      <w:pPr>
        <w:pStyle w:val="ListBullet"/>
      </w:pPr>
      <w:r>
        <w:t>Workforce planning and management capability is a named priority as providers scale, which keeps management talent scarce.</w:t>
      </w:r>
    </w:p>
    <w:p>
      <w:pPr>
        <w:pStyle w:val="ListBullet"/>
      </w:pPr>
      <w:r>
        <w:t>A defended thesis is the recognized entry point to doctoral study, increasingly valued by the region's academic medical centers.</w:t>
      </w:r>
    </w:p>
    <w:p>
      <w:pPr>
        <w:pStyle w:val="Heading2"/>
      </w:pPr>
      <w:r>
        <w:t>Fees &amp; Scholarships</w:t>
      </w:r>
    </w:p>
    <w:p>
      <w:pPr>
        <w:pStyle w:val="ListBullet"/>
      </w:pPr>
      <w:r>
        <w:t>Program fee range across the portfolio: AED 16,000 to AED 40,000</w:t>
      </w:r>
    </w:p>
    <w:p>
      <w:pPr>
        <w:pStyle w:val="ListBullet"/>
      </w:pPr>
      <w:r>
        <w:t>Exact fee for this program: confirmed in writing at admission</w:t>
      </w:r>
    </w:p>
    <w:p>
      <w:pPr>
        <w:pStyle w:val="ListBullet"/>
      </w:pPr>
      <w:r>
        <w:t>Installments in AED available</w:t>
      </w:r>
    </w:p>
    <w:p>
      <w:pPr>
        <w:pStyle w:val="ListBullet"/>
      </w:pPr>
      <w:r>
        <w:t>No hidden charges; everything documented before payment</w:t>
      </w:r>
    </w:p>
    <w:p>
      <w:pPr>
        <w:pStyle w:val="ListBullet"/>
      </w:pPr>
      <w:r>
        <w:t>Employer sponsorship letters supported on request</w:t>
      </w:r>
    </w:p>
    <w:p>
      <w:r>
        <w:t>A written quote lands before any payment commitment. That is the standard for every program we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