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Finance and Investment</w:t>
      </w:r>
    </w:p>
    <w:p>
      <w:pPr>
        <w:pStyle w:val="Heading2"/>
      </w:pPr>
      <w:r>
        <w:t>SEO</w:t>
      </w:r>
    </w:p>
    <w:p>
      <w:r>
        <w:rPr>
          <w:b/>
        </w:rPr>
        <w:t xml:space="preserve">Meta Title: </w:t>
      </w:r>
      <w:r>
        <w:t>MSc in Finance and Investment Online | Rushford | Maverick</w:t>
      </w:r>
    </w:p>
    <w:p>
      <w:r>
        <w:rPr>
          <w:b/>
        </w:rPr>
        <w:t xml:space="preserve">Meta Description: </w:t>
      </w:r>
      <w:r>
        <w:t>12-month online MSc in Finance and Investment from Rushford Business School. Risk, investment analysis, financial markets. 60 ECTS, AED installments. Enquire now.</w:t>
      </w:r>
    </w:p>
    <w:p>
      <w:pPr>
        <w:pStyle w:val="Heading2"/>
      </w:pPr>
      <w:r>
        <w:t>Hero</w:t>
      </w:r>
    </w:p>
    <w:p>
      <w:r>
        <w:rPr>
          <w:sz w:val="22"/>
        </w:rPr>
        <w:t>The Gulf runs on capital decisions, and capital decisions reward trained judgment. This 12-month online MSc from Rushford Business School builds that judgment in risk, investment analysis, and markets, while you keep working in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webinars and workshops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 90 ECTS (18-month) and 120 ECTS (24-month) versions are also available. Fees and dates are confirmed per intake, in writing, before payment.</w:t>
      </w:r>
    </w:p>
    <w:p>
      <w:pPr>
        <w:pStyle w:val="Heading2"/>
      </w:pPr>
      <w:r>
        <w:t>Program Overview</w:t>
      </w:r>
    </w:p>
    <w:p>
      <w:r>
        <w:t>Finance degrees tend to split into two kinds: theoretical ones that never touch a market, and narrow ones that skip the business around it. This MSc tries for the middle. Five core management courses first, then ten specialization courses covering risk management, investment analysis, financial markets, financial technology, debt management, and advanced financial analysis, with risk-based supervision rounding the picture.</w:t>
      </w:r>
    </w:p>
    <w:p>
      <w:r>
        <w:t>The program runs asynchronously on the e-Campus across 12 months, with webinars and workshops alongside the coursework. It is built for people heading into banking, investment, or corporate finance, and for professionals who want the technical depth without the two-year absence, which most finance calendars would refuse anyway.</w:t>
      </w:r>
    </w:p>
    <w:p>
      <w:pPr>
        <w:pStyle w:val="Heading2"/>
      </w:pPr>
      <w:r>
        <w:t>Why Choose This Program</w:t>
      </w:r>
    </w:p>
    <w:p>
      <w:r>
        <w:rPr>
          <w:b/>
        </w:rPr>
        <w:t>12 months to market-relevant depth</w:t>
      </w:r>
    </w:p>
    <w:p>
      <w:r>
        <w:t>60 ECTS in 1 year. Finance careers move fast; the degree keeps pace.</w:t>
      </w:r>
    </w:p>
    <w:p>
      <w:r>
        <w:rPr>
          <w:b/>
        </w:rPr>
        <w:t>Fintech and risk are treated seriously</w:t>
      </w:r>
    </w:p>
    <w:p>
      <w:r>
        <w:t>Financial technology, debt management, and risk-based supervision sit inside the specialization, matching where Gulf finance hiring actually points.</w:t>
      </w:r>
    </w:p>
    <w:p>
      <w:r>
        <w:rPr>
          <w:b/>
        </w:rPr>
        <w:t>The investment side is the point</w:t>
      </w:r>
    </w:p>
    <w:p>
      <w:r>
        <w:t>Investment analysis and financial markets carry the core weight, for people aiming at portfolio, research, and banking roles.</w:t>
      </w:r>
    </w:p>
    <w:p>
      <w:r>
        <w:rPr>
          <w:b/>
        </w:rPr>
        <w:t>Swiss award, online delivery</w:t>
      </w:r>
    </w:p>
    <w:p>
      <w:r>
        <w:t>Rushford Business School, Switzerland, awards the MSc. All 15 courses run on the e-Campus.</w:t>
      </w:r>
    </w:p>
    <w:p>
      <w:r>
        <w:rPr>
          <w:b/>
        </w:rPr>
        <w:t>Installments in dirhams</w:t>
      </w:r>
    </w:p>
    <w:p>
      <w:r>
        <w:t>Monthly AED payments, interest-free, scheduled around salary dates and agreed in writing.</w:t>
      </w:r>
    </w:p>
    <w:p>
      <w:r>
        <w:rPr>
          <w:b/>
        </w:rPr>
        <w:t>Support in your time zone</w:t>
      </w:r>
    </w:p>
    <w:p>
      <w:r>
        <w:t>One success coach for the year, and advisors in Sharjah available in person or on WhatsApp.</w:t>
      </w:r>
    </w:p>
    <w:p>
      <w:r>
        <w:rPr>
          <w:b/>
        </w:rPr>
        <w:t>Closing line:</w:t>
      </w:r>
      <w:r>
        <w:t xml:space="preserve"> The degree is awarded by Rushford Business School, Switzerland. The positions it supports sit on the sharp end of the region's economy.</w:t>
      </w:r>
    </w:p>
    <w:p>
      <w:pPr>
        <w:pStyle w:val="Heading2"/>
      </w:pPr>
      <w:r>
        <w:t>What You Will Learn</w:t>
      </w:r>
    </w:p>
    <w:p>
      <w:pPr>
        <w:pStyle w:val="ListNumber"/>
      </w:pPr>
      <w:r>
        <w:t>Connect financial decisions to the rest of the business, and explain the connection</w:t>
      </w:r>
    </w:p>
    <w:p>
      <w:pPr>
        <w:pStyle w:val="ListNumber"/>
      </w:pPr>
      <w:r>
        <w:t>Analyze business conditions with both qualitative and quantitative data</w:t>
      </w:r>
    </w:p>
    <w:p>
      <w:pPr>
        <w:pStyle w:val="ListNumber"/>
      </w:pPr>
      <w:r>
        <w:t>Apply financial theories and tools to assess risk properly</w:t>
      </w:r>
    </w:p>
    <w:p>
      <w:pPr>
        <w:pStyle w:val="ListNumber"/>
      </w:pPr>
      <w:r>
        <w:t>Evaluate investment opportunities with structure and skepticism</w:t>
      </w:r>
    </w:p>
    <w:p>
      <w:pPr>
        <w:pStyle w:val="ListNumber"/>
      </w:pPr>
      <w:r>
        <w:t>Handle debt management decisions under real constraints</w:t>
      </w:r>
    </w:p>
    <w:p>
      <w:pPr>
        <w:pStyle w:val="ListNumber"/>
      </w:pPr>
      <w:r>
        <w:t>Read financial markets as systems, not headlines</w:t>
      </w:r>
    </w:p>
    <w:p>
      <w:pPr>
        <w:pStyle w:val="ListNumber"/>
      </w:pPr>
      <w:r>
        <w:t>Reason ethically about finance's impact on firms and society</w:t>
      </w:r>
    </w:p>
    <w:p>
      <w:pPr>
        <w:pStyle w:val="ListNumber"/>
      </w:pPr>
      <w:r>
        <w:t>Finish with independent research conducted under faculty guidance</w:t>
      </w:r>
    </w:p>
    <w:p>
      <w:pPr>
        <w:pStyle w:val="Heading2"/>
      </w:pPr>
      <w:r>
        <w:t>Career Opportunities</w:t>
      </w:r>
    </w:p>
    <w:p>
      <w:pPr>
        <w:pStyle w:val="ListBullet"/>
      </w:pPr>
      <w:r>
        <w:t>Investment Banker</w:t>
      </w:r>
    </w:p>
    <w:p>
      <w:pPr>
        <w:pStyle w:val="ListBullet"/>
      </w:pPr>
      <w:r>
        <w:t>Portfolio Manager</w:t>
      </w:r>
    </w:p>
    <w:p>
      <w:pPr>
        <w:pStyle w:val="ListBullet"/>
      </w:pPr>
      <w:r>
        <w:t>Financial Analyst</w:t>
      </w:r>
    </w:p>
    <w:p>
      <w:pPr>
        <w:pStyle w:val="ListBullet"/>
      </w:pPr>
      <w:r>
        <w:t>Research Analyst</w:t>
      </w:r>
    </w:p>
    <w:p>
      <w:pPr>
        <w:pStyle w:val="ListBullet"/>
      </w:pPr>
      <w:r>
        <w:t>Risk Manager</w:t>
      </w:r>
    </w:p>
    <w:p>
      <w:pPr>
        <w:pStyle w:val="ListBullet"/>
      </w:pPr>
      <w:r>
        <w:t>Hedge Fund Manager</w:t>
      </w:r>
    </w:p>
    <w:p>
      <w:pPr>
        <w:pStyle w:val="ListBullet"/>
      </w:pPr>
      <w:r>
        <w:t>Corporate Banker</w:t>
      </w:r>
    </w:p>
    <w:p>
      <w:pPr>
        <w:pStyle w:val="ListBullet"/>
      </w:pPr>
      <w:r>
        <w:t>Financial Advisor</w:t>
      </w:r>
    </w:p>
    <w:p>
      <w:pPr>
        <w:pStyle w:val="ListBullet"/>
      </w:pPr>
      <w:r>
        <w:t>Bank Manager</w:t>
      </w:r>
    </w:p>
    <w:p>
      <w:pPr>
        <w:pStyle w:val="ListBullet"/>
      </w:pPr>
      <w:r>
        <w:t>Chief Financial Officer</w:t>
      </w:r>
    </w:p>
    <w:p>
      <w:pPr>
        <w:pStyle w:val="Heading2"/>
      </w:pPr>
      <w:r>
        <w:t>Program Structure</w:t>
      </w:r>
    </w:p>
    <w:p>
      <w:r>
        <w:t>Your journey, block by block</w:t>
      </w:r>
    </w:p>
    <w:p>
      <w:r>
        <w:t>Three blocks across 15 courses: core management, the finance and investment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Behavior</w:t>
      </w:r>
    </w:p>
    <w:p>
      <w:pPr>
        <w:pStyle w:val="ListBullet"/>
      </w:pPr>
      <w:r>
        <w:t>Marketing in a Digital World</w:t>
      </w:r>
    </w:p>
    <w:p>
      <w:pPr>
        <w:pStyle w:val="ListBullet"/>
      </w:pPr>
      <w:r>
        <w:t>Accounting for Financial Reporting</w:t>
      </w:r>
    </w:p>
    <w:p>
      <w:pPr>
        <w:pStyle w:val="Heading3"/>
        <w:spacing w:before="200"/>
      </w:pPr>
      <w:r>
        <w:t>Block 2 · Finance and investment foundation (20 ECTS)</w:t>
      </w:r>
    </w:p>
    <w:p>
      <w:pPr>
        <w:pStyle w:val="ListBullet"/>
      </w:pPr>
      <w:r>
        <w:t>Ten specialization courses covering risk management, investment analysis, financial markets, financial technology, debt management, advanced financial analysis, and risk-based supervision</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with webinars and workshops</w:t>
            </w:r>
          </w:p>
        </w:tc>
      </w:tr>
      <w:tr>
        <w:tc>
          <w:tcPr>
            <w:tcW w:type="dxa" w:w="3118"/>
          </w:tcPr>
          <w:p>
            <w:r>
              <w:rPr>
                <w:b/>
                <w:sz w:val="20"/>
              </w:rPr>
              <w:t>Assessment support</w:t>
            </w:r>
          </w:p>
        </w:tc>
        <w:tc>
          <w:tcPr>
            <w:tcW w:type="dxa" w:w="4320"/>
          </w:tcPr>
          <w:p>
            <w:r>
              <w:rPr>
                <w:sz w:val="20"/>
              </w:rPr>
              <w:t>Feedback on financial analyzes and research, handled properly</w:t>
            </w:r>
          </w:p>
        </w:tc>
      </w:tr>
      <w:tr>
        <w:tc>
          <w:tcPr>
            <w:tcW w:type="dxa" w:w="3118"/>
          </w:tcPr>
          <w:p>
            <w:r>
              <w:rPr>
                <w:b/>
                <w:sz w:val="20"/>
              </w:rPr>
              <w:t>Affordable installments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track banking, investment, and fintech hiring in the Gulf</w:t>
            </w:r>
          </w:p>
        </w:tc>
      </w:tr>
      <w:tr>
        <w:tc>
          <w:tcPr>
            <w:tcW w:type="dxa" w:w="3118"/>
          </w:tcPr>
          <w:p>
            <w:r>
              <w:rPr>
                <w:b/>
                <w:sz w:val="20"/>
              </w:rPr>
              <w:t>Documentation assistance</w:t>
            </w:r>
          </w:p>
        </w:tc>
        <w:tc>
          <w:tcPr>
            <w:tcW w:type="dxa" w:w="4320"/>
          </w:tcPr>
          <w:p>
            <w:r>
              <w:rPr>
                <w:sz w:val="20"/>
              </w:rPr>
              <w:t>Enrollment worked through with you, step by step</w:t>
            </w:r>
          </w:p>
        </w:tc>
      </w:tr>
    </w:tbl>
    <w:p>
      <w:pPr>
        <w:pStyle w:val="Heading2"/>
      </w:pPr>
      <w:r>
        <w:t>Why GCC Professionals Choose This Programme</w:t>
      </w:r>
    </w:p>
    <w:p>
      <w:r>
        <w:rPr>
          <w:b/>
        </w:rPr>
        <w:t>Study inside a banking market measured in trillions</w:t>
      </w:r>
    </w:p>
    <w:p>
      <w:r>
        <w:t>Fully online, no visa, no career break. UAE bank assets passed AED 4.1 trillion in 2024, and the hiring runs from mid-level to C-suite.</w:t>
      </w:r>
    </w:p>
    <w:p>
      <w:r>
        <w:rPr>
          <w:b/>
        </w:rPr>
        <w:t>Regulation raised the credential bar</w:t>
      </w:r>
    </w:p>
    <w:p>
      <w:r>
        <w:t>Post-2024 tightening in compliance, risk, and governance means Gulf finance employers screen harder for formal qualifications. The MSc clears the screen.</w:t>
      </w:r>
    </w:p>
    <w:p>
      <w:r>
        <w:rPr>
          <w:b/>
        </w:rPr>
        <w:t>Fintech competes for the same people</w:t>
      </w:r>
    </w:p>
    <w:p>
      <w:r>
        <w:t>Banks and fintechs bid for hybrids who understand both finance and technology, and demand for them keeps formal qualifications scarce.</w:t>
      </w:r>
    </w:p>
    <w:p>
      <w:r>
        <w:rPr>
          <w:b/>
        </w:rPr>
        <w:t>The skills gap is documented</w:t>
      </w:r>
    </w:p>
    <w:p>
      <w:r>
        <w:t>Across the Gulf, employers keep reporting shortages of qualified candidates, with risk and treasury among the tightest.</w:t>
      </w:r>
    </w:p>
    <w:p>
      <w:r>
        <w:rPr>
          <w:b/>
        </w:rPr>
        <w:t>12 months suits analysts' calendars</w:t>
      </w:r>
    </w:p>
    <w:p>
      <w:r>
        <w:t>The asynchronous format means no sabbatical and no lost bonus season.</w:t>
      </w:r>
    </w:p>
    <w:p>
      <w:r>
        <w:rPr>
          <w:b/>
        </w:rPr>
        <w:t>The research component pays off twice</w:t>
      </w:r>
    </w:p>
    <w:p>
      <w:r>
        <w:t>Independent research under faculty guidance serves the degree now and any later doctoral ambition later.</w:t>
      </w:r>
    </w:p>
    <w:p>
      <w:r>
        <w:rPr>
          <w:b/>
        </w:rPr>
        <w:t>Honest take</w:t>
      </w:r>
    </w:p>
    <w:p>
      <w:r>
        <w:t>if your destination is charter-only analysis, the CFA remains the benchmark and this MSc complements rather than replaces it. Plenty of candidates run the two in sequence, and the research block helps with the harder chapters.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vary with the intake and the ECTS version selected, so Maverick Business Academy London publishes no fixed figure in advance. Admissions sends a personal breakdown on request,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