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pPr>
      <w:r>
        <w:t>WEBSITE PROGRAMME CONTENT</w:t>
      </w:r>
    </w:p>
    <w:p>
      <w:pPr>
        <w:pStyle w:val="Title"/>
      </w:pPr>
      <w:r>
        <w:t>Bachelor of Business Administration (BBA) in Finance</w:t>
      </w:r>
    </w:p>
    <w:p>
      <w:pPr>
        <w:spacing w:after="100"/>
      </w:pPr>
      <w:r>
        <w:rPr>
          <w:b/>
          <w:color w:val="0B7F78"/>
          <w:sz w:val="34"/>
        </w:rPr>
        <w:t>From Financial Insight to Strategic Growth.</w:t>
      </w:r>
    </w:p>
    <w:p>
      <w:pPr>
        <w:spacing w:after="240"/>
      </w:pPr>
      <w:r>
        <w:rPr>
          <w:color w:val="5C6B73"/>
          <w:sz w:val="23"/>
        </w:rPr>
        <w:t>Build the financial, analytical and strategic capabilities needed to interpret business performance, evaluate investments, manage risk and support sustainable organisational growth.</w:t>
      </w:r>
    </w:p>
    <w:p>
      <w:pPr>
        <w:spacing w:after="160"/>
        <w:pBdr>
          <w:bottom w:val="single" w:sz="16" w:space="1" w:color="0B7F78"/>
        </w:pBdr>
      </w:pPr>
    </w:p>
    <w:p>
      <w:pPr>
        <w:pStyle w:val="Heading2"/>
      </w:pPr>
      <w:r>
        <w:t>Quick Highlights</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cantSplit/>
        </w:trPr>
        <w:tc>
          <w:tcPr>
            <w:tcW w:type="dxa" w:w="1987"/>
            <w:shd w:fill="EAF5F3"/>
            <w:tcBorders>
              <w:top w:val="single" w:sz="4" w:color="BFDCD8"/>
              <w:left w:val="single" w:sz="4" w:color="BFDCD8"/>
              <w:bottom w:val="single" w:sz="4" w:color="BFDCD8"/>
              <w:right w:val="single" w:sz="4" w:color="BFDCD8"/>
            </w:tcBorders>
          </w:tcPr>
          <w:p>
            <w:r>
              <w:t>Bachelor’s Degree</w:t>
            </w:r>
          </w:p>
        </w:tc>
        <w:tc>
          <w:tcPr>
            <w:tcW w:type="dxa" w:w="1987"/>
            <w:shd w:fill="EAF5F3"/>
            <w:tcBorders>
              <w:top w:val="single" w:sz="4" w:color="BFDCD8"/>
              <w:left w:val="single" w:sz="4" w:color="BFDCD8"/>
              <w:bottom w:val="single" w:sz="4" w:color="BFDCD8"/>
              <w:right w:val="single" w:sz="4" w:color="BFDCD8"/>
            </w:tcBorders>
          </w:tcPr>
          <w:p>
            <w:r>
              <w:t>Flexible Learning</w:t>
            </w:r>
          </w:p>
        </w:tc>
        <w:tc>
          <w:tcPr>
            <w:tcW w:type="dxa" w:w="1987"/>
            <w:shd w:fill="EAF5F3"/>
            <w:tcBorders>
              <w:top w:val="single" w:sz="4" w:color="BFDCD8"/>
              <w:left w:val="single" w:sz="4" w:color="BFDCD8"/>
              <w:bottom w:val="single" w:sz="4" w:color="BFDCD8"/>
              <w:right w:val="single" w:sz="4" w:color="BFDCD8"/>
            </w:tcBorders>
          </w:tcPr>
          <w:p>
            <w:r>
              <w:t>Industry-Focused</w:t>
            </w:r>
          </w:p>
        </w:tc>
        <w:tc>
          <w:tcPr>
            <w:tcW w:type="dxa" w:w="1987"/>
            <w:shd w:fill="EAF5F3"/>
            <w:tcBorders>
              <w:top w:val="single" w:sz="4" w:color="BFDCD8"/>
              <w:left w:val="single" w:sz="4" w:color="BFDCD8"/>
              <w:bottom w:val="single" w:sz="4" w:color="BFDCD8"/>
              <w:right w:val="single" w:sz="4" w:color="BFDCD8"/>
            </w:tcBorders>
          </w:tcPr>
          <w:p>
            <w:r>
              <w:t>Finance Specialisation</w:t>
            </w:r>
          </w:p>
        </w:tc>
        <w:tc>
          <w:tcPr>
            <w:tcW w:type="dxa" w:w="1987"/>
            <w:shd w:fill="EAF5F3"/>
            <w:tcBorders>
              <w:top w:val="single" w:sz="4" w:color="BFDCD8"/>
              <w:left w:val="single" w:sz="4" w:color="BFDCD8"/>
              <w:bottom w:val="single" w:sz="4" w:color="BFDCD8"/>
              <w:right w:val="single" w:sz="4" w:color="BFDCD8"/>
            </w:tcBorders>
          </w:tcPr>
          <w:p>
            <w:r>
              <w:t>Career-Oriented</w:t>
            </w:r>
          </w:p>
        </w:tc>
      </w:tr>
    </w:tbl>
    <w:p/>
    <w:p>
      <w:pPr>
        <w:pStyle w:val="Heading1"/>
      </w:pPr>
      <w:r>
        <w:t>Programme at a Glance</w:t>
      </w:r>
    </w:p>
    <w:tbl>
      <w:tblPr>
        <w:tblW w:type="auto" w:w="0"/>
        <w:jc w:val="center"/>
        <w:tblLayout w:type="fixed"/>
        <w:tblLook w:firstColumn="1" w:firstRow="1" w:lastColumn="0" w:lastRow="0" w:noHBand="0" w:noVBand="1" w:val="04A0"/>
      </w:tblPr>
      <w:tblGrid>
        <w:gridCol w:w="2520"/>
        <w:gridCol w:w="7560"/>
      </w:tblGrid>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Degree Award</w:t>
            </w:r>
          </w:p>
        </w:tc>
        <w:tc>
          <w:tcPr>
            <w:tcW w:type="dxa" w:w="7560"/>
            <w:shd w:fill="F8FAFB"/>
            <w:vAlign w:val="center"/>
            <w:tcBorders>
              <w:top w:val="single" w:sz="3" w:color="D9E2E7"/>
              <w:left w:val="single" w:sz="3" w:color="D9E2E7"/>
              <w:bottom w:val="single" w:sz="3" w:color="D9E2E7"/>
              <w:right w:val="single" w:sz="3" w:color="D9E2E7"/>
            </w:tcBorders>
          </w:tcPr>
          <w:p>
            <w:r>
              <w:t>Bachelor of Business Administration (BBA)</w:t>
            </w:r>
          </w:p>
        </w:tc>
      </w:tr>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Specialisation</w:t>
            </w:r>
          </w:p>
        </w:tc>
        <w:tc>
          <w:tcPr>
            <w:tcW w:type="dxa" w:w="7560"/>
            <w:shd w:fill="F8FAFB"/>
            <w:vAlign w:val="center"/>
            <w:tcBorders>
              <w:top w:val="single" w:sz="3" w:color="D9E2E7"/>
              <w:left w:val="single" w:sz="3" w:color="D9E2E7"/>
              <w:bottom w:val="single" w:sz="3" w:color="D9E2E7"/>
              <w:right w:val="single" w:sz="3" w:color="D9E2E7"/>
            </w:tcBorders>
          </w:tcPr>
          <w:p>
            <w:r>
              <w:t>Finance</w:t>
            </w:r>
          </w:p>
        </w:tc>
      </w:tr>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Study Mode</w:t>
            </w:r>
          </w:p>
        </w:tc>
        <w:tc>
          <w:tcPr>
            <w:tcW w:type="dxa" w:w="7560"/>
            <w:shd w:fill="F8FAFB"/>
            <w:vAlign w:val="center"/>
            <w:tcBorders>
              <w:top w:val="single" w:sz="3" w:color="D9E2E7"/>
              <w:left w:val="single" w:sz="3" w:color="D9E2E7"/>
              <w:bottom w:val="single" w:sz="3" w:color="D9E2E7"/>
              <w:right w:val="single" w:sz="3" w:color="D9E2E7"/>
            </w:tcBorders>
          </w:tcPr>
          <w:p>
            <w:r>
              <w:t>Online, Hybrid and Part-Time</w:t>
            </w:r>
          </w:p>
        </w:tc>
      </w:tr>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Assessment</w:t>
            </w:r>
          </w:p>
        </w:tc>
        <w:tc>
          <w:tcPr>
            <w:tcW w:type="dxa" w:w="7560"/>
            <w:shd w:fill="F8FAFB"/>
            <w:vAlign w:val="center"/>
            <w:tcBorders>
              <w:top w:val="single" w:sz="3" w:color="D9E2E7"/>
              <w:left w:val="single" w:sz="3" w:color="D9E2E7"/>
              <w:bottom w:val="single" w:sz="3" w:color="D9E2E7"/>
              <w:right w:val="single" w:sz="3" w:color="D9E2E7"/>
            </w:tcBorders>
          </w:tcPr>
          <w:p>
            <w:r>
              <w:t>Assignments, Projects and Case Studies</w:t>
            </w:r>
          </w:p>
        </w:tc>
      </w:tr>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Learning Focus</w:t>
            </w:r>
          </w:p>
        </w:tc>
        <w:tc>
          <w:tcPr>
            <w:tcW w:type="dxa" w:w="7560"/>
            <w:shd w:fill="F8FAFB"/>
            <w:vAlign w:val="center"/>
            <w:tcBorders>
              <w:top w:val="single" w:sz="3" w:color="D9E2E7"/>
              <w:left w:val="single" w:sz="3" w:color="D9E2E7"/>
              <w:bottom w:val="single" w:sz="3" w:color="D9E2E7"/>
              <w:right w:val="single" w:sz="3" w:color="D9E2E7"/>
            </w:tcBorders>
          </w:tcPr>
          <w:p>
            <w:r>
              <w:t>Corporate Finance, Financial Statement Analysis, Investment Management, Portfolio Theory, Risk and SME Finance</w:t>
            </w:r>
          </w:p>
        </w:tc>
      </w:tr>
      <w:tr>
        <w:trPr>
          <w:cantSplit/>
        </w:trPr>
        <w:tc>
          <w:tcPr>
            <w:tcW w:type="dxa" w:w="2520"/>
            <w:shd w:fill="17324D"/>
            <w:vAlign w:val="center"/>
            <w:tcBorders>
              <w:top w:val="single" w:sz="3" w:color="D9E2E7"/>
              <w:left w:val="single" w:sz="3" w:color="D9E2E7"/>
              <w:bottom w:val="single" w:sz="3" w:color="D9E2E7"/>
              <w:right w:val="single" w:sz="3" w:color="D9E2E7"/>
            </w:tcBorders>
          </w:tcPr>
          <w:p>
            <w:r>
              <w:rPr>
                <w:b/>
                <w:color w:val="FFFFFF"/>
                <w:sz w:val="18"/>
              </w:rPr>
              <w:t>Designed For</w:t>
            </w:r>
          </w:p>
        </w:tc>
        <w:tc>
          <w:tcPr>
            <w:tcW w:type="dxa" w:w="7560"/>
            <w:shd w:fill="F8FAFB"/>
            <w:vAlign w:val="center"/>
            <w:tcBorders>
              <w:top w:val="single" w:sz="3" w:color="D9E2E7"/>
              <w:left w:val="single" w:sz="3" w:color="D9E2E7"/>
              <w:bottom w:val="single" w:sz="3" w:color="D9E2E7"/>
              <w:right w:val="single" w:sz="3" w:color="D9E2E7"/>
            </w:tcBorders>
          </w:tcPr>
          <w:p>
            <w:r>
              <w:t>Students and working professionals seeking careers in finance, banking, investment and business</w:t>
            </w:r>
          </w:p>
        </w:tc>
      </w:tr>
    </w:tbl>
    <w:p>
      <w:pPr>
        <w:pStyle w:val="Heading1"/>
      </w:pPr>
      <w:r>
        <w:t>Programme Overview</w:t>
      </w:r>
    </w:p>
    <w:p>
      <w:pPr>
        <w:pStyle w:val="Heading2"/>
      </w:pPr>
      <w:r>
        <w:t>About This Programme</w:t>
      </w:r>
    </w:p>
    <w:p>
      <w:r>
        <w:t>The BBA in Finance is designed for learners who want to understand how financial decisions influence business performance, growth and long-term organisational success.</w:t>
      </w:r>
    </w:p>
    <w:p>
      <w:r>
        <w:t>The programme develops a strong foundation in business operations, leadership and decision-making while building focused expertise in corporate finance, financial statement analysis, investment management, portfolio theory and finance for SMEs and entrepreneurial ventures.</w:t>
      </w:r>
    </w:p>
    <w:p>
      <w:r>
        <w:t>Students learn how to interpret financial information, evaluate business performance, assess investment opportunities, understand risk and support evidence-based financial decisions across different organisational environments.</w:t>
      </w:r>
    </w:p>
    <w:p>
      <w:r>
        <w:t>By combining broad business knowledge with practical finance expertise, the programme prepares graduates for opportunities across banking, corporate finance, investment, financial analysis, business development, entrepreneurship and related commercial functions.</w:t>
      </w:r>
    </w:p>
    <w:p>
      <w:pPr>
        <w:pStyle w:val="Heading1"/>
      </w:pPr>
      <w:r>
        <w:t>Why Choose BBA in Finance?</w:t>
      </w: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01</w:t>
            </w:r>
          </w:p>
        </w:tc>
        <w:tc>
          <w:tcPr>
            <w:tcW w:type="dxa" w:w="4968"/>
            <w:shd w:fill="F8FBFB"/>
            <w:vAlign w:val="center"/>
            <w:tcBorders>
              <w:top w:val="single" w:sz="4" w:color="D8E6E4"/>
              <w:left w:val="single" w:sz="4" w:color="D8E6E4"/>
              <w:bottom w:val="single" w:sz="4" w:color="D8E6E4"/>
              <w:right w:val="single" w:sz="4" w:color="D8E6E4"/>
            </w:tcBorders>
          </w:tcPr>
          <w:p>
            <w:r>
              <w:t>Strengthen Financial Decision-Making</w:t>
              <w:br/>
              <w:t>Develop the ability to interpret financial information and connect finance with wider business strategy.</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02</w:t>
            </w:r>
          </w:p>
        </w:tc>
        <w:tc>
          <w:tcPr>
            <w:tcW w:type="dxa" w:w="4968"/>
            <w:shd w:fill="F8FBFB"/>
            <w:vAlign w:val="center"/>
            <w:tcBorders>
              <w:top w:val="single" w:sz="4" w:color="D8E6E4"/>
              <w:left w:val="single" w:sz="4" w:color="D8E6E4"/>
              <w:bottom w:val="single" w:sz="4" w:color="D8E6E4"/>
              <w:right w:val="single" w:sz="4" w:color="D8E6E4"/>
            </w:tcBorders>
          </w:tcPr>
          <w:p>
            <w:r>
              <w:t>Build Corporate Finance Capability</w:t>
              <w:br/>
              <w:t>Understand how organisations assess performance, funding needs and financial priorities to support sustainable growth.</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03</w:t>
            </w:r>
          </w:p>
        </w:tc>
        <w:tc>
          <w:tcPr>
            <w:tcW w:type="dxa" w:w="4968"/>
            <w:shd w:fill="F8FBFB"/>
            <w:vAlign w:val="center"/>
            <w:tcBorders>
              <w:top w:val="single" w:sz="4" w:color="D8E6E4"/>
              <w:left w:val="single" w:sz="4" w:color="D8E6E4"/>
              <w:bottom w:val="single" w:sz="4" w:color="D8E6E4"/>
              <w:right w:val="single" w:sz="4" w:color="D8E6E4"/>
            </w:tcBorders>
          </w:tcPr>
          <w:p>
            <w:r>
              <w:t>Develop Investment Knowledge</w:t>
              <w:br/>
              <w:t>Explore investment principles, portfolio theory, diversification and the relationship between risk and return.</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04</w:t>
            </w:r>
          </w:p>
        </w:tc>
        <w:tc>
          <w:tcPr>
            <w:tcW w:type="dxa" w:w="4968"/>
            <w:shd w:fill="F8FBFB"/>
            <w:vAlign w:val="center"/>
            <w:tcBorders>
              <w:top w:val="single" w:sz="4" w:color="D8E6E4"/>
              <w:left w:val="single" w:sz="4" w:color="D8E6E4"/>
              <w:bottom w:val="single" w:sz="4" w:color="D8E6E4"/>
              <w:right w:val="single" w:sz="4" w:color="D8E6E4"/>
            </w:tcBorders>
          </w:tcPr>
          <w:p>
            <w:r>
              <w:t>Become More Analytical</w:t>
              <w:br/>
              <w:t>Build confidence in reading financial statements, evaluating performance and using evidence to support business decisions.</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05</w:t>
            </w:r>
          </w:p>
        </w:tc>
        <w:tc>
          <w:tcPr>
            <w:tcW w:type="dxa" w:w="4968"/>
            <w:shd w:fill="F8FBFB"/>
            <w:vAlign w:val="center"/>
            <w:tcBorders>
              <w:top w:val="single" w:sz="4" w:color="D8E6E4"/>
              <w:left w:val="single" w:sz="4" w:color="D8E6E4"/>
              <w:bottom w:val="single" w:sz="4" w:color="D8E6E4"/>
              <w:right w:val="single" w:sz="4" w:color="D8E6E4"/>
            </w:tcBorders>
          </w:tcPr>
          <w:p>
            <w:r>
              <w:t>Understand Finance for Growth</w:t>
              <w:br/>
              <w:t>Learn how sound financial management supports SMEs, entrepreneurial ventures and expanding organisations.</w:t>
            </w:r>
          </w:p>
        </w:tc>
      </w:tr>
    </w:tbl>
    <w:p>
      <w:pPr>
        <w:spacing w:after="20"/>
      </w:pPr>
    </w:p>
    <w:p>
      <w:pPr>
        <w:pStyle w:val="Heading1"/>
      </w:pPr>
      <w:r>
        <w:t>What You’ll Learn</w:t>
      </w:r>
    </w:p>
    <w:p>
      <w:pPr>
        <w:pStyle w:val="Heading2"/>
      </w:pPr>
      <w:r>
        <w:t>Learning Outcomes</w:t>
      </w:r>
    </w:p>
    <w:p>
      <w:pPr>
        <w:pStyle w:val="ListBullet"/>
        <w:ind w:left="288" w:hanging="216"/>
      </w:pPr>
      <w:r>
        <w:t>Interpret financial information and use it to support business decision-making.</w:t>
      </w:r>
    </w:p>
    <w:p>
      <w:pPr>
        <w:pStyle w:val="ListBullet"/>
        <w:ind w:left="288" w:hanging="216"/>
      </w:pPr>
      <w:r>
        <w:t>Evaluate financial statements to understand organisational performance and financial position.</w:t>
      </w:r>
    </w:p>
    <w:p>
      <w:pPr>
        <w:pStyle w:val="ListBullet"/>
        <w:ind w:left="288" w:hanging="216"/>
      </w:pPr>
      <w:r>
        <w:t>Understand investment principles, portfolio theory and the relationship between risk and return.</w:t>
      </w:r>
    </w:p>
    <w:p>
      <w:pPr>
        <w:pStyle w:val="ListBullet"/>
        <w:ind w:left="288" w:hanging="216"/>
      </w:pPr>
      <w:r>
        <w:t>Apply corporate finance concepts to funding, growth and strategic business decisions.</w:t>
      </w:r>
    </w:p>
    <w:p>
      <w:pPr>
        <w:pStyle w:val="ListBullet"/>
        <w:ind w:left="288" w:hanging="216"/>
      </w:pPr>
      <w:r>
        <w:t>Assess financial risks and changing business conditions across different organisational environments.</w:t>
      </w:r>
    </w:p>
    <w:p>
      <w:pPr>
        <w:pStyle w:val="ListBullet"/>
        <w:ind w:left="288" w:hanging="216"/>
      </w:pPr>
      <w:r>
        <w:t>Develop financial approaches relevant to SMEs, entrepreneurship and sustainable business growth.</w:t>
      </w:r>
    </w:p>
    <w:p>
      <w:pPr>
        <w:pStyle w:val="Heading1"/>
      </w:pPr>
      <w:r>
        <w:t>Career Opportunities</w:t>
      </w:r>
    </w:p>
    <w:p>
      <w:pPr>
        <w:pStyle w:val="Heading2"/>
      </w:pPr>
      <w:r>
        <w:t>Where This Degree Can Take You</w:t>
      </w:r>
    </w:p>
    <w:p>
      <w:r>
        <w:t>A BBA in Finance can prepare graduates for careers across finance, banking, investment, financial analysis, business development, risk and commercial management functions.</w:t>
      </w:r>
    </w:p>
    <w:tbl>
      <w:tblPr>
        <w:tblW w:type="auto" w:w="0"/>
        <w:jc w:val="center"/>
        <w:tblLook w:firstColumn="1" w:firstRow="1" w:lastColumn="0" w:lastRow="0" w:noHBand="0" w:noVBand="1" w:val="04A0"/>
      </w:tblPr>
      <w:tblGrid>
        <w:gridCol w:w="3312"/>
        <w:gridCol w:w="3312"/>
        <w:gridCol w:w="3312"/>
      </w:tblGrid>
      <w:tr>
        <w:trPr>
          <w:cantSplit/>
        </w:trPr>
        <w:tc>
          <w:tcPr>
            <w:tcW w:type="dxa" w:w="3312"/>
            <w:shd w:fill="F4F8F8"/>
            <w:tcBorders>
              <w:top w:val="single" w:sz="3" w:color="DCE8E7"/>
              <w:left w:val="single" w:sz="3" w:color="DCE8E7"/>
              <w:bottom w:val="single" w:sz="3" w:color="DCE8E7"/>
              <w:right w:val="single" w:sz="3" w:color="DCE8E7"/>
            </w:tcBorders>
          </w:tcPr>
          <w:p>
            <w:r>
              <w:t>Financial Analyst</w:t>
            </w:r>
          </w:p>
        </w:tc>
        <w:tc>
          <w:tcPr>
            <w:tcW w:type="dxa" w:w="3312"/>
            <w:shd w:fill="F4F8F8"/>
            <w:tcBorders>
              <w:top w:val="single" w:sz="3" w:color="DCE8E7"/>
              <w:left w:val="single" w:sz="3" w:color="DCE8E7"/>
              <w:bottom w:val="single" w:sz="3" w:color="DCE8E7"/>
              <w:right w:val="single" w:sz="3" w:color="DCE8E7"/>
            </w:tcBorders>
          </w:tcPr>
          <w:p>
            <w:r>
              <w:t>Corporate Finance Executive</w:t>
            </w:r>
          </w:p>
        </w:tc>
        <w:tc>
          <w:tcPr>
            <w:tcW w:type="dxa" w:w="3312"/>
            <w:shd w:fill="F4F8F8"/>
            <w:tcBorders>
              <w:top w:val="single" w:sz="3" w:color="DCE8E7"/>
              <w:left w:val="single" w:sz="3" w:color="DCE8E7"/>
              <w:bottom w:val="single" w:sz="3" w:color="DCE8E7"/>
              <w:right w:val="single" w:sz="3" w:color="DCE8E7"/>
            </w:tcBorders>
          </w:tcPr>
          <w:p>
            <w:r>
              <w:t>Investment Analyst</w:t>
            </w:r>
          </w:p>
        </w:tc>
      </w:tr>
      <w:tr>
        <w:trPr>
          <w:cantSplit/>
        </w:trPr>
        <w:tc>
          <w:tcPr>
            <w:tcW w:type="dxa" w:w="3312"/>
            <w:shd w:fill="F4F8F8"/>
            <w:tcBorders>
              <w:top w:val="single" w:sz="3" w:color="DCE8E7"/>
              <w:left w:val="single" w:sz="3" w:color="DCE8E7"/>
              <w:bottom w:val="single" w:sz="3" w:color="DCE8E7"/>
              <w:right w:val="single" w:sz="3" w:color="DCE8E7"/>
            </w:tcBorders>
          </w:tcPr>
          <w:p>
            <w:r>
              <w:t>Banking Executive</w:t>
            </w:r>
          </w:p>
        </w:tc>
        <w:tc>
          <w:tcPr>
            <w:tcW w:type="dxa" w:w="3312"/>
            <w:shd w:fill="F4F8F8"/>
            <w:tcBorders>
              <w:top w:val="single" w:sz="3" w:color="DCE8E7"/>
              <w:left w:val="single" w:sz="3" w:color="DCE8E7"/>
              <w:bottom w:val="single" w:sz="3" w:color="DCE8E7"/>
              <w:right w:val="single" w:sz="3" w:color="DCE8E7"/>
            </w:tcBorders>
          </w:tcPr>
          <w:p>
            <w:r>
              <w:t>Credit Analyst</w:t>
            </w:r>
          </w:p>
        </w:tc>
        <w:tc>
          <w:tcPr>
            <w:tcW w:type="dxa" w:w="3312"/>
            <w:shd w:fill="F4F8F8"/>
            <w:tcBorders>
              <w:top w:val="single" w:sz="3" w:color="DCE8E7"/>
              <w:left w:val="single" w:sz="3" w:color="DCE8E7"/>
              <w:bottom w:val="single" w:sz="3" w:color="DCE8E7"/>
              <w:right w:val="single" w:sz="3" w:color="DCE8E7"/>
            </w:tcBorders>
          </w:tcPr>
          <w:p>
            <w:r>
              <w:t>Risk Analyst</w:t>
            </w:r>
          </w:p>
        </w:tc>
      </w:tr>
      <w:tr>
        <w:trPr>
          <w:cantSplit/>
        </w:trPr>
        <w:tc>
          <w:tcPr>
            <w:tcW w:type="dxa" w:w="3312"/>
            <w:shd w:fill="F4F8F8"/>
            <w:tcBorders>
              <w:top w:val="single" w:sz="3" w:color="DCE8E7"/>
              <w:left w:val="single" w:sz="3" w:color="DCE8E7"/>
              <w:bottom w:val="single" w:sz="3" w:color="DCE8E7"/>
              <w:right w:val="single" w:sz="3" w:color="DCE8E7"/>
            </w:tcBorders>
          </w:tcPr>
          <w:p>
            <w:r>
              <w:t>Finance Executive</w:t>
            </w:r>
          </w:p>
        </w:tc>
        <w:tc>
          <w:tcPr>
            <w:tcW w:type="dxa" w:w="3312"/>
            <w:shd w:fill="F4F8F8"/>
            <w:tcBorders>
              <w:top w:val="single" w:sz="3" w:color="DCE8E7"/>
              <w:left w:val="single" w:sz="3" w:color="DCE8E7"/>
              <w:bottom w:val="single" w:sz="3" w:color="DCE8E7"/>
              <w:right w:val="single" w:sz="3" w:color="DCE8E7"/>
            </w:tcBorders>
          </w:tcPr>
          <w:p>
            <w:r>
              <w:t>Business Analyst</w:t>
            </w:r>
          </w:p>
        </w:tc>
        <w:tc>
          <w:tcPr>
            <w:tcW w:type="dxa" w:w="3312"/>
            <w:shd w:fill="F4F8F8"/>
            <w:tcBorders>
              <w:top w:val="single" w:sz="3" w:color="DCE8E7"/>
              <w:left w:val="single" w:sz="3" w:color="DCE8E7"/>
              <w:bottom w:val="single" w:sz="3" w:color="DCE8E7"/>
              <w:right w:val="single" w:sz="3" w:color="DCE8E7"/>
            </w:tcBorders>
          </w:tcPr>
          <w:p>
            <w:r>
              <w:t>Treasury Assistant</w:t>
            </w:r>
          </w:p>
        </w:tc>
      </w:tr>
      <w:tr>
        <w:trPr>
          <w:cantSplit/>
        </w:trPr>
        <w:tc>
          <w:tcPr>
            <w:tcW w:type="dxa" w:w="3312"/>
            <w:shd w:fill="F4F8F8"/>
            <w:tcBorders>
              <w:top w:val="single" w:sz="3" w:color="DCE8E7"/>
              <w:left w:val="single" w:sz="3" w:color="DCE8E7"/>
              <w:bottom w:val="single" w:sz="3" w:color="DCE8E7"/>
              <w:right w:val="single" w:sz="3" w:color="DCE8E7"/>
            </w:tcBorders>
          </w:tcPr>
          <w:p>
            <w:r>
              <w:t>Commercial Finance Executive</w:t>
            </w:r>
          </w:p>
        </w:tc>
        <w:tc>
          <w:tcPr>
            <w:tcW w:type="dxa" w:w="3312"/>
            <w:shd w:fill="F4F8F8"/>
            <w:tcBorders>
              <w:top w:val="single" w:sz="3" w:color="DCE8E7"/>
              <w:left w:val="single" w:sz="3" w:color="DCE8E7"/>
              <w:bottom w:val="single" w:sz="3" w:color="DCE8E7"/>
              <w:right w:val="single" w:sz="3" w:color="DCE8E7"/>
            </w:tcBorders>
          </w:tcPr>
          <w:p>
            <w:r>
              <w:t>SME Finance Officer</w:t>
            </w:r>
          </w:p>
        </w:tc>
        <w:tc>
          <w:tcPr>
            <w:tcW w:type="dxa" w:w="3312"/>
            <w:shd w:fill="F4F8F8"/>
            <w:tcBorders>
              <w:top w:val="single" w:sz="3" w:color="DCE8E7"/>
              <w:left w:val="single" w:sz="3" w:color="DCE8E7"/>
              <w:bottom w:val="single" w:sz="3" w:color="DCE8E7"/>
              <w:right w:val="single" w:sz="3" w:color="DCE8E7"/>
            </w:tcBorders>
          </w:tcPr>
          <w:p>
            <w:r>
              <w:t>Entrepreneur / Business Owner</w:t>
            </w:r>
          </w:p>
        </w:tc>
      </w:tr>
    </w:tbl>
    <w:p>
      <w:pPr>
        <w:pStyle w:val="Heading1"/>
      </w:pPr>
      <w:r>
        <w:t>Programme Structure</w:t>
      </w:r>
    </w:p>
    <w:p>
      <w:pPr>
        <w:pStyle w:val="Heading2"/>
      </w:pPr>
      <w:r>
        <w:t>Build Financial Expertise for the Modern Business World</w:t>
      </w:r>
    </w:p>
    <w:p>
      <w:r>
        <w:t>The programme combines a broad business management foundation in Years 1 and 2 with focused finance specialisation modules designed to strengthen analytical, investment and financial decision-making capabilities.</w:t>
      </w:r>
    </w:p>
    <w:p>
      <w:pPr>
        <w:pStyle w:val="Heading2"/>
      </w:pPr>
      <w:r>
        <w:rPr>
          <w:b w:val="0"/>
        </w:rPr>
        <w:t>Core Modules</w:t>
      </w:r>
    </w:p>
    <w:p>
      <w:pPr>
        <w:pStyle w:val="Heading3"/>
      </w:pPr>
      <w:r>
        <w:rPr>
          <w:b w:val="0"/>
        </w:rPr>
        <w:t>Year 1</w:t>
      </w:r>
    </w:p>
    <w:p>
      <w:pPr>
        <w:pStyle w:val="ListBullet"/>
      </w:pPr>
      <w:r>
        <w:rPr>
          <w:b w:val="0"/>
        </w:rPr>
        <w:t>Communications in Organizations</w:t>
      </w:r>
    </w:p>
    <w:p>
      <w:pPr>
        <w:pStyle w:val="ListBullet"/>
      </w:pPr>
      <w:r>
        <w:rPr>
          <w:b w:val="0"/>
        </w:rPr>
        <w:t>Leadership and the Organization</w:t>
      </w:r>
    </w:p>
    <w:p>
      <w:pPr>
        <w:pStyle w:val="ListBullet"/>
      </w:pPr>
      <w:r>
        <w:rPr>
          <w:b w:val="0"/>
        </w:rPr>
        <w:t>Financial Awareness</w:t>
      </w:r>
    </w:p>
    <w:p>
      <w:pPr>
        <w:pStyle w:val="ListBullet"/>
      </w:pPr>
      <w:r>
        <w:rPr>
          <w:b w:val="0"/>
        </w:rPr>
        <w:t>Managing Change</w:t>
      </w:r>
    </w:p>
    <w:p>
      <w:pPr>
        <w:pStyle w:val="ListBullet"/>
      </w:pPr>
      <w:r>
        <w:rPr>
          <w:b w:val="0"/>
        </w:rPr>
        <w:t>Business Operations</w:t>
      </w:r>
    </w:p>
    <w:p>
      <w:pPr>
        <w:pStyle w:val="ListBullet"/>
      </w:pPr>
      <w:r>
        <w:rPr>
          <w:b w:val="0"/>
        </w:rPr>
        <w:t>Developing Teams</w:t>
      </w:r>
    </w:p>
    <w:p>
      <w:pPr>
        <w:pStyle w:val="Heading3"/>
      </w:pPr>
      <w:r>
        <w:rPr>
          <w:b w:val="0"/>
        </w:rPr>
        <w:t>Year 2</w:t>
      </w:r>
    </w:p>
    <w:p>
      <w:pPr>
        <w:pStyle w:val="ListBullet"/>
      </w:pPr>
      <w:r>
        <w:rPr>
          <w:b w:val="0"/>
        </w:rPr>
        <w:t>Responding to the Changing Business Environment</w:t>
      </w:r>
    </w:p>
    <w:p>
      <w:pPr>
        <w:pStyle w:val="ListBullet"/>
      </w:pPr>
      <w:r>
        <w:rPr>
          <w:b w:val="0"/>
        </w:rPr>
        <w:t>Effective Decision Making</w:t>
      </w:r>
    </w:p>
    <w:p>
      <w:pPr>
        <w:pStyle w:val="ListBullet"/>
      </w:pPr>
      <w:r>
        <w:rPr>
          <w:b w:val="0"/>
        </w:rPr>
        <w:t>Business Development</w:t>
      </w:r>
    </w:p>
    <w:p>
      <w:pPr>
        <w:pStyle w:val="ListBullet"/>
      </w:pPr>
      <w:r>
        <w:rPr>
          <w:b w:val="0"/>
        </w:rPr>
        <w:t>Business Models &amp; Growing Organizations</w:t>
      </w:r>
    </w:p>
    <w:p>
      <w:pPr>
        <w:pStyle w:val="ListBullet"/>
      </w:pPr>
      <w:r>
        <w:rPr>
          <w:b w:val="0"/>
        </w:rPr>
        <w:t>Customer Management</w:t>
      </w:r>
    </w:p>
    <w:p>
      <w:pPr>
        <w:pStyle w:val="ListBullet"/>
      </w:pPr>
      <w:r>
        <w:rPr>
          <w:b w:val="0"/>
        </w:rPr>
        <w:t>Risk Management &amp; Organizations</w:t>
      </w:r>
    </w:p>
    <w:p>
      <w:pPr>
        <w:pStyle w:val="Heading2"/>
      </w:pPr>
      <w:r>
        <w:rPr>
          <w:b w:val="0"/>
        </w:rPr>
        <w:t>Specialised Finance Modules</w:t>
      </w:r>
    </w:p>
    <w:p>
      <w:pPr/>
      <w:r>
        <w:rPr>
          <w:b w:val="0"/>
        </w:rPr>
        <w:t>The specialised curriculum develops focused capabilities across corporate finance, investment and entrepreneurial financial management:</w:t>
      </w:r>
    </w:p>
    <w:p>
      <w:pPr>
        <w:spacing w:before="160" w:after="40"/>
      </w:pPr>
      <w:r>
        <w:rPr>
          <w:b/>
          <w:color w:val="0B7F78"/>
          <w:sz w:val="24"/>
        </w:rPr>
        <w:t>01  Corporate Finance &amp; Financial Statement Analysis</w:t>
      </w:r>
      <w:r>
        <w:rPr>
          <w:b/>
          <w:color w:val="17324D"/>
          <w:sz w:val="24"/>
        </w:rPr>
      </w:r>
    </w:p>
    <w:p>
      <w:pPr>
        <w:spacing w:after="140"/>
        <w:ind w:left="504"/>
      </w:pPr>
      <w:r>
        <w:t>Develop the ability to understand corporate financial decisions and evaluate organisational performance through financial statements. The module explores financial analysis, profitability, liquidity, capital structure and the interpretation of key financial information used to support strategic business decisions.</w:t>
      </w:r>
    </w:p>
    <w:p>
      <w:pPr>
        <w:spacing w:before="160" w:after="40"/>
      </w:pPr>
      <w:r>
        <w:rPr>
          <w:b/>
          <w:color w:val="0B7F78"/>
          <w:sz w:val="24"/>
        </w:rPr>
        <w:t>02  Investment Management &amp; Portfolio Theory</w:t>
      </w:r>
      <w:r>
        <w:rPr>
          <w:b/>
          <w:color w:val="17324D"/>
          <w:sz w:val="24"/>
        </w:rPr>
      </w:r>
    </w:p>
    <w:p>
      <w:pPr>
        <w:spacing w:after="140"/>
        <w:ind w:left="504"/>
      </w:pPr>
      <w:r>
        <w:t>Explore the principles that guide investment decisions and portfolio construction. Students examine risk and return, asset allocation, diversification and investment evaluation, helping them understand how financial assets can be assessed and managed within a structured investment approach.</w:t>
      </w:r>
    </w:p>
    <w:p>
      <w:pPr>
        <w:spacing w:before="160" w:after="40"/>
      </w:pPr>
      <w:r>
        <w:rPr>
          <w:b/>
          <w:color w:val="0B7F78"/>
          <w:sz w:val="24"/>
        </w:rPr>
        <w:t>03  Financial Management for SMEs &amp; Entrepreneurship</w:t>
      </w:r>
      <w:r>
        <w:rPr>
          <w:b/>
          <w:color w:val="17324D"/>
          <w:sz w:val="24"/>
        </w:rPr>
      </w:r>
    </w:p>
    <w:p>
      <w:pPr>
        <w:spacing w:after="140"/>
        <w:ind w:left="504"/>
      </w:pPr>
      <w:r>
        <w:t>Understand the financial challenges and opportunities faced by small and medium-sized enterprises and entrepreneurial ventures. The module focuses on budgeting, cash-flow management, funding decisions, financial planning and the effective use of financial resources to support business sustainability and growth.</w:t>
      </w:r>
    </w:p>
    <w:p>
      <w:pPr>
        <w:pStyle w:val="Heading1"/>
      </w:pPr>
      <w:r>
        <w:t>Your Finance Advantage</w:t>
      </w:r>
    </w:p>
    <w:p>
      <w:pPr>
        <w:pStyle w:val="Heading2"/>
      </w:pPr>
      <w:r>
        <w:t>From Financial Understanding to Strategic Decision-Making</w:t>
      </w:r>
    </w:p>
    <w:p>
      <w:r>
        <w:t>This programme takes students beyond basic financial knowledge. You will learn to connect three critical dimensions of modern finance:</w:t>
      </w:r>
    </w:p>
    <w:p>
      <w:pPr>
        <w:jc w:val="center"/>
      </w:pPr>
      <w:r>
        <w:rPr>
          <w:b/>
          <w:color w:val="0B7F78"/>
          <w:sz w:val="26"/>
        </w:rPr>
      </w:r>
      <w:r>
        <w:rPr>
          <w:color w:val="5C6B73"/>
          <w:sz w:val="26"/>
        </w:rPr>
      </w:r>
      <w:r>
        <w:rPr>
          <w:b/>
          <w:color w:val="17324D"/>
          <w:sz w:val="26"/>
        </w:rPr>
      </w:r>
      <w:r>
        <w:rPr>
          <w:color w:val="5C6B73"/>
          <w:sz w:val="26"/>
        </w:rPr>
      </w:r>
      <w:r>
        <w:rPr>
          <w:b/>
          <w:color w:val="B88746"/>
          <w:sz w:val="26"/>
        </w:rPr>
      </w:r>
      <w:r>
        <w:rPr>
          <w:b/>
          <w:sz w:val="26"/>
        </w:rPr>
        <w:t>Financial Analysis</w:t>
      </w:r>
      <w:r>
        <w:rPr>
          <w:b w:val="0"/>
          <w:sz w:val="26"/>
        </w:rPr>
        <w:t xml:space="preserve">  →  </w:t>
      </w:r>
      <w:r>
        <w:rPr>
          <w:b/>
          <w:sz w:val="26"/>
        </w:rPr>
        <w:t>Investment Intelligence</w:t>
      </w:r>
      <w:r>
        <w:rPr>
          <w:b w:val="0"/>
          <w:sz w:val="26"/>
        </w:rPr>
        <w:t xml:space="preserve">  →  </w:t>
      </w:r>
      <w:r>
        <w:rPr>
          <w:b/>
          <w:sz w:val="26"/>
        </w:rPr>
        <w:t>Strategic Growth</w:t>
      </w:r>
    </w:p>
    <w:p>
      <w:r>
        <w:t>By combining these capabilities, graduates are better prepared to evaluate financial performance, make informed investment decisions and contribute to commercially sound business growth.</w:t>
      </w:r>
    </w:p>
    <w:p>
      <w:pPr>
        <w:pStyle w:val="Heading1"/>
      </w:pPr>
      <w:r>
        <w:t>The University</w:t>
      </w:r>
    </w:p>
    <w:p>
      <w:pPr>
        <w:pStyle w:val="Heading2"/>
      </w:pPr>
      <w:r>
        <w:t>Girne American University</w:t>
      </w:r>
    </w:p>
    <w:p>
      <w:r>
        <w:t>Girne American University provides an international higher education environment with programmes designed to develop academic knowledge alongside practical and professional capabilities.</w:t>
      </w:r>
    </w:p>
    <w:p>
      <w:r>
        <w:t>Through a business-focused learning experience, students gain the knowledge and confidence required to operate across modern organisations and increasingly international business environments.</w:t>
      </w:r>
    </w:p>
    <w:p>
      <w:r>
        <w:t>The university recognition and accreditation section should follow the same validated institutional block used on Maverick’s existing Bachelor of Business Management webpage.</w:t>
      </w:r>
    </w:p>
    <w:p>
      <w:pPr>
        <w:pStyle w:val="Heading1"/>
      </w:pPr>
      <w:r>
        <w:t>Your Learning Partner</w:t>
      </w:r>
    </w:p>
    <w:p>
      <w:pPr>
        <w:pStyle w:val="Heading2"/>
      </w:pPr>
      <w:r>
        <w:t>Why Study Through Maverick?</w:t>
      </w:r>
    </w:p>
    <w:p>
      <w:r>
        <w:t>At Maverick Business Academy London, the learning experience extends beyond receiving a qualification. Students receive dedicated academic guidance, experienced faculty support, flexible learning options, assignment guidance, student success support, career guidance, documentation assistance and graduation support throughout their academic journey.</w:t>
      </w:r>
    </w:p>
    <w:p>
      <w:r>
        <w:t>Our approach is designed especially for learners who want to continue their education while balancing professional and personal responsibilities.</w:t>
      </w:r>
    </w:p>
    <w:p>
      <w:pPr>
        <w:pStyle w:val="Heading1"/>
      </w:pPr>
      <w:r>
        <w:t>Designed for the GCC</w:t>
      </w:r>
    </w:p>
    <w:p>
      <w:pPr>
        <w:pStyle w:val="Heading2"/>
      </w:pPr>
      <w:r>
        <w:t>Why GCC Professionals Choose This Programme</w:t>
      </w: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01</w:t>
            </w:r>
          </w:p>
        </w:tc>
        <w:tc>
          <w:tcPr>
            <w:tcW w:type="dxa" w:w="4968"/>
            <w:shd w:fill="F8FBFB"/>
            <w:vAlign w:val="center"/>
            <w:tcBorders>
              <w:top w:val="single" w:sz="4" w:color="D8E6E4"/>
              <w:left w:val="single" w:sz="4" w:color="D8E6E4"/>
              <w:bottom w:val="single" w:sz="4" w:color="D8E6E4"/>
              <w:right w:val="single" w:sz="4" w:color="D8E6E4"/>
            </w:tcBorders>
          </w:tcPr>
          <w:p>
            <w:r>
              <w:t>Study Without Putting Your Career on Hold</w:t>
              <w:br/>
              <w:t>A flexible learning structure allows professionals to continue working while progressing academically.</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02</w:t>
            </w:r>
          </w:p>
        </w:tc>
        <w:tc>
          <w:tcPr>
            <w:tcW w:type="dxa" w:w="4968"/>
            <w:shd w:fill="F8FBFB"/>
            <w:vAlign w:val="center"/>
            <w:tcBorders>
              <w:top w:val="single" w:sz="4" w:color="D8E6E4"/>
              <w:left w:val="single" w:sz="4" w:color="D8E6E4"/>
              <w:bottom w:val="single" w:sz="4" w:color="D8E6E4"/>
              <w:right w:val="single" w:sz="4" w:color="D8E6E4"/>
            </w:tcBorders>
          </w:tcPr>
          <w:p>
            <w:r>
              <w:t>Finance Skills Relevant to the GCC Economy</w:t>
              <w:br/>
              <w:t>Develop capabilities in financial analysis, investment, risk and business finance that are relevant across banking, corporate and entrepreneurial environments in the UAE and wider GCC.</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03</w:t>
            </w:r>
          </w:p>
        </w:tc>
        <w:tc>
          <w:tcPr>
            <w:tcW w:type="dxa" w:w="4968"/>
            <w:shd w:fill="F8FBFB"/>
            <w:vAlign w:val="center"/>
            <w:tcBorders>
              <w:top w:val="single" w:sz="4" w:color="D8E6E4"/>
              <w:left w:val="single" w:sz="4" w:color="D8E6E4"/>
              <w:bottom w:val="single" w:sz="4" w:color="D8E6E4"/>
              <w:right w:val="single" w:sz="4" w:color="D8E6E4"/>
            </w:tcBorders>
          </w:tcPr>
          <w:p>
            <w:r>
              <w:t>Support Better Business Decisions</w:t>
              <w:br/>
              <w:t>Learn to interpret financial performance and use financial evidence to support commercially responsible management decisions.</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04</w:t>
            </w:r>
          </w:p>
        </w:tc>
        <w:tc>
          <w:tcPr>
            <w:tcW w:type="dxa" w:w="4968"/>
            <w:shd w:fill="F8FBFB"/>
            <w:vAlign w:val="center"/>
            <w:tcBorders>
              <w:top w:val="single" w:sz="4" w:color="D8E6E4"/>
              <w:left w:val="single" w:sz="4" w:color="D8E6E4"/>
              <w:bottom w:val="single" w:sz="4" w:color="D8E6E4"/>
              <w:right w:val="single" w:sz="4" w:color="D8E6E4"/>
            </w:tcBorders>
          </w:tcPr>
          <w:p>
            <w:r>
              <w:t>Develop Investment Awareness</w:t>
              <w:br/>
              <w:t>Build an understanding of investment principles, portfolio thinking and risk-return relationships relevant to modern financial markets.</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05</w:t>
            </w:r>
          </w:p>
        </w:tc>
        <w:tc>
          <w:tcPr>
            <w:tcW w:type="dxa" w:w="4968"/>
            <w:shd w:fill="F8FBFB"/>
            <w:vAlign w:val="center"/>
            <w:tcBorders>
              <w:top w:val="single" w:sz="4" w:color="D8E6E4"/>
              <w:left w:val="single" w:sz="4" w:color="D8E6E4"/>
              <w:bottom w:val="single" w:sz="4" w:color="D8E6E4"/>
              <w:right w:val="single" w:sz="4" w:color="D8E6E4"/>
            </w:tcBorders>
          </w:tcPr>
          <w:p>
            <w:r>
              <w:t>Build Skills Across Industries</w:t>
              <w:br/>
              <w:t>Finance expertise can be applied across banking, real estate, hospitality, aviation, retail, technology, healthcare, construction, logistics and professional services.</w:t>
            </w:r>
          </w:p>
        </w:tc>
      </w:tr>
    </w:tbl>
    <w:p>
      <w:pPr>
        <w:spacing w:after="20"/>
      </w:pPr>
    </w:p>
    <w:tbl>
      <w:tblPr>
        <w:tblW w:type="auto" w:w="0"/>
        <w:jc w:val="center"/>
        <w:tblLayout w:type="fixed"/>
        <w:tblLook w:firstColumn="1" w:firstRow="1" w:lastColumn="0" w:lastRow="0" w:noHBand="0" w:noVBand="1" w:val="04A0"/>
      </w:tblPr>
      <w:tblGrid>
        <w:gridCol w:w="792"/>
        <w:gridCol w:w="9144"/>
      </w:tblGrid>
      <w:tr>
        <w:trPr>
          <w:cantSplit/>
        </w:trPr>
        <w:tc>
          <w:tcPr>
            <w:tcW w:type="dxa" w:w="4968"/>
            <w:shd w:fill="0B7F78"/>
            <w:vAlign w:val="center"/>
            <w:tcBorders>
              <w:top w:val="single" w:sz="4" w:color="D8E6E4"/>
              <w:left w:val="single" w:sz="4" w:color="D8E6E4"/>
              <w:bottom w:val="single" w:sz="4" w:color="D8E6E4"/>
              <w:right w:val="single" w:sz="4" w:color="D8E6E4"/>
            </w:tcBorders>
          </w:tcPr>
          <w:p>
            <w:r>
              <w:t>06</w:t>
            </w:r>
          </w:p>
        </w:tc>
        <w:tc>
          <w:tcPr>
            <w:tcW w:type="dxa" w:w="4968"/>
            <w:shd w:fill="F8FBFB"/>
            <w:vAlign w:val="center"/>
            <w:tcBorders>
              <w:top w:val="single" w:sz="4" w:color="D8E6E4"/>
              <w:left w:val="single" w:sz="4" w:color="D8E6E4"/>
              <w:bottom w:val="single" w:sz="4" w:color="D8E6E4"/>
              <w:right w:val="single" w:sz="4" w:color="D8E6E4"/>
            </w:tcBorders>
          </w:tcPr>
          <w:p>
            <w:r>
              <w:t>Prepare for Future Career Progression</w:t>
              <w:br/>
              <w:t>Build a foundation for finance, investment, risk and management opportunities as well as progression to relevant postgraduate education.</w:t>
            </w:r>
          </w:p>
        </w:tc>
      </w:tr>
    </w:tbl>
    <w:p>
      <w:pPr>
        <w:spacing w:after="20"/>
      </w:pPr>
    </w:p>
    <w:p>
      <w:pPr>
        <w:pStyle w:val="Heading1"/>
      </w:pPr>
      <w:r>
        <w:t>Fees &amp; Scholarships</w:t>
      </w:r>
    </w:p>
    <w:p>
      <w:r>
        <w:t>Fee structures may vary according to intake, eligibility and study arrangements. Speak with our admissions team to receive a personalised breakdown covering the registration fee, initial payment, instalment options and available scholarships.</w:t>
      </w:r>
    </w:p>
    <w:p>
      <w:pPr>
        <w:jc w:val="center"/>
      </w:pPr>
      <w:r>
        <w:rPr>
          <w:b/>
          <w:color w:val="0B7F78"/>
          <w:sz w:val="22"/>
        </w:rPr>
        <w:t>REQUEST FEE STRUCTURE</w:t>
      </w:r>
    </w:p>
    <w:p>
      <w:pPr>
        <w:pStyle w:val="Heading1"/>
      </w:pPr>
      <w:r>
        <w:t>Frequently Asked Questions</w:t>
      </w:r>
    </w:p>
    <w:p>
      <w:pPr>
        <w:spacing w:before="140" w:after="40"/>
      </w:pPr>
      <w:r>
        <w:rPr>
          <w:b/>
          <w:color w:val="17324D"/>
          <w:sz w:val="21"/>
        </w:rPr>
        <w:t>What is BBA in Finance?</w:t>
      </w:r>
    </w:p>
    <w:p>
      <w:pPr>
        <w:spacing w:after="60"/>
        <w:ind w:left="288"/>
      </w:pPr>
      <w:r>
        <w:t>A BBA in Finance is a business degree with specialised study focused on corporate finance, financial statement analysis, investment management, portfolio theory and financial management for SMEs and entrepreneurship.</w:t>
      </w:r>
    </w:p>
    <w:p>
      <w:pPr>
        <w:spacing w:before="140" w:after="40"/>
      </w:pPr>
      <w:r>
        <w:rPr>
          <w:b/>
          <w:color w:val="17324D"/>
          <w:sz w:val="21"/>
        </w:rPr>
        <w:t>Can I study while working?</w:t>
      </w:r>
    </w:p>
    <w:p>
      <w:pPr>
        <w:spacing w:after="60"/>
        <w:ind w:left="288"/>
      </w:pPr>
      <w:r>
        <w:t>Yes. The programme is designed with flexible study options that can support both students and working professionals.</w:t>
      </w:r>
    </w:p>
    <w:p>
      <w:pPr>
        <w:spacing w:before="140" w:after="40"/>
      </w:pPr>
      <w:r>
        <w:rPr>
          <w:b/>
          <w:color w:val="17324D"/>
          <w:sz w:val="21"/>
        </w:rPr>
        <w:t>What makes this programme different from a general BBA?</w:t>
      </w:r>
    </w:p>
    <w:p>
      <w:pPr>
        <w:spacing w:after="60"/>
        <w:ind w:left="288"/>
      </w:pPr>
      <w:r>
        <w:t>Alongside developing broader business and management knowledge, the programme provides focused finance expertise in financial analysis, corporate finance, investment management and entrepreneurial finance.</w:t>
      </w:r>
    </w:p>
    <w:p>
      <w:pPr>
        <w:spacing w:before="140" w:after="40"/>
      </w:pPr>
      <w:r>
        <w:rPr>
          <w:b/>
          <w:color w:val="17324D"/>
          <w:sz w:val="21"/>
        </w:rPr>
        <w:t>Do I need previous finance experience?</w:t>
      </w:r>
    </w:p>
    <w:p>
      <w:pPr>
        <w:spacing w:after="60"/>
        <w:ind w:left="288"/>
      </w:pPr>
      <w:r>
        <w:t>Not necessarily. Eligibility is assessed according to the programme’s admission requirements and the applicant’s academic and professional background.</w:t>
      </w:r>
    </w:p>
    <w:p>
      <w:pPr>
        <w:spacing w:before="140" w:after="40"/>
      </w:pPr>
      <w:r>
        <w:rPr>
          <w:b/>
          <w:color w:val="17324D"/>
          <w:sz w:val="21"/>
        </w:rPr>
        <w:t>What careers can I pursue after graduation?</w:t>
      </w:r>
    </w:p>
    <w:p>
      <w:pPr>
        <w:spacing w:after="60"/>
        <w:ind w:left="288"/>
      </w:pPr>
      <w:r>
        <w:t>Graduates may progress into financial analysis, banking, investment, corporate finance, risk, business development, commercial management and related finance functions.</w:t>
      </w:r>
    </w:p>
    <w:p>
      <w:pPr>
        <w:spacing w:before="140" w:after="40"/>
      </w:pPr>
      <w:r>
        <w:rPr>
          <w:b/>
          <w:color w:val="17324D"/>
          <w:sz w:val="21"/>
        </w:rPr>
        <w:t>Can I continue to a Master’s or MBA?</w:t>
      </w:r>
    </w:p>
    <w:p>
      <w:pPr>
        <w:spacing w:after="60"/>
        <w:ind w:left="288"/>
      </w:pPr>
      <w:r>
        <w:t>Yes. Graduates may progress to relevant postgraduate programmes, subject to the admission requirements of the receiving university.</w:t>
      </w:r>
    </w:p>
    <w:p>
      <w:pPr>
        <w:pStyle w:val="Heading1"/>
        <w:jc w:val="center"/>
      </w:pPr>
      <w:r>
        <w:t>Ready to Turn Financial Insight Into Business Growth?</w:t>
      </w:r>
    </w:p>
    <w:p>
      <w:pPr>
        <w:jc w:val="center"/>
      </w:pPr>
      <w:r>
        <w:t>Build the analytical, investment and financial decision-making capabilities required to succeed in today’s business environment.</w:t>
      </w:r>
    </w:p>
    <w:p>
      <w:pPr>
        <w:jc w:val="center"/>
      </w:pPr>
      <w:r>
        <w:rPr>
          <w:b/>
          <w:color w:val="0B7F78"/>
          <w:sz w:val="23"/>
        </w:rPr>
        <w:t>Start your BBA in Finance journey with Maverick Business Academy London.</w:t>
      </w:r>
    </w:p>
    <w:p>
      <w:pPr>
        <w:jc w:val="center"/>
      </w:pPr>
      <w:r>
        <w:rPr>
          <w:b/>
          <w:color w:val="17324D"/>
          <w:sz w:val="22"/>
        </w:rPr>
        <w:t>APPLY NOW   |   ENQUIRE NOW</w:t>
      </w:r>
    </w:p>
    <w:p>
      <w:pPr>
        <w:pStyle w:val="Heading1"/>
      </w:pPr>
      <w:r>
        <w:t>Recommended Hero Copy</w:t>
      </w:r>
    </w:p>
    <w:tbl>
      <w:tblPr>
        <w:tblW w:type="auto" w:w="0"/>
        <w:jc w:val="center"/>
        <w:tblLook w:firstColumn="1" w:firstRow="1" w:lastColumn="0" w:lastRow="0" w:noHBand="0" w:noVBand="1" w:val="04A0"/>
      </w:tblPr>
      <w:tblGrid>
        <w:gridCol w:w="9936"/>
      </w:tblGrid>
      <w:tr>
        <w:trPr>
          <w:cantSplit/>
        </w:trPr>
        <w:tc>
          <w:tcPr>
            <w:tcW w:type="dxa" w:w="9936"/>
            <w:shd w:fill="17324D"/>
            <w:tcBorders>
              <w:top w:val="single" w:sz="6" w:color="0B7F78"/>
              <w:left w:val="single" w:sz="6" w:color="0B7F78"/>
              <w:bottom w:val="single" w:sz="6" w:color="0B7F78"/>
              <w:right w:val="single" w:sz="6" w:color="0B7F78"/>
            </w:tcBorders>
          </w:tcPr>
          <w:p>
            <w:r>
              <w:t>BBA IN FINANCE</w:t>
              <w:br/>
              <w:t>From Financial Insight to Strategic Growth.</w:t>
              <w:br/>
              <w:t>Master financial analysis, investment thinking and business finance to make stronger decisions, manage risk and support sustainable growth.</w:t>
            </w:r>
          </w:p>
        </w:tc>
      </w:tr>
    </w:tbl>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B73"/>
        <w:sz w:val="16"/>
      </w:rPr>
      <w:t>BBA in Finance • Website Content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B7F78"/>
        <w:sz w:val="15"/>
      </w:rPr>
      <w:t>MAVERICK BUSINESS ACADEMY LONDON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B7F78"/>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before="200" w:after="40"/>
    </w:pPr>
    <w:rPr>
      <w:rFonts w:ascii="Arial" w:hAnsi="Arial"/>
      <w:b/>
      <w:color w:val="0B7F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BBA in Finance - Website Content</dc:title>
  <dc:subject>Website programme content for BBA in Finance</dc:subject>
  <dc:creator>Maverick Business Academy London</dc:creator>
  <cp:keywords>BBA, Finance, Maverick Business Academy London</cp:keywords>
  <dc:description>generated by python-docx</dc:description>
  <cp:lastModifiedBy/>
  <cp:revision>1</cp:revision>
  <dcterms:created xsi:type="dcterms:W3CDTF">2013-12-23T23:15:00Z</dcterms:created>
  <dcterms:modified xsi:type="dcterms:W3CDTF">2013-12-23T23:15:00Z</dcterms:modified>
  <cp:category/>
</cp:coreProperties>
</file>