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BBA Human Resource Management</w:t>
      </w:r>
    </w:p>
    <w:p>
      <w:pPr>
        <w:spacing w:after="80"/>
        <w:jc w:val="center"/>
      </w:pPr>
      <w:r>
        <w:rPr>
          <w:b/>
          <w:color w:val="D96C00"/>
          <w:sz w:val="23"/>
        </w:rPr>
        <w:t>Programme Structure &amp; Modules</w:t>
      </w:r>
    </w:p>
    <w:p>
      <w:pPr>
        <w:spacing w:after="80"/>
        <w:jc w:val="center"/>
      </w:pPr>
      <w:r>
        <w:rPr>
          <w:sz w:val="18"/>
        </w:rPr>
        <w:t>The programme combines core business and management subjects with specialised Human Resource Management modules, building broad business knowledge together with focused HR expertise.</w:t>
      </w:r>
    </w:p>
    <w:p>
      <w:pPr>
        <w:pStyle w:val="Heading1"/>
      </w:pPr>
      <w:r>
        <w:t>Year 1</w:t>
      </w:r>
    </w:p>
    <w:p>
      <w:pPr>
        <w:spacing w:after="20"/>
      </w:pPr>
      <w:r>
        <w:rPr>
          <w:b/>
          <w:color w:val="D96C00"/>
        </w:rPr>
        <w:t>Business &amp; Management Foundations</w:t>
      </w:r>
    </w:p>
    <w:p>
      <w:pPr>
        <w:pStyle w:val="ListBullet"/>
        <w:spacing w:after="0"/>
        <w:ind w:left="259"/>
      </w:pPr>
      <w:r>
        <w:t>Communications in Organizations</w:t>
      </w:r>
    </w:p>
    <w:p>
      <w:pPr>
        <w:pStyle w:val="ListBullet"/>
        <w:spacing w:after="0"/>
        <w:ind w:left="259"/>
      </w:pPr>
      <w:r>
        <w:t>Leadership and the Organization</w:t>
      </w:r>
    </w:p>
    <w:p>
      <w:pPr>
        <w:pStyle w:val="ListBullet"/>
        <w:spacing w:after="0"/>
        <w:ind w:left="259"/>
      </w:pPr>
      <w:r>
        <w:t>Financial Awareness</w:t>
      </w:r>
    </w:p>
    <w:p>
      <w:pPr>
        <w:pStyle w:val="ListBullet"/>
        <w:spacing w:after="0"/>
        <w:ind w:left="259"/>
      </w:pPr>
      <w:r>
        <w:t>Managing Change</w:t>
      </w:r>
    </w:p>
    <w:p>
      <w:pPr>
        <w:pStyle w:val="ListBullet"/>
        <w:spacing w:after="0"/>
        <w:ind w:left="259"/>
      </w:pPr>
      <w:r>
        <w:t>Business Operations</w:t>
      </w:r>
    </w:p>
    <w:p>
      <w:pPr>
        <w:pStyle w:val="ListBullet"/>
        <w:spacing w:after="0"/>
        <w:ind w:left="259"/>
      </w:pPr>
      <w:r>
        <w:t>Developing Teams</w:t>
      </w:r>
    </w:p>
    <w:p>
      <w:pPr>
        <w:pStyle w:val="Heading1"/>
      </w:pPr>
      <w:r>
        <w:t>Year 2</w:t>
      </w:r>
    </w:p>
    <w:p>
      <w:pPr>
        <w:spacing w:after="20"/>
      </w:pPr>
      <w:r>
        <w:rPr>
          <w:b/>
          <w:color w:val="D96C00"/>
        </w:rPr>
        <w:t>Advanced Business &amp; Management</w:t>
      </w:r>
    </w:p>
    <w:p>
      <w:pPr>
        <w:pStyle w:val="ListBullet"/>
        <w:spacing w:after="0"/>
        <w:ind w:left="259"/>
      </w:pPr>
      <w:r>
        <w:t>Responding to the Changing Business Environment</w:t>
      </w:r>
    </w:p>
    <w:p>
      <w:pPr>
        <w:pStyle w:val="ListBullet"/>
        <w:spacing w:after="0"/>
        <w:ind w:left="259"/>
      </w:pPr>
      <w:r>
        <w:t>Effective Decision Making</w:t>
      </w:r>
    </w:p>
    <w:p>
      <w:pPr>
        <w:pStyle w:val="ListBullet"/>
        <w:spacing w:after="0"/>
        <w:ind w:left="259"/>
      </w:pPr>
      <w:r>
        <w:t>Business Development</w:t>
      </w:r>
    </w:p>
    <w:p>
      <w:pPr>
        <w:pStyle w:val="ListBullet"/>
        <w:spacing w:after="0"/>
        <w:ind w:left="259"/>
      </w:pPr>
      <w:r>
        <w:t>Business Models &amp; Growing Organizations</w:t>
      </w:r>
    </w:p>
    <w:p>
      <w:pPr>
        <w:pStyle w:val="ListBullet"/>
        <w:spacing w:after="0"/>
        <w:ind w:left="259"/>
      </w:pPr>
      <w:r>
        <w:t>Customer Management</w:t>
      </w:r>
    </w:p>
    <w:p>
      <w:pPr>
        <w:pStyle w:val="ListBullet"/>
        <w:spacing w:after="0"/>
        <w:ind w:left="259"/>
      </w:pPr>
      <w:r>
        <w:t>Risk Management &amp; Organizations</w:t>
      </w:r>
    </w:p>
    <w:p>
      <w:pPr>
        <w:pStyle w:val="Heading2"/>
      </w:pPr>
      <w:r>
        <w:t>Human Resource Management Specialisation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Specialised Module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Module Focus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  <w:t>Strategic Human Resource Management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7"/>
              </w:rPr>
              <w:t>How HR strategy supports organisational goals, workforce planning, employee engagement and long-term performance.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  <w:t>Talent Management &amp; Development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7"/>
              </w:rPr>
              <w:t>Recruitment, development, succession planning, performance improvement and talent retention.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  <w:t>Organisational Behaviour &amp; Cross-Cultural HRM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7"/>
              </w:rPr>
              <w:t>Employee behaviour, workplace culture, motivation, leadership and managing diverse international teams.</w:t>
            </w:r>
          </w:p>
        </w:tc>
      </w:tr>
    </w:tbl>
    <w:p>
      <w:pPr>
        <w:pStyle w:val="Heading2"/>
      </w:pPr>
      <w:r>
        <w:t>Programme Focus</w:t>
      </w:r>
    </w:p>
    <w:p>
      <w:pPr>
        <w:spacing w:after="0"/>
      </w:pPr>
      <w:r>
        <w:rPr>
          <w:b/>
          <w:sz w:val="17"/>
        </w:rPr>
        <w:t>Business Management</w:t>
      </w:r>
      <w:r>
        <w:rPr>
          <w:sz w:val="17"/>
        </w:rPr>
        <w:t xml:space="preserve">  •  </w:t>
      </w:r>
      <w:r>
        <w:rPr>
          <w:b/>
          <w:sz w:val="17"/>
        </w:rPr>
        <w:t>Leadership</w:t>
      </w:r>
      <w:r>
        <w:rPr>
          <w:sz w:val="17"/>
        </w:rPr>
        <w:t xml:space="preserve">  •  </w:t>
      </w:r>
      <w:r>
        <w:rPr>
          <w:b/>
          <w:sz w:val="17"/>
        </w:rPr>
        <w:t>Human Resources</w:t>
      </w:r>
      <w:r>
        <w:rPr>
          <w:sz w:val="17"/>
        </w:rPr>
        <w:t xml:space="preserve">  •  </w:t>
      </w:r>
      <w:r>
        <w:rPr>
          <w:b/>
          <w:sz w:val="17"/>
        </w:rPr>
        <w:t>Talent Development</w:t>
      </w:r>
      <w:r>
        <w:rPr>
          <w:sz w:val="17"/>
        </w:rPr>
        <w:t xml:space="preserve">  •  </w:t>
      </w:r>
      <w:r>
        <w:rPr>
          <w:b/>
          <w:sz w:val="17"/>
        </w:rPr>
        <w:t>Organisational Behaviour</w:t>
      </w:r>
      <w:r>
        <w:rPr>
          <w:sz w:val="17"/>
        </w:rPr>
        <w:t xml:space="preserve">  •  </w:t>
      </w:r>
      <w:r>
        <w:rPr>
          <w:b/>
          <w:sz w:val="17"/>
        </w:rPr>
        <w:t>Cross-Cultural Management</w:t>
      </w:r>
      <w:r>
        <w:rPr>
          <w:sz w:val="17"/>
        </w:rPr>
        <w:t xml:space="preserve">  •  </w:t>
      </w:r>
      <w:r>
        <w:rPr>
          <w:b/>
          <w:sz w:val="17"/>
        </w:rPr>
        <w:t>Employee Engagement</w:t>
      </w:r>
      <w:r>
        <w:rPr>
          <w:sz w:val="17"/>
        </w:rPr>
        <w:t xml:space="preserve">  •  </w:t>
      </w:r>
      <w:r>
        <w:rPr>
          <w:b/>
          <w:sz w:val="17"/>
        </w:rPr>
        <w:t>Strategic Decision-Making</w:t>
      </w:r>
    </w:p>
    <w:sectPr w:rsidR="00FC693F" w:rsidRPr="0006063C" w:rsidSect="00034616">
      <w:footerReference w:type="default" r:id="rId9"/>
      <w:pgSz w:w="12240" w:h="15840"/>
      <w:pgMar w:top="605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777777"/>
        <w:sz w:val="15"/>
      </w:rPr>
      <w:t>Maverick Business Academy London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6C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