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e6updq5syhyh" w:id="0"/>
      <w:bookmarkEnd w:id="0"/>
      <w:r w:rsidDel="00000000" w:rsidR="00000000" w:rsidRPr="00000000">
        <w:rPr>
          <w:b w:val="1"/>
          <w:bCs w:val="1"/>
          <w:sz w:val="24"/>
          <w:szCs w:val="24"/>
          <w:rtl w:val="0"/>
        </w:rPr>
        <w:t xml:space="preserve">OligoTox Open Data Challenge – Phase 1 Ideation Submission</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Submitted by Anote, Inc.</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yko9utebs81n" w:id="1"/>
      <w:bookmarkEnd w:id="1"/>
      <w:r w:rsidDel="00000000" w:rsidR="00000000" w:rsidRPr="00000000">
        <w:rPr>
          <w:b w:val="1"/>
          <w:bCs w:val="1"/>
          <w:sz w:val="24"/>
          <w:szCs w:val="24"/>
          <w:rtl w:val="0"/>
        </w:rPr>
        <w:t xml:space="preserve">1. Types of Oligonucleotide Toxicity to be Addressed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Anote proposes to develop a publicly accessible, high-quality, multimodal dataset focused on predicting hepatotoxicity, kidney toxicity, immunotoxicity, complement activation, coagulopathy, and thrombocytopenia associated with oligonucleotide therapeutics. These toxicity domains were selected based on their strong clinical relevance, frequency of occurrence in the development of antisense oligonucleotides (ASOs), siRNA-based therapeutics, and other nucleic acid modalities, as well as their alignment with priority areas outlined in the OligoTox Challenge. Importantly, these toxicities often emerge through both sequence-dependent mechanisms, such as unintended hybridization to non-target transcripts, and sequence-independent pathways, including immune activation, complement activation, and off-target protein binding.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These safety concerns represent major barriers to clinical translation and frequently result in late-stage failure or post-marketing safety issues. In addition, current predictive approaches are limited by the translational gap between animal models and human biology. The proposed dataset will address this gap by focusing on human-relevant in vitro systems and computational modeling strategies to enable more accurate prediction of toxicity prior to clinical trials. While acute neurotoxicity related to neuronal electrical activity is an important area of research, this proposal prioritizes other toxicity domains given the availability of existing datasets in that space.</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1qpbxnivfdxk" w:id="2"/>
      <w:bookmarkEnd w:id="2"/>
      <w:r w:rsidDel="00000000" w:rsidR="00000000" w:rsidRPr="00000000">
        <w:rPr>
          <w:b w:val="1"/>
          <w:bCs w:val="1"/>
          <w:sz w:val="24"/>
          <w:szCs w:val="24"/>
          <w:rtl w:val="0"/>
        </w:rPr>
        <w:t xml:space="preserve">2. Summary of Publicly Available Datasets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Despite the rapid growth of oligonucleotide therapeutics, publicly available datasets that enable predictive modeling of toxicity remain limited. Existing resources include selected toxicogenomics datasets in repositories such as GEO and ArrayExpress, targeted screening studies in human hepatocytes, immune activation assays measuring cytokine release, and complement activation studies in human plasma. Some published datasets include transcriptomic responses to specific antisense oligonucleotides and siRNA compounds, as well as mechanistic studies evaluating sequence motifs associated with immune activation.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However, these datasets are typically fragmented, limited in scale, and lack standardized annotations. Most large-scale toxicology datasets used by pharmaceutical and biotechnology companies remain proprietary. As a result, the public domain lacks large, diverse, and well-characterized datasets that incorporate multiple tissue types, standardized endpoints, chemical modification metadata, and cross-modal biological readouts. Furthermore, many existing datasets do not integrate structural, biochemical, and sequence-level information, limiting their utility for training modern artificial intelligence models. The lack of transparency and reproducibility in model development further constrains innovation and slows progress in predictive toxicology.</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5xkx9k1ac6es" w:id="3"/>
      <w:bookmarkEnd w:id="3"/>
      <w:r w:rsidDel="00000000" w:rsidR="00000000" w:rsidRPr="00000000">
        <w:rPr>
          <w:b w:val="1"/>
          <w:bCs w:val="1"/>
          <w:sz w:val="24"/>
          <w:szCs w:val="24"/>
          <w:rtl w:val="0"/>
        </w:rPr>
        <w:t xml:space="preserve">3. Advancing the Public Domain Through Multimodal, Open, Human-Relevant Data</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proposed dataset will significantly advance the field by introducing a large-scale, multimodal, human-relevant dataset designed specifically for AI model development. First, this effort will incorporate multiple biological layers, including transcriptomics, proteomics, cytokine profiling, complement activation markers, cell viability, apoptosis, coagulation pathway activation, and immune signaling. By integrating these modalities, the dataset will support mechanistic interpretation and improve predictive performance.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Second, the dataset will systematically capture detailed metadata related to oligonucleotide sequence, backbone chemistry, sugar modifications, conjugation strategies, and target biology. This structured approach will enable the development of interpretable and generalizable models capable of learning relationships between chemical design and biological outcomes. It will also facilitate transfer learning across related modalities and support explainability in regulatory settings.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Third, the dataset will prioritize human-based systems, including organoids and microphysiological systems, which are increasingly recognized as more predictive of clinical outcomes. These platforms align with the NIH and FDA vision of reducing reliance on animal testing and improving translational relevance. By generating high-quality human data, this effort will contribute to the development of new approach methodologies in drug safety.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Finally, the dataset will be released in an open and standardized format, enabling widespread adoption. Anote’s expertise in human-centered AI, dataset curation, evaluation frameworks, and benchmarking will ensure that the dataset is accessible, reproducible, and optimized for machine learning.</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laz3yylysbom" w:id="4"/>
      <w:bookmarkEnd w:id="4"/>
      <w:r w:rsidDel="00000000" w:rsidR="00000000" w:rsidRPr="00000000">
        <w:rPr>
          <w:b w:val="1"/>
          <w:bCs w:val="1"/>
          <w:sz w:val="24"/>
          <w:szCs w:val="24"/>
          <w:rtl w:val="0"/>
        </w:rPr>
        <w:t xml:space="preserve">4. Dataset Collection, Generation, and Governance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proposed dataset will be generated through collaborations with academic institutions, biotechnology companies, and contract research organizations. Anote will lead the design, standardization, and curation of the dataset, ensuring that all data are collected using harmonized protocols. This approach will promote reproducibility and comparability across studies.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All data will be governed under open science principles. Anote will ensure that intellectual property, ownership, and data-sharing policies are clearly defined and compliant with NIH scientific data-sharing guidelines. The dataset will be released under a permissive license to maximize utility for the research community. Standard operating procedures will be developed for experimental design, data annotation, and quality control to ensure consistency across sites.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resulting dataset will serve as a foundational benchmark resource for predictive toxicology and drug safety modeling.</w:t>
      </w:r>
    </w:p>
    <w:p w:rsidR="00000000" w:rsidDel="00000000" w:rsidP="00000000" w:rsidRDefault="00000000" w:rsidRPr="00000000" w14:paraId="00000012">
      <w:pPr>
        <w:pStyle w:val="Heading2"/>
        <w:keepNext w:val="0"/>
        <w:keepLines w:val="0"/>
        <w:spacing w:after="80" w:lineRule="auto"/>
        <w:rPr>
          <w:b w:val="1"/>
          <w:bCs w:val="1"/>
          <w:sz w:val="24"/>
          <w:szCs w:val="24"/>
        </w:rPr>
      </w:pPr>
      <w:bookmarkStart w:colFirst="0" w:colLast="0" w:name="_v6jgg3xqlm5p" w:id="5"/>
      <w:bookmarkEnd w:id="5"/>
      <w:r w:rsidDel="00000000" w:rsidR="00000000" w:rsidRPr="00000000">
        <w:rPr>
          <w:b w:val="1"/>
          <w:bCs w:val="1"/>
          <w:sz w:val="24"/>
          <w:szCs w:val="24"/>
          <w:rtl w:val="0"/>
        </w:rPr>
        <w:t xml:space="preserve">5. Indicators and Predictor Variables for Modeling</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dataset will include both predictor variables and toxicity indicators. Predictor variables will encompass the full oligonucleotide sequence, GC content, motif composition, predicted secondary structure, hybridization specificity, off-target binding potential, and thermodynamic stability. In addition, detailed chemical metadata will include backbone chemistry, sugar modifications, conjugation approaches, and delivery strategies.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Toxicity indicators will be selected based on clinical relevance and translational validity. Hepatotoxicity will be evaluated through release of liver enzymes, transcriptomic signatures, apoptosis, and mitochondrial dysfunction. Kidney toxicity will be assessed using markers of proximal tubular injury and functional filtration assays. Immunotoxicity will include cytokine release, innate immune activation, toll-like receptor signaling, and adaptive immune markers. Complement activation will be measured using classical and alternative pathway biomarkers. Coagulation and thrombocytopenia will be evaluated through platelet activation, coagulation cascade markers, and platelet function assays.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These indicators are supported by regulatory guidance and published translational toxicology studies, ensuring that the dataset will have high predictive and clinical relevance.</w:t>
      </w:r>
    </w:p>
    <w:p w:rsidR="00000000" w:rsidDel="00000000" w:rsidP="00000000" w:rsidRDefault="00000000" w:rsidRPr="00000000" w14:paraId="00000016">
      <w:pPr>
        <w:pStyle w:val="Heading2"/>
        <w:keepNext w:val="0"/>
        <w:keepLines w:val="0"/>
        <w:spacing w:after="80" w:lineRule="auto"/>
        <w:rPr>
          <w:b w:val="1"/>
          <w:bCs w:val="1"/>
          <w:sz w:val="24"/>
          <w:szCs w:val="24"/>
        </w:rPr>
      </w:pPr>
      <w:bookmarkStart w:colFirst="0" w:colLast="0" w:name="_yy9f3ylpss31" w:id="6"/>
      <w:bookmarkEnd w:id="6"/>
      <w:r w:rsidDel="00000000" w:rsidR="00000000" w:rsidRPr="00000000">
        <w:rPr>
          <w:b w:val="1"/>
          <w:bCs w:val="1"/>
          <w:sz w:val="24"/>
          <w:szCs w:val="24"/>
          <w:rtl w:val="0"/>
        </w:rPr>
        <w:t xml:space="preserve">6. Positive and Negative Controls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experimental design will include validated positive and negative controls. Positive controls will include oligonucleotides known to induce hepatotoxicity, complement activation, or pro-inflammatory immune responses. Negative controls will include clinically validated safe oligonucleotides, scrambled sequences, and non-binding constructs.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Control selection will be informed by published literature, clinical data, and regulatory filings. Inclusion of standardized controls will enable benchmarking across assays and laboratories, improving reliability and reproducibility.</w:t>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g9tr0q8olv97" w:id="7"/>
      <w:bookmarkEnd w:id="7"/>
      <w:r w:rsidDel="00000000" w:rsidR="00000000" w:rsidRPr="00000000">
        <w:rPr>
          <w:b w:val="1"/>
          <w:bCs w:val="1"/>
          <w:sz w:val="24"/>
          <w:szCs w:val="24"/>
          <w:rtl w:val="0"/>
        </w:rPr>
        <w:t xml:space="preserve">7. Description of the Proposed Dataset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dataset will be generated using human-relevant model systems. Primary human hepatocyte cultures will be used to evaluate liver toxicity. Kidney organoids and proximal tubule models will be used to assess renal injury. Immune cell co-culture systems will enable evaluation of immunotoxicity. Microphysiological systems will be used to study systemic and multi-organ responses. Complement activation assays will be performed in human plasma.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Toxicology readouts will include cell viability, apoptosis, gene expression changes, protein biomarkers, cytokine secretion, complement activation, and coagulation parameters. These assays will be conducted using standardized experimental workflows.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dataset will include evaluation of approximately 1,000 to 3,000 oligonucleotides in Phase 1, with diverse chemical modifications and sequence diversity. This scale is designed to enable robust model development and validation. Oligonucleotides will be purified using high-performance liquid chromatography and characterized using mass spectrometry. Purity thresholds will exceed 95 percent.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Dose-response curves will be conducted using multiple concentrations to capture clinically relevant exposure ranges. Each experiment will include biological replicates, technical replicates, and cross-laboratory validation where feasible.</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8. AI and Computational Modeling Framework</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Anote will apply advanced machine learning and artificial intelligence approaches to develop predictive models. These will include deep sequence models, multimodal learning architectures, interpretable machine learning, and hybrid physics-informed models. The goal is to enable accurate prediction of toxicity risk, identification of underlying mechanisms, and design of safer therapeutics.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Active learning strategies will be used to prioritize new oligonucleotide candidates for testing, improving model efficiency and performance. Human-in-the-loop validation will ensure that expert knowledge is incorporated into model refinement. Continuous feedback loops between experimental and computational teams will accelerate learning and dataset improvement.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dataset will also support the development of foundation models for nucleic acid therapeutics and contribute to the emerging field of AI-driven drug safety.</w:t>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aso2enib1ajp" w:id="8"/>
      <w:bookmarkEnd w:id="8"/>
      <w:r w:rsidDel="00000000" w:rsidR="00000000" w:rsidRPr="00000000">
        <w:rPr>
          <w:b w:val="1"/>
          <w:bCs w:val="1"/>
          <w:sz w:val="24"/>
          <w:szCs w:val="24"/>
          <w:rtl w:val="0"/>
        </w:rPr>
        <w:t xml:space="preserve">9. Broader Impact and Significance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effort will significantly reduce reliance on animal testing and accelerate the development of safe and effective oligonucleotide therapeutics. By improving predictive accuracy and enabling earlier identification of toxicity risks, the dataset will reduce development costs and improve patient safety.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dataset will support academic research, biotechnology innovation, and regulatory science. It will enable benchmarking of predictive models and promote transparency in AI-driven drug discovery. In addition, it will create opportunities for cross-disciplinary collaboration between computational scientists, toxicologists, and clinicians.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This initiative will also support precision medicine by enabling safer design of gene-targeting therapies. By integrating multimodal biological data and advanced computational approaches, this work will contribute to the next generation of translational science.</w:t>
      </w:r>
    </w:p>
    <w:p w:rsidR="00000000" w:rsidDel="00000000" w:rsidP="00000000" w:rsidRDefault="00000000" w:rsidRPr="00000000" w14:paraId="00000026">
      <w:pPr>
        <w:pStyle w:val="Heading2"/>
        <w:keepNext w:val="0"/>
        <w:keepLines w:val="0"/>
        <w:spacing w:after="80" w:lineRule="auto"/>
        <w:rPr>
          <w:b w:val="1"/>
          <w:bCs w:val="1"/>
          <w:sz w:val="24"/>
          <w:szCs w:val="24"/>
        </w:rPr>
      </w:pPr>
      <w:bookmarkStart w:colFirst="0" w:colLast="0" w:name="_2pvpqi4t7f5o" w:id="9"/>
      <w:bookmarkEnd w:id="9"/>
      <w:r w:rsidDel="00000000" w:rsidR="00000000" w:rsidRPr="00000000">
        <w:rPr>
          <w:b w:val="1"/>
          <w:bCs w:val="1"/>
          <w:sz w:val="24"/>
          <w:szCs w:val="24"/>
          <w:rtl w:val="0"/>
        </w:rPr>
        <w:t xml:space="preserve">10. Alignment with the NCATS Mission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proposed work directly aligns with the NCATS mission to accelerate translation and improve human health. By generating high-quality human-relevant data and enabling predictive modeling, this effort will address critical bottlenecks in drug development. The focus on open science, reproducibility, and transparency aligns with national priorities in biomedical innovation.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Anote’s expertise in human-centered AI, dataset curation, evaluation, and multimodal modeling uniquely positions the organization to lead this effort. The proposed dataset will serve as a foundational resource for the scientific community and help bring more treatments to patients more quickly.</w:t>
      </w:r>
    </w:p>
    <w:p w:rsidR="00000000" w:rsidDel="00000000" w:rsidP="00000000" w:rsidRDefault="00000000" w:rsidRPr="00000000" w14:paraId="0000002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