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B57" w:sz="8" w:space="6"/>
        </w:pBdr>
        <w:spacing w:after="80"/>
      </w:pPr>
      <w:r>
        <w:rPr>
          <w:rFonts w:ascii="Arial" w:cs="Arial" w:eastAsia="Arial" w:hAnsi="Arial"/>
          <w:b/>
          <w:bCs/>
          <w:color w:val="1F3B57"/>
          <w:sz w:val="38"/>
          <w:szCs w:val="38"/>
        </w:rPr>
        <w:t xml:space="preserve">OligoTox Open Data Challenge — Phase 2 Methodology Document</w:t>
      </w:r>
    </w:p>
    <w:p>
      <w:pPr>
        <w:spacing w:after="200" w:before="160"/>
      </w:pPr>
    </w:p>
    <w:tbl>
      <w:tblPr>
        <w:tblW w:type="pct" w:w="100%"/>
        <w:tblBorders>
          <w:top w:val="single" w:color="C7CFD6" w:sz="4"/>
          <w:left w:val="single" w:color="C7CFD6" w:sz="4"/>
          <w:bottom w:val="single" w:color="C7CFD6" w:sz="4"/>
          <w:right w:val="single" w:color="C7CFD6" w:sz="4"/>
          <w:insideH w:val="single" w:color="C7CFD6" w:sz="4"/>
          <w:insideV w:val="single" w:color="C7CFD6" w:sz="4"/>
        </w:tblBorders>
      </w:tblPr>
      <w:tblGrid>
        <w:gridCol w:w="2200"/>
        <w:gridCol w:w="8000"/>
      </w:tblGrid>
      <w:tr>
        <w:tc>
          <w:tcPr>
            <w:tcW w:type="dxa" w:w="220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4606B"/>
                <w:sz w:val="19"/>
                <w:szCs w:val="19"/>
              </w:rPr>
              <w:t xml:space="preserve">Submitter:</w:t>
            </w:r>
          </w:p>
        </w:tc>
        <w:tc>
          <w:tcPr>
            <w:tcW w:type="dxa" w:w="800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Anote, Inc. |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Point of Contact: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Natan Vidra</w:t>
            </w:r>
          </w:p>
        </w:tc>
      </w:tr>
      <w:tr>
        <w:tc>
          <w:tcPr>
            <w:tcW w:type="dxa" w:w="220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4606B"/>
                <w:sz w:val="19"/>
                <w:szCs w:val="19"/>
              </w:rPr>
              <w:t xml:space="preserve">Submission target:</w:t>
            </w:r>
          </w:p>
        </w:tc>
        <w:tc>
          <w:tcPr>
            <w:tcW w:type="dxa" w:w="800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PDF, ≤5 pages, 8.5"×11", ≥1" margins, ≥11pt Arial, line spacing ≥1.0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C7CFD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B57"/>
          <w:sz w:val="27"/>
          <w:szCs w:val="27"/>
        </w:rPr>
        <w:t xml:space="preserve">1. Oligonucleotide Library</w:t>
      </w:r>
    </w:p>
    <w:p>
      <w:pPr>
        <w:spacing w:after="160" w:line="300" w:lineRule="atLeast"/>
        <w:jc w:val="both"/>
      </w:pPr>
      <w:r>
        <w:rPr>
          <w:rFonts w:ascii="Arial" w:cs="Arial" w:eastAsia="Arial" w:hAnsi="Arial"/>
        </w:rPr>
        <w:t xml:space="preserve">The library spans 7 backbone chemistries (PS, PO, PMO, LNA-mix, PNA, 2'-F-ANA, morpholino), 4 sugar modifications (DNA, 2'-OMe, 2'-F, LNA/mixed), and multiple structural classes (gapmers, siRNA/siRNA-like duplexes, aptamer scaffolds, splice-switching oligos, GalNAc- and lipid-conjugated ASOs), plus systematic CpG-content, GC-content, and length gradients, known clinical/reference compounds, and scrambled/non-targeting negative controls.</w:t>
      </w:r>
    </w:p>
    <w:p>
      <w:pPr>
        <w:pStyle w:val="Heading2"/>
        <w:pBdr>
          <w:bottom w:val="single" w:color="C7CFD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B57"/>
          <w:sz w:val="27"/>
          <w:szCs w:val="27"/>
        </w:rPr>
        <w:t xml:space="preserve">2. Oligonucleotide Synthesis, Purification, and Identity Characterization</w:t>
      </w:r>
    </w:p>
    <w:p>
      <w:pPr>
        <w:spacing w:after="160" w:line="300" w:lineRule="atLeast"/>
        <w:jc w:val="both"/>
      </w:pPr>
      <w:r>
        <w:rPr>
          <w:rFonts w:ascii="Arial" w:cs="Arial" w:eastAsia="Arial" w:hAnsi="Arial"/>
          <w:i/>
          <w:iCs/>
        </w:rPr>
        <w:t xml:space="preserve">(This section directly answers the challenge's required content: "methods used to purify and characterize oligo identity.")</w:t>
      </w:r>
    </w:p>
    <w:p>
      <w:pPr>
        <w:pStyle w:val="ListParagraph"/>
        <w:numPr>
          <w:ilvl w:val="0"/>
          <w:numId w:val="2"/>
        </w:numPr>
        <w:spacing w:after="100" w:line="300" w:lineRule="atLeast"/>
      </w:pPr>
      <w:r>
        <w:rPr>
          <w:rFonts w:ascii="Arial" w:cs="Arial" w:eastAsia="Arial" w:hAnsi="Arial"/>
          <w:b/>
          <w:bCs/>
        </w:rPr>
        <w:t xml:space="preserve">Synthesis:</w:t>
      </w:r>
      <w:r>
        <w:rPr>
          <w:rFonts w:ascii="Arial" w:cs="Arial" w:eastAsia="Arial" w:hAnsi="Arial"/>
        </w:rPr>
        <w:t xml:space="preserve"> Solid-phase phosphoramidite synthesis via Integrated DNA Technologies (IDT) and Eurofins Genomics, split by chemistry class (standard PS/PO chemistries via either vendor; heavily modified chemistries — LNA, PMO, PNA, 2'-F-ANA — routed to whichever vendor's catalog covers that modification).</w:t>
      </w:r>
    </w:p>
    <w:p>
      <w:pPr>
        <w:pStyle w:val="ListParagraph"/>
        <w:numPr>
          <w:ilvl w:val="0"/>
          <w:numId w:val="2"/>
        </w:numPr>
        <w:spacing w:after="100" w:line="300" w:lineRule="atLeast"/>
      </w:pPr>
      <w:r>
        <w:rPr>
          <w:rFonts w:ascii="Arial" w:cs="Arial" w:eastAsia="Arial" w:hAnsi="Arial"/>
          <w:b/>
          <w:bCs/>
        </w:rPr>
        <w:t xml:space="preserve">Purification:</w:t>
      </w:r>
      <w:r>
        <w:rPr>
          <w:rFonts w:ascii="Arial" w:cs="Arial" w:eastAsia="Arial" w:hAnsi="Arial"/>
        </w:rPr>
        <w:t xml:space="preserve"> Reverse-phase HPLC (RP-HPLC) purification for all oligos; target purity ≥95% for standard chemistries, ≥90% for heavily modified chemistries.</w:t>
      </w:r>
    </w:p>
    <w:p>
      <w:pPr>
        <w:pStyle w:val="ListParagraph"/>
        <w:numPr>
          <w:ilvl w:val="0"/>
          <w:numId w:val="2"/>
        </w:numPr>
        <w:spacing w:after="100" w:line="300" w:lineRule="atLeast"/>
      </w:pPr>
      <w:r>
        <w:rPr>
          <w:rFonts w:ascii="Arial" w:cs="Arial" w:eastAsia="Arial" w:hAnsi="Arial"/>
          <w:b/>
          <w:bCs/>
        </w:rPr>
        <w:t xml:space="preserve">Identity confirmation:</w:t>
      </w:r>
      <w:r>
        <w:rPr>
          <w:rFonts w:ascii="Arial" w:cs="Arial" w:eastAsia="Arial" w:hAnsi="Arial"/>
        </w:rPr>
        <w:t xml:space="preserve"> Mass spectrometry (LC-MS) confirmation of molecular weight against expected mass for each synthesized sequence/chemistry combination.</w:t>
      </w:r>
    </w:p>
    <w:p>
      <w:pPr>
        <w:pStyle w:val="ListParagraph"/>
        <w:numPr>
          <w:ilvl w:val="0"/>
          <w:numId w:val="2"/>
        </w:numPr>
        <w:spacing w:after="100" w:line="300" w:lineRule="atLeast"/>
      </w:pPr>
      <w:r>
        <w:rPr>
          <w:rFonts w:ascii="Arial" w:cs="Arial" w:eastAsia="Arial" w:hAnsi="Arial"/>
          <w:b/>
          <w:bCs/>
        </w:rPr>
        <w:t xml:space="preserve">Purity re-assessment on outliers:</w:t>
      </w:r>
      <w:r>
        <w:rPr>
          <w:rFonts w:ascii="Arial" w:cs="Arial" w:eastAsia="Arial" w:hAnsi="Arial"/>
        </w:rPr>
        <w:t xml:space="preserve"> Any compound producing an unexpected toxicity signal is re-confirmed by MS before inclusion in the final dataset.</w:t>
      </w:r>
    </w:p>
    <w:p>
      <w:pPr>
        <w:pStyle w:val="ListParagraph"/>
        <w:numPr>
          <w:ilvl w:val="0"/>
          <w:numId w:val="2"/>
        </w:numPr>
        <w:spacing w:after="100" w:line="300" w:lineRule="atLeast"/>
      </w:pPr>
      <w:r>
        <w:rPr>
          <w:rFonts w:ascii="Arial" w:cs="Arial" w:eastAsia="Arial" w:hAnsi="Arial"/>
          <w:b/>
          <w:bCs/>
        </w:rPr>
        <w:t xml:space="preserve">Endotoxin testing:</w:t>
      </w:r>
      <w:r>
        <w:rPr>
          <w:rFonts w:ascii="Arial" w:cs="Arial" w:eastAsia="Arial" w:hAnsi="Arial"/>
        </w:rPr>
        <w:t xml:space="preserve"> LAL (Limulus Amebocyte Lysate) assay; acceptance threshold &lt;1 EU/mL in working solution, to rule out endotoxin contamination as a confound in immunotoxicity/PBMC readouts.</w:t>
      </w:r>
    </w:p>
    <w:p>
      <w:pPr>
        <w:pStyle w:val="ListParagraph"/>
        <w:numPr>
          <w:ilvl w:val="0"/>
          <w:numId w:val="2"/>
        </w:numPr>
        <w:spacing w:after="100" w:line="300" w:lineRule="atLeast"/>
      </w:pPr>
      <w:r>
        <w:rPr>
          <w:rFonts w:ascii="Arial" w:cs="Arial" w:eastAsia="Arial" w:hAnsi="Arial"/>
          <w:b/>
          <w:bCs/>
        </w:rPr>
        <w:t xml:space="preserve">Formulation:</w:t>
      </w:r>
      <w:r>
        <w:rPr>
          <w:rFonts w:ascii="Arial" w:cs="Arial" w:eastAsia="Arial" w:hAnsi="Arial"/>
        </w:rPr>
        <w:t xml:space="preserve"> Sterile filtration, lyophilization, and reconstitution in RNase-free PBS prior to dosing.</w:t>
      </w:r>
    </w:p>
    <w:p>
      <w:pPr>
        <w:pStyle w:val="ListParagraph"/>
        <w:numPr>
          <w:ilvl w:val="0"/>
          <w:numId w:val="2"/>
        </w:numPr>
        <w:spacing w:after="100" w:line="300" w:lineRule="atLeast"/>
      </w:pPr>
      <w:r>
        <w:rPr>
          <w:rFonts w:ascii="Arial" w:cs="Arial" w:eastAsia="Arial" w:hAnsi="Arial"/>
          <w:b/>
          <w:bCs/>
        </w:rPr>
        <w:t xml:space="preserve">Reporting per compound:</w:t>
      </w:r>
      <w:r>
        <w:rPr>
          <w:rFonts w:ascii="Arial" w:cs="Arial" w:eastAsia="Arial" w:hAnsi="Arial"/>
        </w:rPr>
        <w:t xml:space="preserve"> vendor, synthesis scale, HPLC purity (%), MS-confirmed mass (pass/fail), endotoxin level (EU/mL) — all recorded in the Compound Registry table of the dataset (see </w:t>
      </w:r>
      <w:r>
        <w:rPr>
          <w:rFonts w:ascii="Courier New" w:cs="Courier New" w:eastAsia="Courier New" w:hAnsi="Courier New"/>
          <w:sz w:val="20"/>
          <w:szCs w:val="20"/>
        </w:rPr>
        <w:t xml:space="preserve">dataset/data_dictionary_and_schema.md</w:t>
      </w:r>
      <w:r>
        <w:rPr>
          <w:rFonts w:ascii="Arial" w:cs="Arial" w:eastAsia="Arial" w:hAnsi="Arial"/>
        </w:rPr>
        <w:t xml:space="preserve">).</w:t>
      </w:r>
    </w:p>
    <w:p>
      <w:pPr>
        <w:pStyle w:val="Heading2"/>
        <w:pBdr>
          <w:bottom w:val="single" w:color="C7CFD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B57"/>
          <w:sz w:val="27"/>
          <w:szCs w:val="27"/>
        </w:rPr>
        <w:t xml:space="preserve">3. In Vitro Human Model Systems</w:t>
      </w:r>
    </w:p>
    <w:tbl>
      <w:tblPr>
        <w:tblW w:type="pct" w:w="100%"/>
        <w:tblBorders>
          <w:top w:val="single" w:color="C7CFD6" w:sz="4"/>
          <w:left w:val="single" w:color="C7CFD6" w:sz="4"/>
          <w:bottom w:val="single" w:color="C7CFD6" w:sz="4"/>
          <w:right w:val="single" w:color="C7CFD6" w:sz="4"/>
          <w:insideH w:val="single" w:color="C7CFD6" w:sz="4"/>
          <w:insideV w:val="single" w:color="C7CFD6" w:sz="4"/>
        </w:tblBorders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55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55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Dosing</w:t>
            </w:r>
          </w:p>
        </w:tc>
        <w:tc>
          <w:tcPr>
            <w:tcW w:type="dxa" w:w="255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Timepoints</w:t>
            </w:r>
          </w:p>
        </w:tc>
      </w:tr>
      <w:tr>
        <w:tc>
          <w:tcPr>
            <w:tcW w:type="dxa" w:w="255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human hepatocytes (PHH), sandwich culture</w:t>
            </w:r>
          </w:p>
        </w:tc>
        <w:tc>
          <w:tcPr>
            <w:tcW w:type="dxa" w:w="255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human hepatocyte supplier, 3 donors/batch (n=3 biological replicates)</w:t>
            </w:r>
          </w:p>
        </w:tc>
        <w:tc>
          <w:tcPr>
            <w:tcW w:type="dxa" w:w="255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concentrations: 0.01, 0.1, 1, 10, 50, 100 µM</w:t>
            </w:r>
          </w:p>
        </w:tc>
        <w:tc>
          <w:tcPr>
            <w:tcW w:type="dxa" w:w="255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24h and 72h</w:t>
            </w:r>
          </w:p>
        </w:tc>
      </w:tr>
      <w:tr>
        <w:tc>
          <w:tcPr>
            <w:tcW w:type="dxa" w:w="255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kidney proximal tubule organoids</w:t>
            </w:r>
          </w:p>
        </w:tc>
        <w:tc>
          <w:tcPr>
            <w:tcW w:type="dxa" w:w="255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Certified human kidney organoids, differentiated to proximal tubule identity</w:t>
            </w:r>
          </w:p>
        </w:tc>
        <w:tc>
          <w:tcPr>
            <w:tcW w:type="dxa" w:w="255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concentrations: 0.1, 1, 10, 50, 100 µM</w:t>
            </w:r>
          </w:p>
        </w:tc>
        <w:tc>
          <w:tcPr>
            <w:tcW w:type="dxa" w:w="255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48h and 96h</w:t>
            </w:r>
          </w:p>
        </w:tc>
      </w:tr>
      <w:tr>
        <w:tc>
          <w:tcPr>
            <w:tcW w:type="dxa" w:w="255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PBMC co-culture</w:t>
            </w:r>
          </w:p>
        </w:tc>
        <w:tc>
          <w:tcPr>
            <w:tcW w:type="dxa" w:w="255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Fresh PBMCs, 5 healthy donors (3 per run, rotating)</w:t>
            </w:r>
          </w:p>
        </w:tc>
        <w:tc>
          <w:tcPr>
            <w:tcW w:type="dxa" w:w="255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concentrations: 0.1, 1, 10, 50 µM</w:t>
            </w:r>
          </w:p>
        </w:tc>
        <w:tc>
          <w:tcPr>
            <w:tcW w:type="dxa" w:w="255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24h</w:t>
            </w:r>
          </w:p>
        </w:tc>
      </w:tr>
      <w:tr>
        <w:tc>
          <w:tcPr>
            <w:tcW w:type="dxa" w:w="255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platelet-rich plasma / citrated plasma</w:t>
            </w:r>
          </w:p>
        </w:tc>
        <w:tc>
          <w:tcPr>
            <w:tcW w:type="dxa" w:w="255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Fresh citrated plasma, 5 donors; platelets isolated by differential centrifugation</w:t>
            </w:r>
          </w:p>
        </w:tc>
        <w:tc>
          <w:tcPr>
            <w:tcW w:type="dxa" w:w="255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concentrations: 1, 10, 50 µM</w:t>
            </w:r>
          </w:p>
        </w:tc>
        <w:tc>
          <w:tcPr>
            <w:tcW w:type="dxa" w:w="255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 and 2h</w:t>
            </w:r>
          </w:p>
        </w:tc>
      </w:tr>
    </w:tbl>
    <w:p>
      <w:pPr>
        <w:spacing w:after="200"/>
      </w:pPr>
    </w:p>
    <w:p>
      <w:pPr>
        <w:spacing w:after="160" w:line="300" w:lineRule="atLeast"/>
        <w:jc w:val="both"/>
      </w:pPr>
      <w:r>
        <w:rPr>
          <w:rFonts w:ascii="Arial" w:cs="Arial" w:eastAsia="Arial" w:hAnsi="Arial"/>
          <w:i/>
          <w:iCs/>
        </w:rPr>
        <w:t xml:space="preserve">(If the final protocol drops a system or changes a parameter above, update this table to match what was actually run — the dataset's own QC records, not this document, are the source of truth for what was actually executed.)</w:t>
      </w:r>
    </w:p>
    <w:p>
      <w:pPr>
        <w:pStyle w:val="Heading2"/>
        <w:pBdr>
          <w:bottom w:val="single" w:color="C7CFD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B57"/>
          <w:sz w:val="27"/>
          <w:szCs w:val="27"/>
        </w:rPr>
        <w:t xml:space="preserve">4. Toxicology Readouts</w:t>
      </w:r>
    </w:p>
    <w:p>
      <w:pPr>
        <w:pStyle w:val="ListParagraph"/>
        <w:numPr>
          <w:ilvl w:val="0"/>
          <w:numId w:val="2"/>
        </w:numPr>
        <w:spacing w:after="100" w:line="300" w:lineRule="atLeast"/>
      </w:pPr>
      <w:r>
        <w:rPr>
          <w:rFonts w:ascii="Arial" w:cs="Arial" w:eastAsia="Arial" w:hAnsi="Arial"/>
          <w:b/>
          <w:bCs/>
        </w:rPr>
        <w:t xml:space="preserve">PHH (hepatotoxicity):</w:t>
      </w:r>
      <w:r>
        <w:rPr>
          <w:rFonts w:ascii="Arial" w:cs="Arial" w:eastAsia="Arial" w:hAnsi="Arial"/>
        </w:rPr>
        <w:t xml:space="preserve"> cell viability (ATP-lite), LDH release, ALT/AST secretion, caspase 3/7 activity, HMGB1 release, ROS (CellROX), lipid accumulation (Oil Red O), mitochondrial membrane potential (JC-1), bile transport (CDFDA efflux); RNA-seq for a high-priority subset.</w:t>
      </w:r>
    </w:p>
    <w:p>
      <w:pPr>
        <w:pStyle w:val="ListParagraph"/>
        <w:numPr>
          <w:ilvl w:val="0"/>
          <w:numId w:val="2"/>
        </w:numPr>
        <w:spacing w:after="100" w:line="300" w:lineRule="atLeast"/>
      </w:pPr>
      <w:r>
        <w:rPr>
          <w:rFonts w:ascii="Arial" w:cs="Arial" w:eastAsia="Arial" w:hAnsi="Arial"/>
          <w:b/>
          <w:bCs/>
        </w:rPr>
        <w:t xml:space="preserve">Kidney organoids (nephrotoxicity):</w:t>
      </w:r>
      <w:r>
        <w:rPr>
          <w:rFonts w:ascii="Arial" w:cs="Arial" w:eastAsia="Arial" w:hAnsi="Arial"/>
        </w:rPr>
        <w:t xml:space="preserve"> organoid viability (CellTiter-Glo 3D), KIM-1 and NGAL secretion, caspase 3/7, lysosomal accumulation (LysoTracker), tight-junction integrity (ZO-1 imaging), mitochondrial stress (MitoTracker).</w:t>
      </w:r>
    </w:p>
    <w:p>
      <w:pPr>
        <w:pStyle w:val="ListParagraph"/>
        <w:numPr>
          <w:ilvl w:val="0"/>
          <w:numId w:val="2"/>
        </w:numPr>
        <w:spacing w:after="100" w:line="300" w:lineRule="atLeast"/>
      </w:pPr>
      <w:r>
        <w:rPr>
          <w:rFonts w:ascii="Arial" w:cs="Arial" w:eastAsia="Arial" w:hAnsi="Arial"/>
          <w:b/>
          <w:bCs/>
        </w:rPr>
        <w:t xml:space="preserve">PBMC (immunotoxicity, complement):</w:t>
      </w:r>
      <w:r>
        <w:rPr>
          <w:rFonts w:ascii="Arial" w:cs="Arial" w:eastAsia="Arial" w:hAnsi="Arial"/>
        </w:rPr>
        <w:t xml:space="preserve"> cytokine multiplex (IFN-α, IFN-γ, IL-1β, IL-6, IL-8, IL-10, IL-12p70, TNF-α, MCP-1, IP-10, GM-CSF, IL-4/5/13, IL-17A), complement C3a/C5a, TLR9 pathway activation (NF-κB reporter), NK-cell activation (CD69).</w:t>
      </w:r>
    </w:p>
    <w:p>
      <w:pPr>
        <w:pStyle w:val="ListParagraph"/>
        <w:numPr>
          <w:ilvl w:val="0"/>
          <w:numId w:val="2"/>
        </w:numPr>
        <w:spacing w:after="100" w:line="300" w:lineRule="atLeast"/>
      </w:pPr>
      <w:r>
        <w:rPr>
          <w:rFonts w:ascii="Arial" w:cs="Arial" w:eastAsia="Arial" w:hAnsi="Arial"/>
          <w:b/>
          <w:bCs/>
        </w:rPr>
        <w:t xml:space="preserve">Platelet/plasma (thrombocytopenia, coagulopathy):</w:t>
      </w:r>
      <w:r>
        <w:rPr>
          <w:rFonts w:ascii="Arial" w:cs="Arial" w:eastAsia="Arial" w:hAnsi="Arial"/>
        </w:rPr>
        <w:t xml:space="preserve"> platelet aggregation (light transmission aggregometry), P-selectin (CD62P) and CD63 activation markers, aPTT and PT clotting times, Factor Xa and thrombin inhibition (chromogenic assays).</w:t>
      </w:r>
    </w:p>
    <w:p>
      <w:pPr>
        <w:spacing w:after="160" w:line="300" w:lineRule="atLeast"/>
        <w:jc w:val="both"/>
      </w:pPr>
      <w:r>
        <w:rPr>
          <w:rFonts w:ascii="Arial" w:cs="Arial" w:eastAsia="Arial" w:hAnsi="Arial"/>
        </w:rPr>
        <w:t xml:space="preserve">The full endpoint registry (all readouts, units, and controlled-vocabulary names) is implemented in </w:t>
      </w:r>
      <w:r>
        <w:rPr>
          <w:rFonts w:ascii="Courier New" w:cs="Courier New" w:eastAsia="Courier New" w:hAnsi="Courier New"/>
          <w:sz w:val="20"/>
          <w:szCs w:val="20"/>
        </w:rPr>
        <w:t xml:space="preserve">oligotoxdb/oligotoxdb/endpoints.py</w:t>
      </w:r>
      <w:r>
        <w:rPr>
          <w:rFonts w:ascii="Arial" w:cs="Arial" w:eastAsia="Arial" w:hAnsi="Arial"/>
        </w:rPr>
        <w:t xml:space="preserve"> and documented in </w:t>
      </w:r>
      <w:r>
        <w:rPr>
          <w:rFonts w:ascii="Courier New" w:cs="Courier New" w:eastAsia="Courier New" w:hAnsi="Courier New"/>
          <w:sz w:val="20"/>
          <w:szCs w:val="20"/>
        </w:rPr>
        <w:t xml:space="preserve">dataset/data_dictionary_and_schema.md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pBdr>
          <w:bottom w:val="single" w:color="C7CFD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B57"/>
          <w:sz w:val="27"/>
          <w:szCs w:val="27"/>
        </w:rPr>
        <w:t xml:space="preserve">5. Dosing and Replication</w:t>
      </w:r>
    </w:p>
    <w:p>
      <w:pPr>
        <w:pStyle w:val="ListParagraph"/>
        <w:numPr>
          <w:ilvl w:val="0"/>
          <w:numId w:val="2"/>
        </w:numPr>
        <w:spacing w:after="100" w:line="300" w:lineRule="atLeast"/>
      </w:pPr>
      <w:r>
        <w:rPr>
          <w:rFonts w:ascii="Arial" w:cs="Arial" w:eastAsia="Arial" w:hAnsi="Arial"/>
          <w:b/>
          <w:bCs/>
        </w:rPr>
        <w:t xml:space="preserve">Biological replicates:</w:t>
      </w:r>
      <w:r>
        <w:rPr>
          <w:rFonts w:ascii="Arial" w:cs="Arial" w:eastAsia="Arial" w:hAnsi="Arial"/>
        </w:rPr>
        <w:t xml:space="preserve"> n=3 independent donors/preparations for PHH, PBMC, and kidney organoid assays; n=5 donors for platelet/plasma work (rotated across runs).</w:t>
      </w:r>
    </w:p>
    <w:p>
      <w:pPr>
        <w:pStyle w:val="ListParagraph"/>
        <w:numPr>
          <w:ilvl w:val="0"/>
          <w:numId w:val="2"/>
        </w:numPr>
        <w:spacing w:after="100" w:line="300" w:lineRule="atLeast"/>
      </w:pPr>
      <w:r>
        <w:rPr>
          <w:rFonts w:ascii="Arial" w:cs="Arial" w:eastAsia="Arial" w:hAnsi="Arial"/>
          <w:b/>
          <w:bCs/>
        </w:rPr>
        <w:t xml:space="preserve">Technical replicates:</w:t>
      </w:r>
      <w:r>
        <w:rPr>
          <w:rFonts w:ascii="Arial" w:cs="Arial" w:eastAsia="Arial" w:hAnsi="Arial"/>
        </w:rPr>
        <w:t xml:space="preserve"> n=2 per biological replicate for all primary endpoints.</w:t>
      </w:r>
    </w:p>
    <w:p>
      <w:pPr>
        <w:pStyle w:val="ListParagraph"/>
        <w:numPr>
          <w:ilvl w:val="0"/>
          <w:numId w:val="2"/>
        </w:numPr>
        <w:spacing w:after="100" w:line="300" w:lineRule="atLeast"/>
      </w:pPr>
      <w:r>
        <w:rPr>
          <w:rFonts w:ascii="Arial" w:cs="Arial" w:eastAsia="Arial" w:hAnsi="Arial"/>
          <w:b/>
          <w:bCs/>
        </w:rPr>
        <w:t xml:space="preserve">Anchor compounds:</w:t>
      </w:r>
      <w:r>
        <w:rPr>
          <w:rFonts w:ascii="Arial" w:cs="Arial" w:eastAsia="Arial" w:hAnsi="Arial"/>
        </w:rPr>
        <w:t xml:space="preserve"> a fixed panel of reference compounds is repeated in every batch to monitor and correct for inter-batch drift.</w:t>
      </w:r>
    </w:p>
    <w:p>
      <w:pPr>
        <w:pStyle w:val="ListParagraph"/>
        <w:numPr>
          <w:ilvl w:val="0"/>
          <w:numId w:val="2"/>
        </w:numPr>
        <w:spacing w:after="100" w:line="300" w:lineRule="atLeast"/>
      </w:pPr>
      <w:r>
        <w:rPr>
          <w:rFonts w:ascii="Arial" w:cs="Arial" w:eastAsia="Arial" w:hAnsi="Arial"/>
        </w:rPr>
        <w:t xml:space="preserve">Concentrations and timepoints per system are fixed in Section 3 above and are not adjusted compound-by-compound, so results are directly comparable across the library.</w:t>
      </w:r>
    </w:p>
    <w:p>
      <w:pPr>
        <w:pStyle w:val="Heading2"/>
        <w:pBdr>
          <w:bottom w:val="single" w:color="C7CFD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B57"/>
          <w:sz w:val="27"/>
          <w:szCs w:val="27"/>
        </w:rPr>
        <w:t xml:space="preserve">6. Quality Control</w:t>
      </w:r>
    </w:p>
    <w:p>
      <w:pPr>
        <w:pStyle w:val="ListParagraph"/>
        <w:numPr>
          <w:ilvl w:val="0"/>
          <w:numId w:val="2"/>
        </w:numPr>
        <w:spacing w:after="100" w:line="300" w:lineRule="atLeast"/>
      </w:pPr>
      <w:r>
        <w:rPr>
          <w:rFonts w:ascii="Arial" w:cs="Arial" w:eastAsia="Arial" w:hAnsi="Arial"/>
          <w:b/>
          <w:bCs/>
        </w:rPr>
        <w:t xml:space="preserve">Plate-level:</w:t>
      </w:r>
      <w:r>
        <w:rPr>
          <w:rFonts w:ascii="Arial" w:cs="Arial" w:eastAsia="Arial" w:hAnsi="Arial"/>
        </w:rPr>
        <w:t xml:space="preserve"> Z'-factor (target ≥0.5) and vehicle-control coefficient of variation (target ≤15%) computed from positive/negative control wells on every plate; plates failing either threshold are flagged and repeated, not silently included.</w:t>
      </w:r>
    </w:p>
    <w:p>
      <w:pPr>
        <w:pStyle w:val="ListParagraph"/>
        <w:numPr>
          <w:ilvl w:val="0"/>
          <w:numId w:val="2"/>
        </w:numPr>
        <w:spacing w:after="100" w:line="300" w:lineRule="atLeast"/>
      </w:pPr>
      <w:r>
        <w:rPr>
          <w:rFonts w:ascii="Arial" w:cs="Arial" w:eastAsia="Arial" w:hAnsi="Arial"/>
          <w:b/>
          <w:bCs/>
        </w:rPr>
        <w:t xml:space="preserve">Compound-level:</w:t>
      </w:r>
      <w:r>
        <w:rPr>
          <w:rFonts w:ascii="Arial" w:cs="Arial" w:eastAsia="Arial" w:hAnsi="Arial"/>
        </w:rPr>
        <w:t xml:space="preserve"> outlier detection across biological replicates (Grubbs' test, α=0.05); dose-response curve fit quality (R² ≥0.85 target) flagged when below threshold.</w:t>
      </w:r>
    </w:p>
    <w:p>
      <w:pPr>
        <w:pStyle w:val="ListParagraph"/>
        <w:numPr>
          <w:ilvl w:val="0"/>
          <w:numId w:val="2"/>
        </w:numPr>
        <w:spacing w:after="100" w:line="300" w:lineRule="atLeast"/>
      </w:pPr>
      <w:r>
        <w:rPr>
          <w:rFonts w:ascii="Arial" w:cs="Arial" w:eastAsia="Arial" w:hAnsi="Arial"/>
          <w:b/>
          <w:bCs/>
        </w:rPr>
        <w:t xml:space="preserve">Batch-level:</w:t>
      </w:r>
      <w:r>
        <w:rPr>
          <w:rFonts w:ascii="Arial" w:cs="Arial" w:eastAsia="Arial" w:hAnsi="Arial"/>
        </w:rPr>
        <w:t xml:space="preserve"> anchor compounds (Section 5) monitored for inter-batch CV; drift beyond threshold triggers normalization (e.g., ComBat) before release.</w:t>
      </w:r>
    </w:p>
    <w:p>
      <w:pPr>
        <w:pStyle w:val="ListParagraph"/>
        <w:numPr>
          <w:ilvl w:val="0"/>
          <w:numId w:val="2"/>
        </w:numPr>
        <w:spacing w:after="100" w:line="300" w:lineRule="atLeast"/>
      </w:pPr>
      <w:r>
        <w:rPr>
          <w:rFonts w:ascii="Arial" w:cs="Arial" w:eastAsia="Arial" w:hAnsi="Arial"/>
        </w:rPr>
        <w:t xml:space="preserve">Final QC pass/fail counts, and any compounds or plates excluded with justification, are reported in the dataset's own QC table (</w:t>
      </w:r>
      <w:r>
        <w:rPr>
          <w:rFonts w:ascii="Courier New" w:cs="Courier New" w:eastAsia="Courier New" w:hAnsi="Courier New"/>
          <w:sz w:val="20"/>
          <w:szCs w:val="20"/>
        </w:rPr>
        <w:t xml:space="preserve">plate_qc.csv</w:t>
      </w:r>
      <w:r>
        <w:rPr>
          <w:rFonts w:ascii="Arial" w:cs="Arial" w:eastAsia="Arial" w:hAnsi="Arial"/>
        </w:rPr>
        <w:t xml:space="preserve"> in the released data), not duplicated here.</w:t>
      </w:r>
    </w:p>
    <w:p>
      <w:pPr>
        <w:pStyle w:val="Heading2"/>
        <w:pBdr>
          <w:bottom w:val="single" w:color="C7CFD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B57"/>
          <w:sz w:val="27"/>
          <w:szCs w:val="27"/>
        </w:rPr>
        <w:t xml:space="preserve">7. Data Processing and Curve Fitting</w:t>
      </w:r>
    </w:p>
    <w:p>
      <w:pPr>
        <w:spacing w:after="160" w:line="300" w:lineRule="atLeast"/>
        <w:jc w:val="both"/>
      </w:pPr>
      <w:r>
        <w:rPr>
          <w:rFonts w:ascii="Arial" w:cs="Arial" w:eastAsia="Arial" w:hAnsi="Arial"/>
        </w:rPr>
        <w:t xml:space="preserve">Raw instrument output is normalized to each plate's vehicle control; dose-response curves are fit via 4-parameter logistic regression (</w:t>
      </w:r>
      <w:r>
        <w:rPr>
          <w:rFonts w:ascii="Courier New" w:cs="Courier New" w:eastAsia="Courier New" w:hAnsi="Courier New"/>
          <w:sz w:val="20"/>
          <w:szCs w:val="20"/>
        </w:rPr>
        <w:t xml:space="preserve">oligotoxdb/oligotoxdb/qc.py</w:t>
      </w:r>
      <w:r>
        <w:rPr>
          <w:rFonts w:ascii="Arial" w:cs="Arial" w:eastAsia="Arial" w:hAnsi="Arial"/>
        </w:rPr>
        <w:t xml:space="preserve">, using </w:t>
      </w:r>
      <w:r>
        <w:rPr>
          <w:rFonts w:ascii="Courier New" w:cs="Courier New" w:eastAsia="Courier New" w:hAnsi="Courier New"/>
          <w:sz w:val="20"/>
          <w:szCs w:val="20"/>
        </w:rPr>
        <w:t xml:space="preserve">scipy.optimize</w:t>
      </w:r>
      <w:r>
        <w:rPr>
          <w:rFonts w:ascii="Arial" w:cs="Arial" w:eastAsia="Arial" w:hAnsi="Arial"/>
        </w:rPr>
        <w:t xml:space="preserve">) to derive IC50/EC50 with 95% confidence interval, Emax, Hill coefficient, NOEC, and AUDRC. The fitting code, exact package versions, and QC thresholds are version-controlled in this repository so the derivation is fully reproducible from raw values.</w:t>
      </w:r>
    </w:p>
    <w:p>
      <w:pPr>
        <w:pBdr>
          <w:bottom w:val="single" w:color="C7CFD6" w:sz="4"/>
        </w:pBdr>
        <w:spacing w:after="120" w:before="120"/>
      </w:pPr>
    </w:p>
    <w:p>
      <w:pPr>
        <w:spacing w:after="160" w:line="300" w:lineRule="atLeast"/>
        <w:jc w:val="both"/>
      </w:pPr>
      <w:r>
        <w:rPr>
          <w:rFonts w:ascii="Arial" w:cs="Arial" w:eastAsia="Arial" w:hAnsi="Arial"/>
          <w:i/>
          <w:iCs/>
        </w:rPr>
        <w:t xml:space="preserve">Prepared by Natan Vidra, Anote, Inc. Contact: nvidra@anote.ai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CFD6" w:sz="4" w:space="4"/>
      </w:pBdr>
      <w:tabs>
        <w:tab w:val="right" w:pos="9360"/>
      </w:tabs>
    </w:pPr>
    <w:r>
      <w:rPr>
        <w:rFonts w:ascii="Arial" w:cs="Arial" w:eastAsia="Arial" w:hAnsi="Arial"/>
        <w:color w:val="54606B"/>
        <w:sz w:val="16"/>
        <w:szCs w:val="16"/>
      </w:rPr>
      <w:t xml:space="preserve">OligoTox Phase 2 — Methodology Document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4606B"/>
        <w:sz w:val="16"/>
        <w:szCs w:val="16"/>
      </w:rPr>
      <w:t xml:space="preserve">Page </w:t>
    </w:r>
    <w:r>
      <w:rPr>
        <w:rFonts w:ascii="Arial" w:cs="Arial" w:eastAsia="Arial" w:hAnsi="Arial"/>
        <w:color w:val="5460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4606B"/>
        <w:sz w:val="16"/>
        <w:szCs w:val="16"/>
      </w:rPr>
      <w:t xml:space="preserve"> of </w:t>
    </w:r>
    <w:r>
      <w:rPr>
        <w:rFonts w:ascii="Arial" w:cs="Arial" w:eastAsia="Arial" w:hAnsi="Arial"/>
        <w:color w:val="5460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2026-09-18T14:30:34.544Z</dcterms:created>
  <dcterms:modified xsi:type="dcterms:W3CDTF">2026-09-18T14:30:34.544Z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