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AF27" w14:textId="47AE125B" w:rsidR="005447C6" w:rsidRPr="00065A4C" w:rsidRDefault="005447C6" w:rsidP="005447C6">
      <w:pPr>
        <w:rPr>
          <w:rFonts w:cstheme="minorHAnsi"/>
          <w:sz w:val="20"/>
          <w:szCs w:val="20"/>
        </w:rPr>
      </w:pPr>
      <w:bookmarkStart w:id="0" w:name="_GoBack"/>
      <w:bookmarkEnd w:id="0"/>
      <w:r w:rsidRPr="00065A4C">
        <w:rPr>
          <w:rFonts w:cstheme="minorHAnsi"/>
          <w:b/>
          <w:sz w:val="20"/>
          <w:szCs w:val="20"/>
        </w:rPr>
        <w:t xml:space="preserve">A Plataforma </w:t>
      </w:r>
      <w:proofErr w:type="spellStart"/>
      <w:r w:rsidRPr="00065A4C">
        <w:rPr>
          <w:rFonts w:cstheme="minorHAnsi"/>
          <w:b/>
          <w:sz w:val="20"/>
          <w:szCs w:val="20"/>
        </w:rPr>
        <w:t>FEPWeb</w:t>
      </w:r>
      <w:proofErr w:type="spellEnd"/>
      <w:r w:rsidRPr="00065A4C">
        <w:rPr>
          <w:rFonts w:cstheme="minorHAnsi"/>
          <w:b/>
          <w:sz w:val="20"/>
          <w:szCs w:val="20"/>
        </w:rPr>
        <w:t>™ aceita qualquer assinatura, eletrônica ou digital?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 xml:space="preserve">O sistema da Plataforma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>™ é preparado para receber assinaturas de documentos e de contratos eletrônicos, com Certificados Digitais que atendam a todas as regras técnicas estipuladas pela ICP-Brasil (Infraestrutura de Chaves Públicas Brasileira), assim como assinatura eletrônica baseada em Token aplicativo os SMS.</w:t>
      </w:r>
    </w:p>
    <w:p w14:paraId="72A6250A" w14:textId="5C4553C7" w:rsidR="005447C6" w:rsidRPr="00065A4C" w:rsidRDefault="005447C6" w:rsidP="005447C6">
      <w:pPr>
        <w:rPr>
          <w:rFonts w:cstheme="minorHAnsi"/>
          <w:sz w:val="20"/>
          <w:szCs w:val="20"/>
        </w:rPr>
      </w:pPr>
      <w:r w:rsidRPr="00065A4C">
        <w:rPr>
          <w:rFonts w:cstheme="minorHAnsi"/>
          <w:sz w:val="20"/>
          <w:szCs w:val="20"/>
        </w:rPr>
        <w:t>A Medida Provisória 2.200-2, de 24 de agosto de 2001, criou o Comitê Gestor da ICP-Brasil, a Autoridade Certificadora Raiz Brasileira define as demais entidades que compõem sua estrutura. A Infraestrutura de Chaves Públicas Brasileira (ICP-Brasil) é uma cadeia hierárquica e de confiança que viabiliza a emissão de certificados digitais para identificação do cidadão quando transacionando no meio virtual, como a Internet.</w:t>
      </w:r>
      <w:r w:rsidR="00BB020F" w:rsidRPr="00065A4C">
        <w:rPr>
          <w:rFonts w:cstheme="minorHAnsi"/>
          <w:sz w:val="20"/>
          <w:szCs w:val="20"/>
        </w:rPr>
        <w:br/>
      </w:r>
      <w:r w:rsidR="00BB020F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t>O que é a Assinatura Digital?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>A assinatura digital é um arquivo que identifica você na Internet, garante a identidade de quem a utiliza para assinar documentos eletrônicos, e que tem a mesma validade jurídica de uma assinatura “de próprio punho”. Sua força jurídica é garantida pela MP 2.200 de fevereiro de 2001.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t xml:space="preserve">O que é a Plataforma </w:t>
      </w:r>
      <w:proofErr w:type="spellStart"/>
      <w:r w:rsidRPr="00065A4C">
        <w:rPr>
          <w:rFonts w:cstheme="minorHAnsi"/>
          <w:b/>
          <w:sz w:val="20"/>
          <w:szCs w:val="20"/>
        </w:rPr>
        <w:t>FEPWeb</w:t>
      </w:r>
      <w:proofErr w:type="spellEnd"/>
      <w:r w:rsidRPr="00065A4C">
        <w:rPr>
          <w:rFonts w:cstheme="minorHAnsi"/>
          <w:b/>
          <w:sz w:val="20"/>
          <w:szCs w:val="20"/>
        </w:rPr>
        <w:t>™?</w:t>
      </w:r>
      <w:r w:rsidR="00BB020F" w:rsidRPr="00065A4C">
        <w:rPr>
          <w:rFonts w:cstheme="minorHAnsi"/>
          <w:b/>
          <w:sz w:val="20"/>
          <w:szCs w:val="20"/>
        </w:rPr>
        <w:br/>
      </w:r>
      <w:r w:rsidR="00BB020F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 xml:space="preserve">É um conjunto de sistemas de software desenvolvido pela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 xml:space="preserve"> do Brasil, empresa líder de mercado no seguimento financeiro que, através de seus produtos e serviços, fortalece juridicamente documentos eletrônicos, adicionando elementos tecnológicos geradores de fatos auditáveis e arquivando evidências de uma transação eletrônica. A Plataforma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>™ utiliza técnicas de Certificação Digital, Time-</w:t>
      </w:r>
      <w:proofErr w:type="spellStart"/>
      <w:r w:rsidRPr="00065A4C">
        <w:rPr>
          <w:rFonts w:cstheme="minorHAnsi"/>
          <w:sz w:val="20"/>
          <w:szCs w:val="20"/>
        </w:rPr>
        <w:t>Stamping</w:t>
      </w:r>
      <w:proofErr w:type="spellEnd"/>
      <w:r w:rsidRPr="00065A4C">
        <w:rPr>
          <w:rFonts w:cstheme="minorHAnsi"/>
          <w:sz w:val="20"/>
          <w:szCs w:val="20"/>
        </w:rPr>
        <w:t xml:space="preserve"> (Carimbo do Tempo), perícia e Registro em Cartório para elevar a eficácia probatória dos documentos ou contratos eletrônicos. Os usuários da Plataforma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>™ podem conduzir seus negócios em qualquer parte do mundo através de nossos aplicativos para plataforma iOS e Android.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t xml:space="preserve">Posso usar a Plataforma </w:t>
      </w:r>
      <w:proofErr w:type="spellStart"/>
      <w:r w:rsidRPr="00065A4C">
        <w:rPr>
          <w:rFonts w:cstheme="minorHAnsi"/>
          <w:b/>
          <w:sz w:val="20"/>
          <w:szCs w:val="20"/>
        </w:rPr>
        <w:t>FEPWeb</w:t>
      </w:r>
      <w:proofErr w:type="spellEnd"/>
      <w:r w:rsidRPr="00065A4C">
        <w:rPr>
          <w:rFonts w:cstheme="minorHAnsi"/>
          <w:b/>
          <w:sz w:val="20"/>
          <w:szCs w:val="20"/>
        </w:rPr>
        <w:t>™ para preservação de um documento?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 xml:space="preserve">Sim, como os </w:t>
      </w:r>
      <w:proofErr w:type="spellStart"/>
      <w:r w:rsidRPr="00065A4C">
        <w:rPr>
          <w:rFonts w:cstheme="minorHAnsi"/>
          <w:sz w:val="20"/>
          <w:szCs w:val="20"/>
        </w:rPr>
        <w:t>emails</w:t>
      </w:r>
      <w:proofErr w:type="spellEnd"/>
      <w:r w:rsidRPr="00065A4C">
        <w:rPr>
          <w:rFonts w:cstheme="minorHAnsi"/>
          <w:sz w:val="20"/>
          <w:szCs w:val="20"/>
        </w:rPr>
        <w:t xml:space="preserve"> enviados com o selo Plataforma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 xml:space="preserve">™ são guardados por tempo indeterminado (*vide modalidade de contratação), a Plataforma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>™ pode ser utilizada para garantir a guarda eletrônica de um documento importante que não se quer perder ou que se deseja ter um back-up.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t>Onde meus documentos ficarão armazenados?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 xml:space="preserve">Os documentos ficarão armazenados na nuvem, a Plataforma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>™ utiliza uma das infraestruturas de Data Center mais modernas do mundo.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t>O que é um Certificado Digital?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>O Certificado Digital é um documento para a identificação e autenticação segura de pessoas físicas (e-CPF) e pessoas jurídicas (e-CNPJ e NF-e) no meio eletrônico por meio da criptografia, tecnologia que assegura o sigilo e a autenticidade de informações.</w:t>
      </w:r>
    </w:p>
    <w:p w14:paraId="25540C3D" w14:textId="65262158" w:rsidR="005447C6" w:rsidRPr="00065A4C" w:rsidRDefault="005447C6" w:rsidP="005447C6">
      <w:pPr>
        <w:rPr>
          <w:rFonts w:cstheme="minorHAnsi"/>
          <w:sz w:val="20"/>
          <w:szCs w:val="20"/>
        </w:rPr>
      </w:pPr>
      <w:r w:rsidRPr="00065A4C">
        <w:rPr>
          <w:rFonts w:cstheme="minorHAnsi"/>
          <w:b/>
          <w:sz w:val="20"/>
          <w:szCs w:val="20"/>
        </w:rPr>
        <w:t>Eu ainda não tenho Certificado Digital ICP-Brasil. Onde e qual devo comprar?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>O Certificado Digital ICP-Brasil deve ser adquirido de uma Autoridade Certificadora (AC) habilitada a emiti-lo no padrão ICP-Brasil. Como faz parte do processo de aquisição comparecer ao Ponto de Atendimento da AC para a apresentação da documentação obrigatória, também é importante levar em consideração a capilaridade da Autoridade Certificadora na hora de comprar o Certificado.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lastRenderedPageBreak/>
        <w:t>O que são Certificados Digitais?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 xml:space="preserve">Certificados Digitais são documentos eletrônicos </w:t>
      </w:r>
      <w:r w:rsidR="00C31B2B" w:rsidRPr="00065A4C">
        <w:rPr>
          <w:rFonts w:cstheme="minorHAnsi"/>
          <w:sz w:val="20"/>
          <w:szCs w:val="20"/>
        </w:rPr>
        <w:t>.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t>O que é um Código Token ou SMS Token?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>Código Token é uma sequência numérica gerada de forma autom</w:t>
      </w:r>
      <w:r w:rsidR="00BB020F" w:rsidRPr="00065A4C">
        <w:rPr>
          <w:rFonts w:cstheme="minorHAnsi"/>
          <w:sz w:val="20"/>
          <w:szCs w:val="20"/>
        </w:rPr>
        <w:t>á</w:t>
      </w:r>
      <w:r w:rsidRPr="00065A4C">
        <w:rPr>
          <w:rFonts w:cstheme="minorHAnsi"/>
          <w:sz w:val="20"/>
          <w:szCs w:val="20"/>
        </w:rPr>
        <w:t xml:space="preserve">tica pela plataforma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>™ que pode ser utilizado para autenticar uma operação de forma eletrônica.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t>Assinatura digital é o mesmo que a digitalização de uma assinatura manuscrita?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>Não. A digitalização de uma assinatura manuscrita é uma mera imagem e poderia ser facilmente copiada para outros documentos, portanto não tem nenhuma validade jurídica como meio de comprovação de autoria de um documento.</w:t>
      </w:r>
    </w:p>
    <w:p w14:paraId="0F3814FF" w14:textId="7A482808" w:rsidR="005447C6" w:rsidRPr="00065A4C" w:rsidRDefault="005447C6" w:rsidP="005447C6">
      <w:pPr>
        <w:rPr>
          <w:rFonts w:cstheme="minorHAnsi"/>
          <w:sz w:val="20"/>
          <w:szCs w:val="20"/>
        </w:rPr>
      </w:pPr>
      <w:r w:rsidRPr="00065A4C">
        <w:rPr>
          <w:rFonts w:cstheme="minorHAnsi"/>
          <w:sz w:val="20"/>
          <w:szCs w:val="20"/>
        </w:rPr>
        <w:t>Já a assinatura digital é resultado de uma operação matemática e não pode ser transferida. Cada assinatura digital é única e exclusiva para aquele documento assinado.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Pr="00065A4C">
        <w:rPr>
          <w:rFonts w:cstheme="minorHAnsi"/>
          <w:b/>
          <w:sz w:val="20"/>
          <w:szCs w:val="20"/>
        </w:rPr>
        <w:t>Como é conferida uma assinatura digital?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Pr="00065A4C">
        <w:rPr>
          <w:rFonts w:cstheme="minorHAnsi"/>
          <w:sz w:val="20"/>
          <w:szCs w:val="20"/>
        </w:rPr>
        <w:t>A conferência de uma assinatura digital somente pode ser realizada com o uso da chave pública correspondente. Por ser de conhecimento geral, qualquer pessoa pode obtê-la e, utilizando um computador, verificar se a assinatura de um documento foi produzida com a chave privada correspondente.</w:t>
      </w:r>
    </w:p>
    <w:p w14:paraId="6C2FAE34" w14:textId="5115A3ED" w:rsidR="00BB020F" w:rsidRPr="00065A4C" w:rsidRDefault="005447C6" w:rsidP="00C31B2B">
      <w:pPr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sz w:val="20"/>
          <w:szCs w:val="20"/>
        </w:rPr>
        <w:t xml:space="preserve">A plataforma </w:t>
      </w:r>
      <w:proofErr w:type="spellStart"/>
      <w:r w:rsidRPr="00065A4C">
        <w:rPr>
          <w:rFonts w:cstheme="minorHAnsi"/>
          <w:sz w:val="20"/>
          <w:szCs w:val="20"/>
        </w:rPr>
        <w:t>FEPWeb</w:t>
      </w:r>
      <w:proofErr w:type="spellEnd"/>
      <w:r w:rsidRPr="00065A4C">
        <w:rPr>
          <w:rFonts w:cstheme="minorHAnsi"/>
          <w:sz w:val="20"/>
          <w:szCs w:val="20"/>
        </w:rPr>
        <w:t>™ disponibiliza uma ferramenta para verificação de autenticidade de suas operações.</w:t>
      </w:r>
      <w:r w:rsidR="00C31B2B" w:rsidRPr="00065A4C">
        <w:rPr>
          <w:rFonts w:cstheme="minorHAnsi"/>
          <w:sz w:val="20"/>
          <w:szCs w:val="20"/>
        </w:rPr>
        <w:t xml:space="preserve"> </w:t>
      </w:r>
      <w:r w:rsidR="00C31B2B" w:rsidRPr="00065A4C">
        <w:rPr>
          <w:rFonts w:cstheme="minorHAnsi"/>
          <w:sz w:val="20"/>
          <w:szCs w:val="20"/>
        </w:rPr>
        <w:br/>
      </w:r>
      <w:r w:rsidR="00C31B2B" w:rsidRPr="00065A4C">
        <w:rPr>
          <w:rFonts w:cstheme="minorHAnsi"/>
          <w:sz w:val="20"/>
          <w:szCs w:val="20"/>
        </w:rPr>
        <w:br/>
      </w:r>
      <w:r w:rsidR="00BB020F" w:rsidRPr="00065A4C">
        <w:rPr>
          <w:rFonts w:cstheme="minorHAnsi"/>
          <w:b/>
          <w:sz w:val="20"/>
          <w:szCs w:val="20"/>
        </w:rPr>
        <w:t>Qual a diferença entre Produto e Unidade de Negócios?</w:t>
      </w:r>
      <w:r w:rsidR="00C31B2B" w:rsidRPr="00065A4C">
        <w:rPr>
          <w:rFonts w:cstheme="minorHAnsi"/>
          <w:b/>
          <w:sz w:val="20"/>
          <w:szCs w:val="20"/>
        </w:rPr>
        <w:br/>
      </w:r>
      <w:r w:rsidR="00C31B2B" w:rsidRPr="00065A4C">
        <w:rPr>
          <w:rFonts w:cstheme="minorHAnsi"/>
          <w:b/>
          <w:sz w:val="20"/>
          <w:szCs w:val="20"/>
        </w:rPr>
        <w:br/>
      </w:r>
      <w:r w:rsidR="00BB020F" w:rsidRPr="00065A4C">
        <w:rPr>
          <w:rFonts w:cstheme="minorHAnsi"/>
          <w:b/>
          <w:bCs/>
          <w:color w:val="000000"/>
          <w:sz w:val="20"/>
          <w:szCs w:val="20"/>
        </w:rPr>
        <w:t>Produtos:</w:t>
      </w:r>
      <w:r w:rsidR="00BB020F" w:rsidRPr="00065A4C">
        <w:rPr>
          <w:rFonts w:cstheme="minorHAnsi"/>
          <w:bCs/>
          <w:color w:val="000000"/>
          <w:sz w:val="20"/>
          <w:szCs w:val="20"/>
        </w:rPr>
        <w:t xml:space="preserve"> </w:t>
      </w:r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No </w:t>
      </w:r>
      <w:proofErr w:type="spellStart"/>
      <w:r w:rsidR="00BB020F"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, chamamos de produtos os </w:t>
      </w:r>
      <w:r w:rsidR="00BB020F" w:rsidRPr="00065A4C">
        <w:rPr>
          <w:rFonts w:cstheme="minorHAnsi"/>
          <w:bCs/>
          <w:iCs/>
          <w:color w:val="000000"/>
          <w:sz w:val="20"/>
          <w:szCs w:val="20"/>
        </w:rPr>
        <w:t xml:space="preserve">agrupamentos </w:t>
      </w:r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de </w:t>
      </w:r>
      <w:r w:rsidR="00BB020F" w:rsidRPr="00065A4C">
        <w:rPr>
          <w:rFonts w:cstheme="minorHAnsi"/>
          <w:bCs/>
          <w:iCs/>
          <w:color w:val="000000"/>
          <w:sz w:val="20"/>
          <w:szCs w:val="20"/>
        </w:rPr>
        <w:t xml:space="preserve">Tipos de Documentos </w:t>
      </w:r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que podem </w:t>
      </w:r>
      <w:r w:rsidR="00BB020F" w:rsidRPr="00065A4C">
        <w:rPr>
          <w:rFonts w:cstheme="minorHAnsi"/>
          <w:iCs/>
          <w:color w:val="000000"/>
          <w:sz w:val="20"/>
          <w:szCs w:val="20"/>
        </w:rPr>
        <w:t>s</w:t>
      </w:r>
      <w:r w:rsidR="00BB020F" w:rsidRPr="00065A4C">
        <w:rPr>
          <w:rFonts w:cstheme="minorHAnsi"/>
          <w:iCs/>
          <w:color w:val="000000"/>
          <w:sz w:val="20"/>
          <w:szCs w:val="20"/>
        </w:rPr>
        <w:t>er</w:t>
      </w:r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criados </w:t>
      </w:r>
      <w:r w:rsidR="00BB020F" w:rsidRPr="00065A4C">
        <w:rPr>
          <w:rFonts w:cstheme="minorHAnsi"/>
          <w:bCs/>
          <w:iCs/>
          <w:color w:val="000000"/>
          <w:sz w:val="20"/>
          <w:szCs w:val="20"/>
        </w:rPr>
        <w:t xml:space="preserve">dinamicamente </w:t>
      </w:r>
      <w:r w:rsidR="00BB020F" w:rsidRPr="00065A4C">
        <w:rPr>
          <w:rFonts w:cstheme="minorHAnsi"/>
          <w:iCs/>
          <w:color w:val="000000"/>
          <w:sz w:val="20"/>
          <w:szCs w:val="20"/>
        </w:rPr>
        <w:t>pelo usuário para posterior associação a um ou mais clientes. Tanto a criação de</w:t>
      </w:r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="00BB020F" w:rsidRPr="00065A4C">
        <w:rPr>
          <w:rFonts w:cstheme="minorHAnsi"/>
          <w:iCs/>
          <w:color w:val="000000"/>
          <w:sz w:val="20"/>
          <w:szCs w:val="20"/>
        </w:rPr>
        <w:t>produtos, quanto o vínculo com clientes é totalmente opcional.</w:t>
      </w:r>
    </w:p>
    <w:p w14:paraId="7CC09572" w14:textId="49DDB88D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Uma vez que você o usuário com permissão de acesso efetua a criação de um produto e associa este produto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a um cliente, </w:t>
      </w: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todos os tipos de documentos associados ao produto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em questão passam a ser </w:t>
      </w:r>
      <w:r w:rsidRPr="00065A4C">
        <w:rPr>
          <w:rFonts w:cstheme="minorHAnsi"/>
          <w:bCs/>
          <w:iCs/>
          <w:color w:val="000000"/>
          <w:sz w:val="20"/>
          <w:szCs w:val="20"/>
        </w:rPr>
        <w:t>obrigatórios</w:t>
      </w: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bCs/>
          <w:iCs/>
          <w:color w:val="000000"/>
          <w:sz w:val="20"/>
          <w:szCs w:val="20"/>
        </w:rPr>
        <w:t>para aquele cliente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. Em outras palavras, podemos considerar o cadastramento de produtos como um </w:t>
      </w: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checklist obrigatório de documentos </w:t>
      </w:r>
      <w:r w:rsidRPr="00065A4C">
        <w:rPr>
          <w:rFonts w:cstheme="minorHAnsi"/>
          <w:iCs/>
          <w:color w:val="000000"/>
          <w:sz w:val="20"/>
          <w:szCs w:val="20"/>
        </w:rPr>
        <w:t>para clientes.</w:t>
      </w:r>
    </w:p>
    <w:p w14:paraId="59FDD948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</w:p>
    <w:p w14:paraId="2427AD43" w14:textId="0AA129F6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Por exemplo: Supondo que todo cliente do tipo LTDA tenha, obrigatoriamente que fornecer o CONTRATO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SOCIAL e o CARTÃO DE CNPJ. Neste cenário, seria possível criar um produto denominado </w:t>
      </w:r>
      <w:r w:rsidRPr="00065A4C">
        <w:rPr>
          <w:rFonts w:cstheme="minorHAnsi"/>
          <w:bCs/>
          <w:iCs/>
          <w:color w:val="000000"/>
          <w:sz w:val="20"/>
          <w:szCs w:val="20"/>
        </w:rPr>
        <w:t>DOCUMENTOS</w:t>
      </w: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PARA LTDA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e associar os </w:t>
      </w:r>
      <w:r w:rsidRPr="00065A4C">
        <w:rPr>
          <w:rFonts w:cstheme="minorHAnsi"/>
          <w:bCs/>
          <w:iCs/>
          <w:color w:val="000000"/>
          <w:sz w:val="20"/>
          <w:szCs w:val="20"/>
        </w:rPr>
        <w:t>TIPOS DE DOCUMENTOS: CONTRATO SOCIAL e o CARTÃO DE CNPJ</w:t>
      </w:r>
      <w:r w:rsidRPr="00065A4C">
        <w:rPr>
          <w:rFonts w:cstheme="minorHAnsi"/>
          <w:iCs/>
          <w:color w:val="000000"/>
          <w:sz w:val="20"/>
          <w:szCs w:val="20"/>
        </w:rPr>
        <w:t>. A partir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deste momento, </w:t>
      </w: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todo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cliente que tiver o produto </w:t>
      </w:r>
      <w:r w:rsidRPr="00065A4C">
        <w:rPr>
          <w:rFonts w:cstheme="minorHAnsi"/>
          <w:bCs/>
          <w:iCs/>
          <w:color w:val="000000"/>
          <w:sz w:val="20"/>
          <w:szCs w:val="20"/>
        </w:rPr>
        <w:t>DOCUMENTOS PARA LTDA associado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, </w:t>
      </w: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obrigatoriamente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deverá entregar estes documentos. Caso não entregue, o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irá gerar </w:t>
      </w: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pendências automáticas </w:t>
      </w:r>
      <w:r w:rsidRPr="00065A4C">
        <w:rPr>
          <w:rFonts w:cstheme="minorHAnsi"/>
          <w:iCs/>
          <w:color w:val="000000"/>
          <w:sz w:val="20"/>
          <w:szCs w:val="20"/>
        </w:rPr>
        <w:t>para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cada documento faltante para o cliente e, assim que o documento for incluído no cadastro do cliente, o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bCs/>
          <w:iCs/>
          <w:color w:val="000000"/>
          <w:sz w:val="20"/>
          <w:szCs w:val="20"/>
        </w:rPr>
        <w:t>encerra automaticamente a pendência</w:t>
      </w:r>
      <w:r w:rsidRPr="00065A4C">
        <w:rPr>
          <w:rFonts w:cstheme="minorHAnsi"/>
          <w:iCs/>
          <w:color w:val="000000"/>
          <w:sz w:val="20"/>
          <w:szCs w:val="20"/>
        </w:rPr>
        <w:t>.</w:t>
      </w:r>
    </w:p>
    <w:p w14:paraId="63D3789D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</w:p>
    <w:p w14:paraId="212E9A31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proofErr w:type="spellStart"/>
      <w:r w:rsidRPr="00065A4C">
        <w:rPr>
          <w:rFonts w:cstheme="minorHAnsi"/>
          <w:b/>
          <w:bCs/>
          <w:color w:val="000000"/>
          <w:sz w:val="20"/>
          <w:szCs w:val="20"/>
        </w:rPr>
        <w:t>LoB</w:t>
      </w:r>
      <w:proofErr w:type="spellEnd"/>
      <w:r w:rsidRPr="00065A4C">
        <w:rPr>
          <w:rFonts w:cstheme="minorHAnsi"/>
          <w:b/>
          <w:bCs/>
          <w:color w:val="000000"/>
          <w:sz w:val="20"/>
          <w:szCs w:val="20"/>
        </w:rPr>
        <w:t>:</w:t>
      </w:r>
      <w:r w:rsidRPr="00065A4C">
        <w:rPr>
          <w:rFonts w:cstheme="minorHAnsi"/>
          <w:bCs/>
          <w:color w:val="000000"/>
          <w:sz w:val="20"/>
          <w:szCs w:val="20"/>
        </w:rPr>
        <w:t xml:space="preserve"> </w:t>
      </w:r>
      <w:proofErr w:type="spellStart"/>
      <w:r w:rsidRPr="00065A4C">
        <w:rPr>
          <w:rFonts w:cstheme="minorHAnsi"/>
          <w:bCs/>
          <w:color w:val="000000"/>
          <w:sz w:val="20"/>
          <w:szCs w:val="20"/>
        </w:rPr>
        <w:t>Line</w:t>
      </w:r>
      <w:proofErr w:type="spellEnd"/>
      <w:r w:rsidRPr="00065A4C">
        <w:rPr>
          <w:rFonts w:cstheme="minorHAnsi"/>
          <w:bCs/>
          <w:color w:val="000000"/>
          <w:sz w:val="20"/>
          <w:szCs w:val="20"/>
        </w:rPr>
        <w:t xml:space="preserve"> </w:t>
      </w:r>
      <w:proofErr w:type="spellStart"/>
      <w:r w:rsidRPr="00065A4C">
        <w:rPr>
          <w:rFonts w:cstheme="minorHAnsi"/>
          <w:bCs/>
          <w:color w:val="000000"/>
          <w:sz w:val="20"/>
          <w:szCs w:val="20"/>
        </w:rPr>
        <w:t>of</w:t>
      </w:r>
      <w:proofErr w:type="spellEnd"/>
      <w:r w:rsidRPr="00065A4C">
        <w:rPr>
          <w:rFonts w:cstheme="minorHAnsi"/>
          <w:bCs/>
          <w:color w:val="000000"/>
          <w:sz w:val="20"/>
          <w:szCs w:val="20"/>
        </w:rPr>
        <w:t xml:space="preserve"> Business: </w:t>
      </w:r>
      <w:r w:rsidRPr="00065A4C">
        <w:rPr>
          <w:rFonts w:cstheme="minorHAnsi"/>
          <w:iCs/>
          <w:color w:val="000000"/>
          <w:sz w:val="20"/>
          <w:szCs w:val="20"/>
        </w:rPr>
        <w:t>Segregação de acesso por Linha de negócio. Como o próprio nome diz, esta é mais</w:t>
      </w:r>
    </w:p>
    <w:p w14:paraId="13DDFBC8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uma facilidade oferecida aos usuários do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que necessitam </w:t>
      </w:r>
      <w:r w:rsidRPr="00065A4C">
        <w:rPr>
          <w:rFonts w:cstheme="minorHAnsi"/>
          <w:bCs/>
          <w:iCs/>
          <w:color w:val="000000"/>
          <w:sz w:val="20"/>
          <w:szCs w:val="20"/>
        </w:rPr>
        <w:t>segregar acesso aos dados de</w:t>
      </w:r>
    </w:p>
    <w:p w14:paraId="7AF161EE" w14:textId="7B1689CD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bCs/>
          <w:iCs/>
          <w:color w:val="000000"/>
          <w:sz w:val="20"/>
          <w:szCs w:val="20"/>
        </w:rPr>
        <w:t xml:space="preserve">clientes “especiais” </w:t>
      </w:r>
      <w:r w:rsidRPr="00065A4C">
        <w:rPr>
          <w:rFonts w:cstheme="minorHAnsi"/>
          <w:iCs/>
          <w:color w:val="000000"/>
          <w:sz w:val="20"/>
          <w:szCs w:val="20"/>
        </w:rPr>
        <w:t>de acordo com a linha de negócio que irão atuar na instituição.</w:t>
      </w:r>
    </w:p>
    <w:p w14:paraId="1946D349" w14:textId="052216FA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</w:p>
    <w:p w14:paraId="15A5E0D2" w14:textId="1C487AD3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Por exemplo: Clientes do seguimento Private com renda acima de 50MM são gerenciados por uma equipe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exclusiva que cuida da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sigilosidade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dos documentos, privacidade, etc. Estes clientes não devem estar visíveis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aos demais usuários do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. Por isto deve existir esta segregação de acesso, que no caso, é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implementada de acordo com a linha de negócio do cliente dentro da instituição.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No cadastro do </w:t>
      </w:r>
      <w:r w:rsidRPr="00065A4C">
        <w:rPr>
          <w:rFonts w:cstheme="minorHAnsi"/>
          <w:iCs/>
          <w:color w:val="000000"/>
          <w:sz w:val="20"/>
          <w:szCs w:val="20"/>
        </w:rPr>
        <w:lastRenderedPageBreak/>
        <w:t xml:space="preserve">cliente, na aba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LoB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, é possível especificar qual (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is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)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LoB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(s) ou Unidade (s) de Negócio (s) o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cliente irá operar dentro da instituição financeira. Posteriormente, no cadastro de usuários e grupos de usuários,</w:t>
      </w:r>
    </w:p>
    <w:p w14:paraId="3C95294A" w14:textId="448277D1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são realizadas as liberações de acesso para cada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LoB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.</w:t>
      </w:r>
      <w:r w:rsidR="00C31B2B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="00C31B2B" w:rsidRPr="00065A4C">
        <w:rPr>
          <w:rFonts w:cstheme="minorHAnsi"/>
          <w:iCs/>
          <w:color w:val="000000"/>
          <w:sz w:val="20"/>
          <w:szCs w:val="20"/>
        </w:rPr>
        <w:br/>
      </w:r>
      <w:r w:rsidR="00C31B2B" w:rsidRPr="00065A4C">
        <w:rPr>
          <w:rFonts w:cstheme="minorHAnsi"/>
          <w:iCs/>
          <w:color w:val="000000"/>
          <w:sz w:val="20"/>
          <w:szCs w:val="20"/>
        </w:rPr>
        <w:br/>
      </w:r>
      <w:r w:rsidRPr="00065A4C">
        <w:rPr>
          <w:rFonts w:cstheme="minorHAnsi"/>
          <w:b/>
          <w:bCs/>
          <w:color w:val="333333"/>
          <w:sz w:val="20"/>
          <w:szCs w:val="20"/>
        </w:rPr>
        <w:t>O que seria Gerenciamento de Instituições?</w:t>
      </w:r>
      <w:r w:rsidR="00C31B2B" w:rsidRPr="00065A4C">
        <w:rPr>
          <w:rFonts w:cstheme="minorHAnsi"/>
          <w:b/>
          <w:bCs/>
          <w:color w:val="333333"/>
          <w:sz w:val="20"/>
          <w:szCs w:val="20"/>
        </w:rPr>
        <w:br/>
      </w:r>
      <w:r w:rsidR="00C31B2B" w:rsidRPr="00065A4C">
        <w:rPr>
          <w:rFonts w:cstheme="minorHAnsi"/>
          <w:b/>
          <w:bCs/>
          <w:color w:val="333333"/>
          <w:sz w:val="20"/>
          <w:szCs w:val="20"/>
        </w:rPr>
        <w:br/>
      </w:r>
      <w:r w:rsidRPr="00065A4C">
        <w:rPr>
          <w:rFonts w:cstheme="minorHAnsi"/>
          <w:iCs/>
          <w:color w:val="000000"/>
          <w:sz w:val="20"/>
          <w:szCs w:val="20"/>
        </w:rPr>
        <w:t>O Gerenciamento de instituições é usado também para segregar dados, na verdade a Unidade de Negócios é</w:t>
      </w:r>
      <w:r w:rsidR="00C31B2B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uma evolução do Gerenciamento de instituições, com a diferença que a LOB utiliza o conceito de muitos para</w:t>
      </w:r>
      <w:r w:rsidR="00C31B2B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muitos, já no caso do Gerenciamento de instituições, um cliente pode pertencer apenas a uma instituição. Além</w:t>
      </w:r>
      <w:r w:rsidR="00C31B2B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disso, há uma questão comercial</w:t>
      </w:r>
      <w:r w:rsidR="00C31B2B" w:rsidRPr="00065A4C">
        <w:rPr>
          <w:rFonts w:cstheme="minorHAnsi"/>
          <w:iCs/>
          <w:color w:val="000000"/>
          <w:sz w:val="20"/>
          <w:szCs w:val="20"/>
        </w:rPr>
        <w:t>,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proofErr w:type="gramStart"/>
      <w:r w:rsidRPr="00065A4C">
        <w:rPr>
          <w:rFonts w:cstheme="minorHAnsi"/>
          <w:iCs/>
          <w:color w:val="000000"/>
          <w:sz w:val="20"/>
          <w:szCs w:val="20"/>
        </w:rPr>
        <w:t>pois</w:t>
      </w:r>
      <w:proofErr w:type="gramEnd"/>
      <w:r w:rsidRPr="00065A4C">
        <w:rPr>
          <w:rFonts w:cstheme="minorHAnsi"/>
          <w:iCs/>
          <w:color w:val="000000"/>
          <w:sz w:val="20"/>
          <w:szCs w:val="20"/>
        </w:rPr>
        <w:t xml:space="preserve"> o licenciamento é por instituição (CNPJ), ou seja, se a instituição possuir</w:t>
      </w:r>
      <w:r w:rsidR="00C31B2B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dois ou mais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CNPJs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, como por exemplo Banco e Corretora, haverá a necessidade de licenciamento adicional.</w:t>
      </w:r>
      <w:r w:rsidR="00C31B2B" w:rsidRPr="00065A4C">
        <w:rPr>
          <w:rFonts w:cstheme="minorHAnsi"/>
          <w:iCs/>
          <w:color w:val="000000"/>
          <w:sz w:val="20"/>
          <w:szCs w:val="20"/>
        </w:rPr>
        <w:br/>
      </w:r>
    </w:p>
    <w:p w14:paraId="415DD606" w14:textId="7184A778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O que seria</w:t>
      </w:r>
      <w:r w:rsidR="00C31B2B" w:rsidRPr="00065A4C">
        <w:rPr>
          <w:rFonts w:cstheme="minorHAnsi"/>
          <w:b/>
          <w:bCs/>
          <w:color w:val="333333"/>
          <w:sz w:val="20"/>
          <w:szCs w:val="20"/>
        </w:rPr>
        <w:t>m</w:t>
      </w:r>
      <w:r w:rsidRPr="00065A4C">
        <w:rPr>
          <w:rFonts w:cstheme="minorHAnsi"/>
          <w:b/>
          <w:bCs/>
          <w:color w:val="333333"/>
          <w:sz w:val="20"/>
          <w:szCs w:val="20"/>
        </w:rPr>
        <w:t xml:space="preserve"> Notificações? Como funcionaria?</w:t>
      </w:r>
      <w:r w:rsidR="00C31B2B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4CA73106" w14:textId="17995CAA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As notificações são usadas pelo módulo de pendências do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, através dela você pode configurar o envio</w:t>
      </w:r>
      <w:r w:rsidR="00C31B2B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de um relatório de pendências por e-mail para a área responsável, plataforma e o contato do cliente.</w:t>
      </w:r>
      <w:r w:rsidR="00C31B2B" w:rsidRPr="00065A4C">
        <w:rPr>
          <w:rFonts w:cstheme="minorHAnsi"/>
          <w:iCs/>
          <w:color w:val="000000"/>
          <w:sz w:val="20"/>
          <w:szCs w:val="20"/>
        </w:rPr>
        <w:t xml:space="preserve">  </w:t>
      </w:r>
      <w:r w:rsidRPr="00065A4C">
        <w:rPr>
          <w:rFonts w:cstheme="minorHAnsi"/>
          <w:iCs/>
          <w:color w:val="000000"/>
          <w:sz w:val="20"/>
          <w:szCs w:val="20"/>
        </w:rPr>
        <w:t>Caso você ache necessário possa te enviar uma documentação sobre a criação de pendências e</w:t>
      </w:r>
    </w:p>
    <w:p w14:paraId="45109735" w14:textId="0AF9879C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parametrização das notificações.</w:t>
      </w:r>
      <w:r w:rsidR="00C31B2B" w:rsidRPr="00065A4C">
        <w:rPr>
          <w:rFonts w:cstheme="minorHAnsi"/>
          <w:iCs/>
          <w:color w:val="000000"/>
          <w:sz w:val="20"/>
          <w:szCs w:val="20"/>
        </w:rPr>
        <w:br/>
      </w:r>
    </w:p>
    <w:p w14:paraId="2885B8E7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No Tipo de Poder existe um Código Externo. Para que serve? Impacta em alguma interface</w:t>
      </w:r>
    </w:p>
    <w:p w14:paraId="55558046" w14:textId="3492A04C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com a Exchange?</w:t>
      </w:r>
      <w:r w:rsidR="00C31B2B" w:rsidRPr="00065A4C">
        <w:rPr>
          <w:rFonts w:cstheme="minorHAnsi"/>
          <w:b/>
          <w:bCs/>
          <w:color w:val="333333"/>
          <w:sz w:val="20"/>
          <w:szCs w:val="20"/>
        </w:rPr>
        <w:br/>
      </w:r>
      <w:r w:rsidR="00C31B2B" w:rsidRPr="00065A4C">
        <w:rPr>
          <w:rFonts w:cstheme="minorHAnsi"/>
          <w:b/>
          <w:bCs/>
          <w:color w:val="333333"/>
          <w:sz w:val="20"/>
          <w:szCs w:val="20"/>
        </w:rPr>
        <w:br/>
      </w:r>
      <w:r w:rsidRPr="00065A4C">
        <w:rPr>
          <w:rFonts w:cstheme="minorHAnsi"/>
          <w:iCs/>
          <w:color w:val="000000"/>
          <w:sz w:val="20"/>
          <w:szCs w:val="20"/>
        </w:rPr>
        <w:t xml:space="preserve">O código externo do tipo de poder é usado por alguns serviços que o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possui. A interface com a</w:t>
      </w:r>
    </w:p>
    <w:p w14:paraId="09F7B9EA" w14:textId="21D414BC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Exchange não utiliza diretamente este código externo, mas sim um tipo de operação que possui os respectivos</w:t>
      </w:r>
      <w:r w:rsidR="00C31B2B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tipos de poderes associados.</w:t>
      </w:r>
      <w:r w:rsidR="00C31B2B" w:rsidRPr="00065A4C">
        <w:rPr>
          <w:rFonts w:cstheme="minorHAnsi"/>
          <w:iCs/>
          <w:color w:val="000000"/>
          <w:sz w:val="20"/>
          <w:szCs w:val="20"/>
        </w:rPr>
        <w:br/>
      </w:r>
    </w:p>
    <w:p w14:paraId="7FA3F2BD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No Tipos de Operações, quando vem uma operação da Exchange sempre virá como</w:t>
      </w:r>
    </w:p>
    <w:p w14:paraId="4FA4275B" w14:textId="77EA5F30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CONTRATO DE CÂMBIO (Código Externo C)? Ele não diferencia o tipo?</w:t>
      </w:r>
      <w:r w:rsidR="00890575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6786C112" w14:textId="6285653D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Na verdade</w:t>
      </w:r>
      <w:r w:rsidR="00890575" w:rsidRPr="00065A4C">
        <w:rPr>
          <w:rFonts w:cstheme="minorHAnsi"/>
          <w:iCs/>
          <w:color w:val="000000"/>
          <w:sz w:val="20"/>
          <w:szCs w:val="20"/>
        </w:rPr>
        <w:t>,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é possível distinguir sim!</w:t>
      </w:r>
      <w:r w:rsidR="00890575" w:rsidRPr="00065A4C">
        <w:rPr>
          <w:rFonts w:cstheme="minorHAnsi"/>
          <w:iCs/>
          <w:color w:val="000000"/>
          <w:sz w:val="20"/>
          <w:szCs w:val="20"/>
        </w:rPr>
        <w:br/>
      </w:r>
    </w:p>
    <w:p w14:paraId="22DE1D80" w14:textId="5B31A23E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No entanto, é necessário verificar como uma operação de Câmbio ACC/ACE é gravada na tabela</w:t>
      </w:r>
      <w:r w:rsidR="00890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CONTRATOBC da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Change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para então mapearmos este tipo no código externo do Tipo da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Operação.Em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outras</w:t>
      </w:r>
      <w:r w:rsidR="00890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palavras, no menu Gerenciamento de Tipos —&gt; Tipos de Operações, existe a possibilidade desta segregação.</w:t>
      </w:r>
      <w:r w:rsidR="00890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Para isto, será necessário criar outros Tipos de Operações (Câmbio ACC/ACE; Câmbio Pronto;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Finimp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,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etc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), e</w:t>
      </w:r>
      <w:r w:rsidR="00890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para cada uma delas, associar um código externo diferente.</w:t>
      </w:r>
    </w:p>
    <w:p w14:paraId="3E1E819B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Este código externo deve bater com a informação gravada pela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Change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na tabela CONTRATOBC.</w:t>
      </w:r>
    </w:p>
    <w:p w14:paraId="5A480824" w14:textId="212AFCC3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Adicionalmente, é importante alertá-los sobre os Tipos de Poderes necessários para cada tipo de Operação. Se</w:t>
      </w:r>
      <w:r w:rsidR="00890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houver a necessidade de distinção, deve-se parametrizar os Tipos de Poderes equivalentes.</w:t>
      </w:r>
      <w:r w:rsidR="00F84F08" w:rsidRPr="00065A4C">
        <w:rPr>
          <w:rFonts w:cstheme="minorHAnsi"/>
          <w:iCs/>
          <w:color w:val="000000"/>
          <w:sz w:val="20"/>
          <w:szCs w:val="20"/>
        </w:rPr>
        <w:br/>
      </w:r>
      <w:r w:rsidR="00890575" w:rsidRPr="00065A4C">
        <w:rPr>
          <w:rFonts w:cstheme="minorHAnsi"/>
          <w:iCs/>
          <w:color w:val="000000"/>
          <w:sz w:val="20"/>
          <w:szCs w:val="20"/>
        </w:rPr>
        <w:br/>
      </w:r>
    </w:p>
    <w:p w14:paraId="186D3FB9" w14:textId="351E6ACB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O que é Veículo?</w:t>
      </w:r>
      <w:r w:rsidR="00F84F08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32324C3D" w14:textId="49D59110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Veículo do documento, é onde ele foi veiculado, </w:t>
      </w:r>
      <w:r w:rsidR="00F84F08" w:rsidRPr="00065A4C">
        <w:rPr>
          <w:rFonts w:cstheme="minorHAnsi"/>
          <w:iCs/>
          <w:color w:val="000000"/>
          <w:sz w:val="20"/>
          <w:szCs w:val="20"/>
        </w:rPr>
        <w:t>por exemplo</w:t>
      </w:r>
      <w:r w:rsidRPr="00065A4C">
        <w:rPr>
          <w:rFonts w:cstheme="minorHAnsi"/>
          <w:iCs/>
          <w:color w:val="000000"/>
          <w:sz w:val="20"/>
          <w:szCs w:val="20"/>
        </w:rPr>
        <w:t>.: diário oficial no caso de edital, e etc</w:t>
      </w:r>
      <w:r w:rsidRPr="00065A4C">
        <w:rPr>
          <w:rFonts w:cstheme="minorHAnsi"/>
          <w:i/>
          <w:iCs/>
          <w:color w:val="000000"/>
          <w:sz w:val="20"/>
          <w:szCs w:val="20"/>
        </w:rPr>
        <w:t>.</w:t>
      </w:r>
      <w:r w:rsidR="00F84F08" w:rsidRPr="00065A4C">
        <w:rPr>
          <w:rFonts w:cstheme="minorHAnsi"/>
          <w:i/>
          <w:iCs/>
          <w:color w:val="000000"/>
          <w:sz w:val="20"/>
          <w:szCs w:val="20"/>
        </w:rPr>
        <w:br/>
      </w:r>
    </w:p>
    <w:p w14:paraId="0C384D04" w14:textId="58CADCEE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O que é e para que serve o Controle de exposição?</w:t>
      </w:r>
      <w:r w:rsidR="00F84F08" w:rsidRPr="00065A4C">
        <w:rPr>
          <w:rFonts w:cstheme="minorHAnsi"/>
          <w:b/>
          <w:bCs/>
          <w:color w:val="333333"/>
          <w:sz w:val="20"/>
          <w:szCs w:val="20"/>
        </w:rPr>
        <w:br/>
      </w:r>
      <w:r w:rsidR="00F84F08" w:rsidRPr="00065A4C">
        <w:rPr>
          <w:rFonts w:cstheme="minorHAnsi"/>
          <w:b/>
          <w:bCs/>
          <w:color w:val="333333"/>
          <w:sz w:val="20"/>
          <w:szCs w:val="20"/>
        </w:rPr>
        <w:br/>
      </w:r>
      <w:r w:rsidRPr="00065A4C">
        <w:rPr>
          <w:rFonts w:cstheme="minorHAnsi"/>
          <w:iCs/>
          <w:color w:val="000000"/>
          <w:sz w:val="20"/>
          <w:szCs w:val="20"/>
        </w:rPr>
        <w:t>A funcionalidade de controle de exposição é utilizada para realizar o controle do valor máximo que um</w:t>
      </w:r>
    </w:p>
    <w:p w14:paraId="66EF45B4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representante de uma empresa pode assinar pela mesma durante um determinado </w:t>
      </w:r>
      <w:proofErr w:type="gramStart"/>
      <w:r w:rsidRPr="00065A4C">
        <w:rPr>
          <w:rFonts w:cstheme="minorHAnsi"/>
          <w:iCs/>
          <w:color w:val="000000"/>
          <w:sz w:val="20"/>
          <w:szCs w:val="20"/>
        </w:rPr>
        <w:t>período de tempo</w:t>
      </w:r>
      <w:proofErr w:type="gramEnd"/>
      <w:r w:rsidRPr="00065A4C">
        <w:rPr>
          <w:rFonts w:cstheme="minorHAnsi"/>
          <w:iCs/>
          <w:color w:val="000000"/>
          <w:sz w:val="20"/>
          <w:szCs w:val="20"/>
        </w:rPr>
        <w:t>.</w:t>
      </w:r>
    </w:p>
    <w:p w14:paraId="2D69FC07" w14:textId="5E9886E1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Por exemplo:</w:t>
      </w:r>
      <w:r w:rsidR="00F84F08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Se você definir no controle de exposição que o Participante A tem um limite operacional de R$ 100.000,00 para</w:t>
      </w:r>
      <w:r w:rsidR="00F84F08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o tipo de poder ACC/ACE - ASSINAR em nome do Cliente A, o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a cada abono ou a cada assinatura</w:t>
      </w:r>
      <w:r w:rsidR="00F84F08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realizada em uma operação para o tipo de poder ACC/ACE - ASSINAR sempre guardará o histórico do valor</w:t>
      </w:r>
      <w:r w:rsidR="00F84F08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que já foi utilizado, e no momento que este valor ultrapassar o limite operacional de R$ 100.000,00 todo abono</w:t>
      </w:r>
      <w:r w:rsidR="00F84F08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ou assinatura realizada por este participante ficará como pendente de aprovação.</w:t>
      </w:r>
    </w:p>
    <w:p w14:paraId="50089FE0" w14:textId="77777777" w:rsidR="00F84F08" w:rsidRPr="00065A4C" w:rsidRDefault="00F84F08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0"/>
          <w:szCs w:val="20"/>
        </w:rPr>
      </w:pPr>
    </w:p>
    <w:p w14:paraId="55F6554F" w14:textId="11CDA29F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 xml:space="preserve">Como é gerada a data de vencimento de assinatura? (Integração com a </w:t>
      </w:r>
      <w:proofErr w:type="spellStart"/>
      <w:r w:rsidRPr="00065A4C">
        <w:rPr>
          <w:rFonts w:cstheme="minorHAnsi"/>
          <w:b/>
          <w:bCs/>
          <w:color w:val="333333"/>
          <w:sz w:val="20"/>
          <w:szCs w:val="20"/>
        </w:rPr>
        <w:t>Change</w:t>
      </w:r>
      <w:proofErr w:type="spellEnd"/>
      <w:r w:rsidRPr="00065A4C">
        <w:rPr>
          <w:rFonts w:cstheme="minorHAnsi"/>
          <w:b/>
          <w:bCs/>
          <w:color w:val="333333"/>
          <w:sz w:val="20"/>
          <w:szCs w:val="20"/>
        </w:rPr>
        <w:t>)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66339D73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A data de vencimento da operação é gerada através dos itens abaixo:</w:t>
      </w:r>
    </w:p>
    <w:p w14:paraId="652C383D" w14:textId="26BFB7FD" w:rsidR="00BB020F" w:rsidRPr="00065A4C" w:rsidRDefault="0091260E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- </w:t>
      </w:r>
      <w:r w:rsidR="00BB020F" w:rsidRPr="00065A4C">
        <w:rPr>
          <w:rFonts w:cstheme="minorHAnsi"/>
          <w:iCs/>
          <w:color w:val="000000"/>
          <w:sz w:val="20"/>
          <w:szCs w:val="20"/>
        </w:rPr>
        <w:t>Data de Fechamento – Campo DATAOP da tabela CONTRATOBC;</w:t>
      </w:r>
    </w:p>
    <w:p w14:paraId="6C7678D7" w14:textId="009F11EF" w:rsidR="00BB020F" w:rsidRPr="00065A4C" w:rsidRDefault="0091260E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- </w:t>
      </w:r>
      <w:r w:rsidR="00BB020F" w:rsidRPr="00065A4C">
        <w:rPr>
          <w:rFonts w:cstheme="minorHAnsi"/>
          <w:iCs/>
          <w:color w:val="000000"/>
          <w:sz w:val="20"/>
          <w:szCs w:val="20"/>
        </w:rPr>
        <w:t>Data de Liquidação– Campo DATAVC da tabela CONTRATOBC;</w:t>
      </w:r>
    </w:p>
    <w:p w14:paraId="54226A1B" w14:textId="108893AE" w:rsidR="00BB020F" w:rsidRPr="00065A4C" w:rsidRDefault="0091260E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- </w:t>
      </w:r>
      <w:r w:rsidR="00BB020F" w:rsidRPr="00065A4C">
        <w:rPr>
          <w:rFonts w:cstheme="minorHAnsi"/>
          <w:iCs/>
          <w:color w:val="000000"/>
          <w:sz w:val="20"/>
          <w:szCs w:val="20"/>
        </w:rPr>
        <w:t>Data de Vencimento de Assinatura – Cálculo do campo “Data de Liquidação” MAIS a quantidade de dias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="00BB020F" w:rsidRPr="00065A4C">
        <w:rPr>
          <w:rFonts w:cstheme="minorHAnsi"/>
          <w:iCs/>
          <w:color w:val="000000"/>
          <w:sz w:val="20"/>
          <w:szCs w:val="20"/>
        </w:rPr>
        <w:t>configurados em preferências de sistema (</w:t>
      </w:r>
      <w:proofErr w:type="spellStart"/>
      <w:r w:rsidR="00BB020F" w:rsidRPr="00065A4C">
        <w:rPr>
          <w:rFonts w:cstheme="minorHAnsi"/>
          <w:iCs/>
          <w:color w:val="000000"/>
          <w:sz w:val="20"/>
          <w:szCs w:val="20"/>
        </w:rPr>
        <w:t>deferral_days</w:t>
      </w:r>
      <w:proofErr w:type="spellEnd"/>
      <w:r w:rsidR="00BB020F" w:rsidRPr="00065A4C">
        <w:rPr>
          <w:rFonts w:cstheme="minorHAnsi"/>
          <w:iCs/>
          <w:color w:val="000000"/>
          <w:sz w:val="20"/>
          <w:szCs w:val="20"/>
        </w:rPr>
        <w:t>), baseado em dias úteis.</w:t>
      </w:r>
      <w:r w:rsidRPr="00065A4C">
        <w:rPr>
          <w:rFonts w:cstheme="minorHAnsi"/>
          <w:iCs/>
          <w:color w:val="000000"/>
          <w:sz w:val="20"/>
          <w:szCs w:val="20"/>
        </w:rPr>
        <w:br/>
      </w:r>
    </w:p>
    <w:p w14:paraId="474D77C2" w14:textId="0D3C69C8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Existe alguma forma para assinar um contrato expirado?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44B56519" w14:textId="1B4DE59F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Sim, </w:t>
      </w:r>
      <w:r w:rsidR="0091260E" w:rsidRPr="00065A4C">
        <w:rPr>
          <w:rFonts w:cstheme="minorHAnsi"/>
          <w:iCs/>
          <w:color w:val="000000"/>
          <w:sz w:val="20"/>
          <w:szCs w:val="20"/>
        </w:rPr>
        <w:t>o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disponibiliza uma opção em preferências de sistema que se chama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deferral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, que é a quantidade de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dias úteis adiados para assinar uma operação.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Para realizar esta parametrização siga os passos: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Preferências de sistema à Aba Validações à Opção: Quantidade de dias úteis adiados para assinar uma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operação (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deferral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) à Preencher com a quantidade de dias pré-estabelecido internamente.</w:t>
      </w:r>
      <w:r w:rsidR="0091260E" w:rsidRPr="00065A4C">
        <w:rPr>
          <w:rFonts w:cstheme="minorHAnsi"/>
          <w:iCs/>
          <w:color w:val="000000"/>
          <w:sz w:val="20"/>
          <w:szCs w:val="20"/>
        </w:rPr>
        <w:br/>
      </w:r>
    </w:p>
    <w:p w14:paraId="7DF450BC" w14:textId="37ED58E4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Um representante PJ deve ser enviado ao CCS?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48DBCD2D" w14:textId="38C07D74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Sim, um representante PJ, que esteja associado à um cliente vigente, com documentos vigentes e que possua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um tipo de poder que tenha um BDV associado está totalmente elegível ao </w:t>
      </w:r>
      <w:proofErr w:type="spellStart"/>
      <w:proofErr w:type="gramStart"/>
      <w:r w:rsidRPr="00065A4C">
        <w:rPr>
          <w:rFonts w:cstheme="minorHAnsi"/>
          <w:iCs/>
          <w:color w:val="000000"/>
          <w:sz w:val="20"/>
          <w:szCs w:val="20"/>
        </w:rPr>
        <w:t>CCS,isso</w:t>
      </w:r>
      <w:proofErr w:type="spellEnd"/>
      <w:proofErr w:type="gramEnd"/>
      <w:r w:rsidRPr="00065A4C">
        <w:rPr>
          <w:rFonts w:cstheme="minorHAnsi"/>
          <w:iCs/>
          <w:color w:val="000000"/>
          <w:sz w:val="20"/>
          <w:szCs w:val="20"/>
        </w:rPr>
        <w:t xml:space="preserve"> falando do modo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ANÔNIMO.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Quando ao modo ANALÍTICO, as firmas do representante PJ que estiverem associadas ao cliente e que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corresponderem os pré-requisitos de elegibilidade para o CCS também deverão ser enviados.</w:t>
      </w:r>
      <w:r w:rsidR="0091260E" w:rsidRPr="00065A4C">
        <w:rPr>
          <w:rFonts w:cstheme="minorHAnsi"/>
          <w:iCs/>
          <w:color w:val="000000"/>
          <w:sz w:val="20"/>
          <w:szCs w:val="20"/>
        </w:rPr>
        <w:br/>
      </w:r>
    </w:p>
    <w:p w14:paraId="335B25B8" w14:textId="4B999B2A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Quais cenários fazem com que um abono fique pendente de aprovação?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30E68A3F" w14:textId="77777777" w:rsidR="00BD2575" w:rsidRPr="00065A4C" w:rsidRDefault="00BB020F" w:rsidP="00BB02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Se os campos de Observação (com impactos em poderes) do cliente, do documento ou do poder</w:t>
      </w:r>
      <w:r w:rsidR="00BD2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estiverem preenchidos, todo abono ficará pendente de aprovação.</w:t>
      </w:r>
      <w:r w:rsidR="00BD2575" w:rsidRPr="00065A4C">
        <w:rPr>
          <w:rFonts w:cstheme="minorHAnsi"/>
          <w:iCs/>
          <w:color w:val="000000"/>
          <w:sz w:val="20"/>
          <w:szCs w:val="20"/>
        </w:rPr>
        <w:t xml:space="preserve"> </w:t>
      </w:r>
    </w:p>
    <w:p w14:paraId="03AFCD3A" w14:textId="77777777" w:rsidR="00BD2575" w:rsidRPr="00065A4C" w:rsidRDefault="00BB020F" w:rsidP="00BD257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Campo observação do Cliente --&gt; para este cenário, toda operação cadastrada para o cliente em questão</w:t>
      </w:r>
      <w:r w:rsidR="00BD2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ficará com o status Pendente de Aprovação.</w:t>
      </w:r>
    </w:p>
    <w:p w14:paraId="643D22F8" w14:textId="77777777" w:rsidR="00BD2575" w:rsidRPr="00065A4C" w:rsidRDefault="00BB020F" w:rsidP="00BD257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Campo observação do Documento --&gt; para este cenário, todo poder atrelado a este documento em questão</w:t>
      </w:r>
      <w:r w:rsidR="00BD2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ficará com o status Pendente de Aprovação.</w:t>
      </w:r>
    </w:p>
    <w:p w14:paraId="4AC990FA" w14:textId="79379431" w:rsidR="00BD2575" w:rsidRPr="00065A4C" w:rsidRDefault="00BB020F" w:rsidP="00BD257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Campo observação do Poder --&gt; para este cenário, todo abono realizado para este poder em questão ficará</w:t>
      </w:r>
      <w:r w:rsidR="00BD2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com o status Pendente de Aprovação.</w:t>
      </w:r>
    </w:p>
    <w:p w14:paraId="7DE4A78F" w14:textId="77777777" w:rsidR="00BD2575" w:rsidRPr="00065A4C" w:rsidRDefault="00BD2575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</w:p>
    <w:p w14:paraId="05B6BCB8" w14:textId="1AED06E0" w:rsidR="00BB020F" w:rsidRPr="00065A4C" w:rsidRDefault="00BB020F" w:rsidP="00BB02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Se o limite da funcionalidade de Controle de exposição for ultrapassado, todo abono realizado para o</w:t>
      </w:r>
      <w:r w:rsidR="00BD2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poder nesta funcionalidade ficará com o status Pendente de Aprovação, para maiores detalhes sobre esta</w:t>
      </w:r>
      <w:r w:rsidR="00BD2575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funcionalidade, verifique o tópico "O que é e para que serve o Controle de exposição?".</w:t>
      </w:r>
      <w:r w:rsidR="0091260E" w:rsidRPr="00065A4C">
        <w:rPr>
          <w:rFonts w:cstheme="minorHAnsi"/>
          <w:i/>
          <w:iCs/>
          <w:color w:val="000000"/>
          <w:sz w:val="20"/>
          <w:szCs w:val="20"/>
        </w:rPr>
        <w:br/>
      </w:r>
    </w:p>
    <w:p w14:paraId="1C52E63D" w14:textId="028F6218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 xml:space="preserve">Para realizar o download do arquivo P7S é necessário que a assinatura da operação </w:t>
      </w:r>
      <w:proofErr w:type="gramStart"/>
      <w:r w:rsidRPr="00065A4C">
        <w:rPr>
          <w:rFonts w:cstheme="minorHAnsi"/>
          <w:b/>
          <w:bCs/>
          <w:color w:val="333333"/>
          <w:sz w:val="20"/>
          <w:szCs w:val="20"/>
        </w:rPr>
        <w:t>esteja</w:t>
      </w:r>
      <w:r w:rsidR="009F47A6" w:rsidRPr="00065A4C">
        <w:rPr>
          <w:rFonts w:cstheme="minorHAnsi"/>
          <w:b/>
          <w:bCs/>
          <w:color w:val="333333"/>
          <w:sz w:val="20"/>
          <w:szCs w:val="20"/>
        </w:rPr>
        <w:t xml:space="preserve">  </w:t>
      </w:r>
      <w:r w:rsidRPr="00065A4C">
        <w:rPr>
          <w:rFonts w:cstheme="minorHAnsi"/>
          <w:b/>
          <w:bCs/>
          <w:color w:val="333333"/>
          <w:sz w:val="20"/>
          <w:szCs w:val="20"/>
        </w:rPr>
        <w:t>concluída</w:t>
      </w:r>
      <w:proofErr w:type="gramEnd"/>
      <w:r w:rsidRPr="00065A4C">
        <w:rPr>
          <w:rFonts w:cstheme="minorHAnsi"/>
          <w:b/>
          <w:bCs/>
          <w:color w:val="333333"/>
          <w:sz w:val="20"/>
          <w:szCs w:val="20"/>
        </w:rPr>
        <w:t>?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4037B56E" w14:textId="4E4B3571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Sim, após o fechamento da operação, o sistema disponibiliza os arquivos P7s para download separados em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pastas,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client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(cliente), broker (corretora) e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bank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(banco), sendo todas disponíveis para download por qualquer</w:t>
      </w:r>
      <w:r w:rsidR="0091260E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um dos signatários.</w:t>
      </w:r>
      <w:r w:rsidR="0091260E" w:rsidRPr="00065A4C">
        <w:rPr>
          <w:rFonts w:cstheme="minorHAnsi"/>
          <w:iCs/>
          <w:color w:val="000000"/>
          <w:sz w:val="20"/>
          <w:szCs w:val="20"/>
        </w:rPr>
        <w:br/>
      </w:r>
    </w:p>
    <w:p w14:paraId="3438117B" w14:textId="50765173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 xml:space="preserve">O que seriam arquivos </w:t>
      </w:r>
      <w:proofErr w:type="spellStart"/>
      <w:r w:rsidRPr="00065A4C">
        <w:rPr>
          <w:rFonts w:cstheme="minorHAnsi"/>
          <w:b/>
          <w:bCs/>
          <w:color w:val="333333"/>
          <w:sz w:val="20"/>
          <w:szCs w:val="20"/>
        </w:rPr>
        <w:t>ofac</w:t>
      </w:r>
      <w:proofErr w:type="spellEnd"/>
      <w:r w:rsidRPr="00065A4C">
        <w:rPr>
          <w:rFonts w:cstheme="minorHAnsi"/>
          <w:b/>
          <w:bCs/>
          <w:color w:val="333333"/>
          <w:sz w:val="20"/>
          <w:szCs w:val="20"/>
        </w:rPr>
        <w:t>?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66037153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66"/>
          <w:sz w:val="20"/>
          <w:szCs w:val="20"/>
        </w:rPr>
      </w:pPr>
      <w:r w:rsidRPr="00065A4C">
        <w:rPr>
          <w:rFonts w:cstheme="minorHAnsi"/>
          <w:color w:val="003366"/>
          <w:sz w:val="20"/>
          <w:szCs w:val="20"/>
        </w:rPr>
        <w:t>https://www.treasury.gov/about/organizational-structure/offices/Pages/Office-of-Foreign-Assets-Control.aspx</w:t>
      </w:r>
    </w:p>
    <w:p w14:paraId="2D1F6E98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Basicamente, uma lista de nomes de pessoas non gratas que os bancos não podem/ devem operar. Ex.: Bin</w:t>
      </w:r>
    </w:p>
    <w:p w14:paraId="29E29736" w14:textId="364E0DC9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Laden, Osama,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etc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…</w:t>
      </w:r>
      <w:r w:rsidR="0091260E" w:rsidRPr="00065A4C">
        <w:rPr>
          <w:rFonts w:cstheme="minorHAnsi"/>
          <w:iCs/>
          <w:color w:val="000000"/>
          <w:sz w:val="20"/>
          <w:szCs w:val="20"/>
        </w:rPr>
        <w:br/>
      </w:r>
    </w:p>
    <w:p w14:paraId="74CFABDC" w14:textId="6B73BAC6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 xml:space="preserve">O que seria KYC </w:t>
      </w:r>
      <w:proofErr w:type="spellStart"/>
      <w:r w:rsidRPr="00065A4C">
        <w:rPr>
          <w:rFonts w:cstheme="minorHAnsi"/>
          <w:b/>
          <w:bCs/>
          <w:color w:val="333333"/>
          <w:sz w:val="20"/>
          <w:szCs w:val="20"/>
        </w:rPr>
        <w:t>exceptions</w:t>
      </w:r>
      <w:proofErr w:type="spellEnd"/>
      <w:r w:rsidRPr="00065A4C">
        <w:rPr>
          <w:rFonts w:cstheme="minorHAnsi"/>
          <w:b/>
          <w:bCs/>
          <w:color w:val="333333"/>
          <w:sz w:val="20"/>
          <w:szCs w:val="20"/>
        </w:rPr>
        <w:t>?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5E010E6E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Uma espécie de categoria de exceções que um cliente poderia ter.</w:t>
      </w:r>
    </w:p>
    <w:p w14:paraId="6993875F" w14:textId="5FD9D7AC" w:rsidR="00BB020F" w:rsidRPr="00065A4C" w:rsidRDefault="0091260E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lastRenderedPageBreak/>
        <w:br/>
      </w:r>
      <w:r w:rsidR="00BB020F" w:rsidRPr="00065A4C">
        <w:rPr>
          <w:rFonts w:cstheme="minorHAnsi"/>
          <w:b/>
          <w:bCs/>
          <w:color w:val="333333"/>
          <w:sz w:val="20"/>
          <w:szCs w:val="20"/>
        </w:rPr>
        <w:t xml:space="preserve">O que seria </w:t>
      </w:r>
      <w:proofErr w:type="spellStart"/>
      <w:r w:rsidR="00BB020F" w:rsidRPr="00065A4C">
        <w:rPr>
          <w:rFonts w:cstheme="minorHAnsi"/>
          <w:b/>
          <w:bCs/>
          <w:color w:val="333333"/>
          <w:sz w:val="20"/>
          <w:szCs w:val="20"/>
        </w:rPr>
        <w:t>naic</w:t>
      </w:r>
      <w:proofErr w:type="spellEnd"/>
      <w:r w:rsidR="00BB020F" w:rsidRPr="00065A4C">
        <w:rPr>
          <w:rFonts w:cstheme="minorHAnsi"/>
          <w:b/>
          <w:bCs/>
          <w:color w:val="333333"/>
          <w:sz w:val="20"/>
          <w:szCs w:val="20"/>
        </w:rPr>
        <w:t xml:space="preserve"> </w:t>
      </w:r>
      <w:proofErr w:type="spellStart"/>
      <w:r w:rsidR="00BB020F" w:rsidRPr="00065A4C">
        <w:rPr>
          <w:rFonts w:cstheme="minorHAnsi"/>
          <w:b/>
          <w:bCs/>
          <w:color w:val="333333"/>
          <w:sz w:val="20"/>
          <w:szCs w:val="20"/>
        </w:rPr>
        <w:t>code</w:t>
      </w:r>
      <w:proofErr w:type="spellEnd"/>
      <w:r w:rsidR="00BB020F" w:rsidRPr="00065A4C">
        <w:rPr>
          <w:rFonts w:cstheme="minorHAnsi"/>
          <w:b/>
          <w:bCs/>
          <w:color w:val="333333"/>
          <w:sz w:val="20"/>
          <w:szCs w:val="20"/>
        </w:rPr>
        <w:t xml:space="preserve"> </w:t>
      </w:r>
      <w:proofErr w:type="spellStart"/>
      <w:r w:rsidR="00BB020F" w:rsidRPr="00065A4C">
        <w:rPr>
          <w:rFonts w:cstheme="minorHAnsi"/>
          <w:b/>
          <w:bCs/>
          <w:color w:val="333333"/>
          <w:sz w:val="20"/>
          <w:szCs w:val="20"/>
        </w:rPr>
        <w:t>translation</w:t>
      </w:r>
      <w:proofErr w:type="spellEnd"/>
      <w:r w:rsidR="00BB020F" w:rsidRPr="00065A4C">
        <w:rPr>
          <w:rFonts w:cstheme="minorHAnsi"/>
          <w:b/>
          <w:bCs/>
          <w:color w:val="333333"/>
          <w:sz w:val="20"/>
          <w:szCs w:val="20"/>
        </w:rPr>
        <w:t>?</w:t>
      </w:r>
      <w:r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5BBD398D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Uma espécie de codificação que o cliente poderia ter de acordo com a atividade econômica.</w:t>
      </w:r>
    </w:p>
    <w:p w14:paraId="0555C199" w14:textId="32E28E1C" w:rsidR="00BB020F" w:rsidRPr="00065A4C" w:rsidRDefault="0091260E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br/>
      </w:r>
      <w:r w:rsidR="00BB020F" w:rsidRPr="00065A4C">
        <w:rPr>
          <w:rFonts w:cstheme="minorHAnsi"/>
          <w:b/>
          <w:bCs/>
          <w:color w:val="333333"/>
          <w:sz w:val="20"/>
          <w:szCs w:val="20"/>
        </w:rPr>
        <w:t>A figura do validador é somente para o banco ou também para os clientes?</w:t>
      </w:r>
      <w:r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2354DBED" w14:textId="47ED8BCD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O validador pode ser associado individualmente para cada Entidade. Existe um cadastro separado de</w:t>
      </w:r>
      <w:r w:rsidR="005936A1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validadores (Menu CMS Assinatura Digital —&gt; Validadores) onde você pode criar os usuários que</w:t>
      </w:r>
      <w:r w:rsidR="005936A1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posteriormente serão associados as Entidades. Neste momento, você informa um e-mail e o sistema cria uma</w:t>
      </w:r>
      <w:r w:rsidR="005936A1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senha automaticamente e envia para o destinatário. Posteriormente, na aba CMS dentro do cadastro do cliente,</w:t>
      </w:r>
      <w:r w:rsidR="005936A1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é possível associar os validadores e os Tipos de Operações.</w:t>
      </w:r>
    </w:p>
    <w:p w14:paraId="7F1906F8" w14:textId="77777777" w:rsidR="005936A1" w:rsidRPr="00065A4C" w:rsidRDefault="005936A1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</w:p>
    <w:p w14:paraId="0985DDF4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Vale reforçar que atualmente o sistema utiliza a etapa de validação apenas para a contraparte Cliente da</w:t>
      </w:r>
    </w:p>
    <w:p w14:paraId="7FF60B2D" w14:textId="2B061FC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operação, ou seja, caso o validador esteja cadastrado nas contrapartes Corretora e Banco, a operação não</w:t>
      </w:r>
      <w:r w:rsidR="005936A1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ficará disponível para validação.</w:t>
      </w:r>
      <w:r w:rsidR="0091260E" w:rsidRPr="00065A4C">
        <w:rPr>
          <w:rFonts w:cstheme="minorHAnsi"/>
          <w:iCs/>
          <w:color w:val="000000"/>
          <w:sz w:val="20"/>
          <w:szCs w:val="20"/>
        </w:rPr>
        <w:br/>
      </w:r>
    </w:p>
    <w:p w14:paraId="1D17B3D0" w14:textId="679ED1E1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Quais são as regras das cores para os valores estrangeiros das operações?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3159ECC8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Válido para valor estrangeiro.</w:t>
      </w:r>
    </w:p>
    <w:p w14:paraId="61DD93AA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Azul: Se a operação estiver inconsistente.</w:t>
      </w:r>
    </w:p>
    <w:p w14:paraId="0C76C6E3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Vermelho: Se a operação não estiver inconsistente e o tipo da transação for FV (Financeiro Venda) ou IP</w:t>
      </w:r>
    </w:p>
    <w:p w14:paraId="43B8BC0B" w14:textId="7777777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(Importação).</w:t>
      </w:r>
    </w:p>
    <w:p w14:paraId="2112DA13" w14:textId="52E68698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Fora essas regras a cor é normal (preto).</w:t>
      </w:r>
      <w:r w:rsidR="0091260E" w:rsidRPr="00065A4C">
        <w:rPr>
          <w:rFonts w:cstheme="minorHAnsi"/>
          <w:iCs/>
          <w:color w:val="000000"/>
          <w:sz w:val="20"/>
          <w:szCs w:val="20"/>
        </w:rPr>
        <w:br/>
      </w:r>
    </w:p>
    <w:p w14:paraId="6B44C9D7" w14:textId="70C65799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Qual o significado de CMS?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11D28A64" w14:textId="1F34507B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CMS é a sigla para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Criptografy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Message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 xml:space="preserve"> System, no português Sistema de Mensagens Criptografadas.</w:t>
      </w:r>
    </w:p>
    <w:p w14:paraId="5513E43C" w14:textId="05E35F3A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0"/>
          <w:szCs w:val="20"/>
        </w:rPr>
      </w:pPr>
    </w:p>
    <w:p w14:paraId="4AA51EB8" w14:textId="24B2C958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Porque é necessário instalar o HOST após a instalação das extensões de assinatura dig</w:t>
      </w:r>
      <w:r w:rsidR="00CD5C02" w:rsidRPr="00065A4C">
        <w:rPr>
          <w:rFonts w:cstheme="minorHAnsi"/>
          <w:b/>
          <w:bCs/>
          <w:color w:val="333333"/>
          <w:sz w:val="20"/>
          <w:szCs w:val="20"/>
        </w:rPr>
        <w:t>ital</w:t>
      </w:r>
      <w:r w:rsidRPr="00065A4C">
        <w:rPr>
          <w:rFonts w:cstheme="minorHAnsi"/>
          <w:b/>
          <w:bCs/>
          <w:color w:val="333333"/>
          <w:sz w:val="20"/>
          <w:szCs w:val="20"/>
        </w:rPr>
        <w:t xml:space="preserve"> para o</w:t>
      </w:r>
      <w:r w:rsidR="0091260E" w:rsidRPr="00065A4C">
        <w:rPr>
          <w:rFonts w:cstheme="minorHAnsi"/>
          <w:b/>
          <w:bCs/>
          <w:color w:val="333333"/>
          <w:sz w:val="20"/>
          <w:szCs w:val="20"/>
        </w:rPr>
        <w:t xml:space="preserve"> </w:t>
      </w:r>
      <w:r w:rsidRPr="00065A4C">
        <w:rPr>
          <w:rFonts w:cstheme="minorHAnsi"/>
          <w:b/>
          <w:bCs/>
          <w:color w:val="333333"/>
          <w:sz w:val="20"/>
          <w:szCs w:val="20"/>
        </w:rPr>
        <w:t>Chrome e Fi</w:t>
      </w:r>
      <w:r w:rsidR="00CD5C02" w:rsidRPr="00065A4C">
        <w:rPr>
          <w:rFonts w:cstheme="minorHAnsi"/>
          <w:b/>
          <w:bCs/>
          <w:color w:val="333333"/>
          <w:sz w:val="20"/>
          <w:szCs w:val="20"/>
        </w:rPr>
        <w:t>r</w:t>
      </w:r>
      <w:r w:rsidRPr="00065A4C">
        <w:rPr>
          <w:rFonts w:cstheme="minorHAnsi"/>
          <w:b/>
          <w:bCs/>
          <w:color w:val="333333"/>
          <w:sz w:val="20"/>
          <w:szCs w:val="20"/>
        </w:rPr>
        <w:t>efox?</w:t>
      </w:r>
    </w:p>
    <w:p w14:paraId="79E2F002" w14:textId="77777777" w:rsidR="00CD5C02" w:rsidRPr="00065A4C" w:rsidRDefault="00CD5C02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</w:p>
    <w:p w14:paraId="5E3E4E85" w14:textId="376EFF6A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O host possibilita a comunicação entre o navegador e os certificados instalados na máquina (hardware) papel</w:t>
      </w:r>
      <w:r w:rsidR="00CD5C02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este que é feito atualmente pelo Java.</w:t>
      </w:r>
      <w:r w:rsidR="00BD2575" w:rsidRPr="00065A4C">
        <w:rPr>
          <w:rFonts w:cstheme="minorHAnsi"/>
          <w:iCs/>
          <w:color w:val="000000"/>
          <w:sz w:val="20"/>
          <w:szCs w:val="20"/>
        </w:rPr>
        <w:br/>
      </w:r>
    </w:p>
    <w:p w14:paraId="17572D98" w14:textId="3F3C8DDB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 xml:space="preserve">Em quais status o botão </w:t>
      </w:r>
      <w:r w:rsidR="00CD5C02" w:rsidRPr="00065A4C">
        <w:rPr>
          <w:rFonts w:cstheme="minorHAnsi"/>
          <w:b/>
          <w:bCs/>
          <w:color w:val="333333"/>
          <w:sz w:val="20"/>
          <w:szCs w:val="20"/>
        </w:rPr>
        <w:t>“</w:t>
      </w:r>
      <w:r w:rsidRPr="00065A4C">
        <w:rPr>
          <w:rFonts w:cstheme="minorHAnsi"/>
          <w:b/>
          <w:bCs/>
          <w:color w:val="333333"/>
          <w:sz w:val="20"/>
          <w:szCs w:val="20"/>
        </w:rPr>
        <w:t>marcar como assinado manualmente</w:t>
      </w:r>
      <w:r w:rsidR="00CD5C02" w:rsidRPr="00065A4C">
        <w:rPr>
          <w:rFonts w:cstheme="minorHAnsi"/>
          <w:b/>
          <w:bCs/>
          <w:color w:val="333333"/>
          <w:sz w:val="20"/>
          <w:szCs w:val="20"/>
        </w:rPr>
        <w:t>”</w:t>
      </w:r>
      <w:r w:rsidRPr="00065A4C">
        <w:rPr>
          <w:rFonts w:cstheme="minorHAnsi"/>
          <w:b/>
          <w:bCs/>
          <w:color w:val="333333"/>
          <w:sz w:val="20"/>
          <w:szCs w:val="20"/>
        </w:rPr>
        <w:t xml:space="preserve"> não deve ser exibido?</w:t>
      </w:r>
    </w:p>
    <w:p w14:paraId="7DA9E532" w14:textId="77777777" w:rsidR="00BD2575" w:rsidRPr="00065A4C" w:rsidRDefault="00BD2575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</w:p>
    <w:p w14:paraId="7EFFF7C1" w14:textId="1A8CDC11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O botão "marcar como assinado manualmente" não deve ser exibido para os seguintes status</w:t>
      </w:r>
      <w:r w:rsidR="00E2433D" w:rsidRPr="00065A4C">
        <w:rPr>
          <w:rFonts w:cstheme="minorHAnsi"/>
          <w:iCs/>
          <w:color w:val="000000"/>
          <w:sz w:val="20"/>
          <w:szCs w:val="20"/>
        </w:rPr>
        <w:t xml:space="preserve">: </w:t>
      </w:r>
      <w:r w:rsidRPr="00065A4C">
        <w:rPr>
          <w:rFonts w:cstheme="minorHAnsi"/>
          <w:iCs/>
          <w:color w:val="000000"/>
          <w:sz w:val="20"/>
          <w:szCs w:val="20"/>
        </w:rPr>
        <w:t>Finalizado;</w:t>
      </w:r>
      <w:r w:rsidR="00E2433D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Assinado Manualmente; Migrado de sistemas externos; Cancelado/ Anulado</w:t>
      </w:r>
      <w:r w:rsidR="00E2433D" w:rsidRPr="00065A4C">
        <w:rPr>
          <w:rFonts w:cstheme="minorHAnsi"/>
          <w:iCs/>
          <w:color w:val="000000"/>
          <w:sz w:val="20"/>
          <w:szCs w:val="20"/>
        </w:rPr>
        <w:t>.</w:t>
      </w:r>
      <w:r w:rsidR="00CD5C02" w:rsidRPr="00065A4C">
        <w:rPr>
          <w:rFonts w:cstheme="minorHAnsi"/>
          <w:iCs/>
          <w:color w:val="000000"/>
          <w:sz w:val="20"/>
          <w:szCs w:val="20"/>
        </w:rPr>
        <w:br/>
      </w:r>
    </w:p>
    <w:p w14:paraId="3CD09C27" w14:textId="28E3456E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Como funciona a regra para visualização da Aba Serviços em Preferências de sistema?</w:t>
      </w:r>
      <w:r w:rsidR="00E2433D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5CA7D681" w14:textId="788B317C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Para clientes até a versão 3.16, a aba Serviços é exibida somente se o cliente for utilizar o serviço de envio do</w:t>
      </w:r>
      <w:r w:rsidR="00E2433D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CCS, ou seja, se está flag estiver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true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, a aba será exibida.</w:t>
      </w:r>
      <w:r w:rsidR="00E2433D" w:rsidRPr="00065A4C">
        <w:rPr>
          <w:rFonts w:cstheme="minorHAnsi"/>
          <w:iCs/>
          <w:color w:val="000000"/>
          <w:sz w:val="20"/>
          <w:szCs w:val="20"/>
        </w:rPr>
        <w:br/>
      </w:r>
    </w:p>
    <w:p w14:paraId="193114AD" w14:textId="609F5893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</w:rPr>
      </w:pPr>
      <w:r w:rsidRPr="00065A4C">
        <w:rPr>
          <w:rFonts w:cstheme="minorHAnsi"/>
          <w:iCs/>
          <w:color w:val="000000"/>
          <w:sz w:val="20"/>
          <w:szCs w:val="20"/>
        </w:rPr>
        <w:t>Para clientes nas versões 3.17+, a aba Serviços sempre estará disponível para o usuário, desde que tenha</w:t>
      </w:r>
      <w:r w:rsidR="00E2433D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Pr="00065A4C">
        <w:rPr>
          <w:rFonts w:cstheme="minorHAnsi"/>
          <w:iCs/>
          <w:color w:val="000000"/>
          <w:sz w:val="20"/>
          <w:szCs w:val="20"/>
        </w:rPr>
        <w:t>permissão de acesso para a aba. O conteúdo pode ser exibido de acordo com checagens internas¹, porém a Gravar log de integração sempre estará disponível.</w:t>
      </w:r>
      <w:r w:rsidR="00E2433D" w:rsidRPr="00065A4C">
        <w:rPr>
          <w:rFonts w:cstheme="minorHAnsi"/>
          <w:iCs/>
          <w:color w:val="000000"/>
          <w:sz w:val="20"/>
          <w:szCs w:val="20"/>
        </w:rPr>
        <w:br/>
      </w:r>
    </w:p>
    <w:p w14:paraId="0AF2DDF5" w14:textId="3E9BA8A7" w:rsidR="00BB020F" w:rsidRPr="00065A4C" w:rsidRDefault="00BB020F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0"/>
          <w:szCs w:val="20"/>
        </w:rPr>
      </w:pPr>
      <w:r w:rsidRPr="00065A4C">
        <w:rPr>
          <w:rFonts w:cstheme="minorHAnsi"/>
          <w:b/>
          <w:bCs/>
          <w:color w:val="333333"/>
          <w:sz w:val="20"/>
          <w:szCs w:val="20"/>
        </w:rPr>
        <w:t>O que é NOUNCE?</w:t>
      </w:r>
      <w:r w:rsidR="00E2433D" w:rsidRPr="00065A4C">
        <w:rPr>
          <w:rFonts w:cstheme="minorHAnsi"/>
          <w:b/>
          <w:bCs/>
          <w:color w:val="333333"/>
          <w:sz w:val="20"/>
          <w:szCs w:val="20"/>
        </w:rPr>
        <w:br/>
      </w:r>
    </w:p>
    <w:p w14:paraId="2239C0D2" w14:textId="5F2F2310" w:rsidR="00BB020F" w:rsidRPr="00065A4C" w:rsidRDefault="00E2433D" w:rsidP="00BB02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0"/>
          <w:szCs w:val="20"/>
          <w:u w:val="single"/>
        </w:rPr>
      </w:pPr>
      <w:r w:rsidRPr="00065A4C">
        <w:rPr>
          <w:rFonts w:cstheme="minorHAnsi"/>
          <w:iCs/>
          <w:color w:val="000000"/>
          <w:sz w:val="20"/>
          <w:szCs w:val="20"/>
        </w:rPr>
        <w:t xml:space="preserve">O NOUNCE é um código interno de identificação único utilizado pela aplicação </w:t>
      </w:r>
      <w:proofErr w:type="spellStart"/>
      <w:r w:rsidRPr="00065A4C">
        <w:rPr>
          <w:rFonts w:cstheme="minorHAnsi"/>
          <w:iCs/>
          <w:color w:val="000000"/>
          <w:sz w:val="20"/>
          <w:szCs w:val="20"/>
        </w:rPr>
        <w:t>FEPWeb</w:t>
      </w:r>
      <w:proofErr w:type="spellEnd"/>
      <w:r w:rsidRPr="00065A4C">
        <w:rPr>
          <w:rFonts w:cstheme="minorHAnsi"/>
          <w:iCs/>
          <w:color w:val="000000"/>
          <w:sz w:val="20"/>
          <w:szCs w:val="20"/>
        </w:rPr>
        <w:t>, cujo a finalidade é registrar cada uma das notificações disparadas via e-mail pel</w:t>
      </w:r>
      <w:r w:rsidRPr="00065A4C">
        <w:rPr>
          <w:rFonts w:cstheme="minorHAnsi"/>
          <w:iCs/>
          <w:color w:val="000000"/>
          <w:sz w:val="20"/>
          <w:szCs w:val="20"/>
        </w:rPr>
        <w:t>o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sistema.</w:t>
      </w:r>
      <w:r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NONCE = </w:t>
      </w:r>
      <w:proofErr w:type="spellStart"/>
      <w:r w:rsidR="00BB020F" w:rsidRPr="00065A4C">
        <w:rPr>
          <w:rFonts w:cstheme="minorHAnsi"/>
          <w:iCs/>
          <w:color w:val="000000"/>
          <w:sz w:val="20"/>
          <w:szCs w:val="20"/>
        </w:rPr>
        <w:t>Number</w:t>
      </w:r>
      <w:proofErr w:type="spellEnd"/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 </w:t>
      </w:r>
      <w:proofErr w:type="spellStart"/>
      <w:r w:rsidR="00BB020F" w:rsidRPr="00065A4C">
        <w:rPr>
          <w:rFonts w:cstheme="minorHAnsi"/>
          <w:iCs/>
          <w:color w:val="000000"/>
          <w:sz w:val="20"/>
          <w:szCs w:val="20"/>
        </w:rPr>
        <w:t>Once</w:t>
      </w:r>
      <w:proofErr w:type="spellEnd"/>
      <w:r w:rsidR="00BB020F" w:rsidRPr="00065A4C">
        <w:rPr>
          <w:rFonts w:cstheme="minorHAnsi"/>
          <w:iCs/>
          <w:color w:val="000000"/>
          <w:sz w:val="20"/>
          <w:szCs w:val="20"/>
        </w:rPr>
        <w:t xml:space="preserve"> = Número utilizado apenas uma vez.</w:t>
      </w:r>
    </w:p>
    <w:sectPr w:rsidR="00BB020F" w:rsidRPr="00065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3454"/>
    <w:multiLevelType w:val="hybridMultilevel"/>
    <w:tmpl w:val="93C21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1283A"/>
    <w:multiLevelType w:val="hybridMultilevel"/>
    <w:tmpl w:val="D3144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50"/>
    <w:rsid w:val="00065A4C"/>
    <w:rsid w:val="000B0050"/>
    <w:rsid w:val="00376FE6"/>
    <w:rsid w:val="005447C6"/>
    <w:rsid w:val="005936A1"/>
    <w:rsid w:val="006D100A"/>
    <w:rsid w:val="00890575"/>
    <w:rsid w:val="0091260E"/>
    <w:rsid w:val="009F47A6"/>
    <w:rsid w:val="00AF05DD"/>
    <w:rsid w:val="00BB020F"/>
    <w:rsid w:val="00BD2575"/>
    <w:rsid w:val="00C31B2B"/>
    <w:rsid w:val="00CD5C02"/>
    <w:rsid w:val="00E2433D"/>
    <w:rsid w:val="00F22F3A"/>
    <w:rsid w:val="00F8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06B2"/>
  <w15:chartTrackingRefBased/>
  <w15:docId w15:val="{1A65F40C-212E-4DB8-9838-2955F268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2394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Lima</dc:creator>
  <cp:keywords/>
  <dc:description/>
  <cp:lastModifiedBy>Gabriela Lima</cp:lastModifiedBy>
  <cp:revision>12</cp:revision>
  <dcterms:created xsi:type="dcterms:W3CDTF">2018-03-23T15:10:00Z</dcterms:created>
  <dcterms:modified xsi:type="dcterms:W3CDTF">2018-03-26T03:39:00Z</dcterms:modified>
</cp:coreProperties>
</file>