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7E0B7">
      <w:pPr>
        <w:rPr>
          <w:rFonts w:hint="default"/>
        </w:rPr>
      </w:pPr>
      <w:bookmarkStart w:id="0" w:name="_GoBack"/>
      <w:r>
        <w:rPr>
          <w:rFonts w:hint="default"/>
        </w:rPr>
        <w:t>3.3 Internal Correlation Analysis of Dimensions</w:t>
      </w:r>
    </w:p>
    <w:p w14:paraId="1F1F73D1">
      <w:pPr>
        <w:rPr>
          <w:rFonts w:hint="default"/>
        </w:rPr>
      </w:pPr>
      <w:r>
        <w:rPr>
          <w:rFonts w:hint="default"/>
        </w:rPr>
        <w:t>Based on the calculated dimensional scores, we construct a $5 \times 5$ correlation matrix to reveal the deep driving logic within the system.</w:t>
      </w:r>
    </w:p>
    <w:p w14:paraId="6053C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后面插入figure1；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 Problem II: Deep Evaluation Model based on Self-Attention and GA-BP Coupling后面插入figure2；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Physical Significance: This mechanism implies that if a nation possesses immense "Computing Power" but lacks "Energy Security," the Self-Attention module will automatically down-weight the positive contribution of the computing indicator by computing the correlation between the two. This "Dynamic Weighting" capability is a significant advancement over traditional linear methods such as AHP or EWM.后面插入figure3；</w:t>
      </w:r>
    </w:p>
    <w:p w14:paraId="139A6B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While GA provides a superior starting position, BP completes the precise convergence, together ensuring the stability of the model.</w:t>
      </w:r>
      <w:r>
        <w:rPr>
          <w:rFonts w:hint="eastAsia"/>
          <w:lang w:val="en-US" w:eastAsia="zh-CN"/>
        </w:rPr>
        <w:t>后面插入figure4；</w:t>
      </w:r>
    </w:p>
    <w:p w14:paraId="546A0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 2: 2025 Global AI Competitiveness Rankings</w:t>
      </w:r>
    </w:p>
    <w:p w14:paraId="1C642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Rank | Country | DL-based Score | EWM Reference | Deviation |</w:t>
      </w:r>
    </w:p>
    <w:p w14:paraId="2B2D5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USA | 87.01 | 87.01 | $0.0003$ |</w:t>
      </w:r>
    </w:p>
    <w:p w14:paraId="2D466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China | 80.49 | 80.49 | $0.0004$ |</w:t>
      </w:r>
    </w:p>
    <w:p w14:paraId="0D915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UAE | 57.34 | 57.34 | $0.0005$ |</w:t>
      </w:r>
    </w:p>
    <w:p w14:paraId="08B8C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UK | 49.56 | 49.55 | $0.0005$ |</w:t>
      </w:r>
    </w:p>
    <w:p w14:paraId="7DCB2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South Korea | 43.94 | 43.93 | $0.0006$ |</w:t>
      </w:r>
    </w:p>
    <w:p w14:paraId="33071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后面插入figure5和figure6；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We utilize the SHAP (SHapley Additive exPlanations) interpreter to parse the GA-BP model, identifying the core factors driving national rankings.后面插入figure7；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Through temporal simulation of the 10 sample countries, Figure 6 illustrates the dynamic evolutionary characteristics of global AI competitiveness:</w:t>
      </w:r>
    </w:p>
    <w:p w14:paraId="2F781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后面插入figure8；</w:t>
      </w:r>
    </w:p>
    <w:p w14:paraId="516E8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Optimal Allocation of the 1-Trillion Special Fund</w:t>
      </w:r>
    </w:p>
    <w:p w14:paraId="12312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solving the NLP model, we derived the optimal investment trajectory:</w:t>
      </w:r>
    </w:p>
    <w:p w14:paraId="2251A0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后面插入figure9；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1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2026-01-20T16:24:42Z</dcterms:created>
  <dc:creator>32610</dc:creator>
  <cp:lastModifiedBy>林鑫</cp:lastModifiedBy>
  <dcterms:modified xsi:type="dcterms:W3CDTF">2026-01-20T16:31:36Z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FCF01CE832E440858292BC3DF6B0653D_12</vt:lpwstr>
  </property>
</Properties>
</file>