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3965E0">
      <w:pPr>
        <w:rPr/>
      </w:pPr>
      <w:r>
        <w:t>全球 AI 竞争力演化建模与战略投资优化研究</w:t>
      </w:r>
    </w:p>
    <w:p w14:paraId="24DA3543">
      <w:pPr>
        <w:rPr/>
      </w:pPr>
      <w:r>
        <w:t>摘要 (Summary Sheet)</w:t>
      </w:r>
    </w:p>
    <w:p w14:paraId="52B9F860">
      <w:pPr>
        <w:rPr/>
      </w:pPr>
      <w:r>
        <w:t>在生成式人工智能（AI）驱动的第四次工业革命背景下，构建科学的全球竞争力评估体系对于国家战略制定至关重要。本文通过集成统计预测算法与非线性规划理论，构建了一个多阶段建模框架。</w:t>
      </w:r>
    </w:p>
    <w:p w14:paraId="370B317C">
      <w:pPr>
        <w:rPr/>
      </w:pPr>
      <w:r>
        <w:t>针对问题一：因素识别与交互分析，本文识别了涵盖人才、科研、基建、经济、政策 5 个维度的 19 项核心指标。为解决 AI 领域严重的“长尾效应”和极端值导致的排名断层，本文创新性地提出了 Sigmoid 非线性归一化方法，并利用 熵权法（EWM） 确定客观权重。通过 Pearson 相关性分析 揭示了“算力-资本”双螺旋驱动机制（$r=0.94$）以及电力供应对算力扩张的底层物理约束。特别地，针对人才维度，本文实施“总量-强度”解构逻辑，有效平衡了大国资源规模与小国人均集约化优势。</w:t>
      </w:r>
    </w:p>
    <w:p w14:paraId="5192F1F9">
      <w:pPr>
        <w:rPr/>
      </w:pPr>
      <w:r>
        <w:t>针对问题二：综合评价模型，本文建立了基于 Self-Attention 机制与 GA-BP 神经网络 的评价系统。利用自注意力层捕获指标间的深层耦合关系，并借助遗传算法（GA）优化神经网络初始权重。结果显示，2025 年美国（88.71分）与中国（80.76分）构成了全球 AI 竞争的第一梯队。</w:t>
      </w:r>
    </w:p>
    <w:p w14:paraId="1E44A5A2">
      <w:pPr>
        <w:rPr/>
      </w:pPr>
      <w:r>
        <w:t>针对问题三：时序演化预测，本文采用 ARIMA (差分自回归移动平均模型) 对 2016-2025 年的历史轨迹进行建模。由于历史样本量有限，ARIMA 表现出比深度学习模型更好的统计稳健性。预测显示，2035 年中美竞争力差距将进一步收窄，分别为 99.60 和 96.98，同时识别出阿联酋等国凭借主权算力战略实现的跃迁式增长路径。</w:t>
      </w:r>
    </w:p>
    <w:p w14:paraId="0EA0744E">
      <w:pPr>
        <w:rPr/>
      </w:pPr>
      <w:r>
        <w:t>针对问题四：战略投资优化，本文建立了基于 边际效用递减 的非线性规划模型。通过模拟 1 万亿专项资金的动态配置，证明了优先向 STEM 人才强度 ($I_{stem}$) 与科研转化投入能最大化国家竞争力，使中国在 2035 年的战略优势得到显著强化。</w:t>
      </w:r>
    </w:p>
    <w:p w14:paraId="20653D69">
      <w:pPr>
        <w:rPr/>
      </w:pPr>
      <w:r>
        <w:t>关键词：AI 竞争力；Sigmoid 归一化；Self-Attention + GA-BP；ARIMA 预测；非线性规划</w:t>
      </w:r>
    </w:p>
    <w:p w14:paraId="235C066B">
      <w:pPr>
        <w:rPr/>
      </w:pPr>
      <w:r>
        <w:t>1. 引言 (Introduction)</w:t>
      </w:r>
    </w:p>
    <w:p w14:paraId="02BD8EFE">
      <w:pPr>
        <w:rPr/>
      </w:pPr>
      <w:r>
        <w:t>1.1 研究背景与意义</w:t>
      </w:r>
    </w:p>
    <w:p w14:paraId="70F0C80B">
      <w:pPr>
        <w:rPr/>
      </w:pPr>
      <w:r>
        <w:t>自 2022 年大语言模型（LLM）引发技术奇点以来，人工智能（AI）已正式从辅助性的工具演变为驱动第四次工业革命的核心战略资源[1] 。AI 竞争力的强弱不再仅仅取决于单一算法的优劣，而是算力、电力、高质量数据与顶尖人才等多维要素的综合博弈。</w:t>
      </w:r>
    </w:p>
    <w:p w14:paraId="49895930">
      <w:pPr>
        <w:rPr/>
      </w:pPr>
      <w:r>
        <w:t>对于主权国家而言，准确评估自身的 AI 发展能力并识别潜在瓶颈，是制定 2030-2035 中长期战略的前提。然而，现有的评价体系往往存在两个痛点：一是受“极值偏差”影响，美国等超级大国的绝对优势常导致评价模型出现严重的数值断层，掩盖了中小国家在人才强度或政策灵活性上的真实竞争力；二是静态评价较多，缺乏对“投入-产出”动态演化规律的深度洞察[</w:t>
      </w:r>
      <w:r>
        <w:rPr>
          <w:rFonts w:hint="eastAsia"/>
          <w:lang w:val="en-US" w:eastAsia="zh-CN"/>
        </w:rPr>
        <w:t>2</w:t>
      </w:r>
      <w:r>
        <w:t>] 。因此，构建一个能够平衡规模与强度、兼顾现状与未来的综合建模体系具有重大的战略意义。</w:t>
      </w:r>
    </w:p>
    <w:p w14:paraId="75BFA466">
      <w:pPr>
        <w:rPr/>
      </w:pPr>
      <w:r>
        <w:t>1.2 问题重述</w:t>
      </w:r>
    </w:p>
    <w:p w14:paraId="20040000">
      <w:pPr>
        <w:rPr/>
      </w:pPr>
      <w:r>
        <w:t>本文受托对全球 10 个代表性国家（中、美、英、法、德、韩、日、加、印、阿）进行深度竞争力建模，核心任务包括：</w:t>
      </w:r>
    </w:p>
    <w:p w14:paraId="4BF3A1D9">
      <w:pPr>
        <w:rPr/>
      </w:pPr>
      <w:r>
        <w:t>因素解构与量化分析：识别并量化 AI 发展能力的驱动因子，分析这些因素如何通过相互作用共同促进或制约国家 AI 水平。</w:t>
      </w:r>
    </w:p>
    <w:p w14:paraId="2F0B9A11">
      <w:pPr>
        <w:rPr/>
      </w:pPr>
      <w:r>
        <w:t>科学评估体系构建：建立一个稳健的综合评价模型，对 2025 年各国的竞争力进行客观排名。</w:t>
      </w:r>
    </w:p>
    <w:p w14:paraId="198C0D31">
      <w:pPr>
        <w:rPr/>
      </w:pPr>
      <w:r>
        <w:t>十年演化趋势预测：推演 2026-2035 年全球 AI 竞争格局的变动，识别潜在的“排名跃迁者”。</w:t>
      </w:r>
    </w:p>
    <w:p w14:paraId="355A84D9">
      <w:pPr>
        <w:rPr/>
      </w:pPr>
      <w:r>
        <w:t>资源配置策略优化：模拟在 1 万亿专项资金支持下，如何通过最优投资路径最大化国家竞争力。</w:t>
      </w:r>
    </w:p>
    <w:p w14:paraId="192285B0">
      <w:pPr>
        <w:rPr/>
      </w:pPr>
      <w:r>
        <w:t>1.3 本文的贡献与创新</w:t>
      </w:r>
    </w:p>
    <w:p w14:paraId="2690834A">
      <w:pPr>
        <w:rPr/>
      </w:pPr>
      <w:r>
        <w:t>指标层：规模-强度双重维度。我们首次在人才维度引入了 25/75 的“总量-强度”解构逻辑，有效评估了资源有限但效率极高的经济体。</w:t>
      </w:r>
    </w:p>
    <w:p w14:paraId="109ED495">
      <w:pPr>
        <w:rPr/>
      </w:pPr>
      <w:r>
        <w:t>方法层：Sigmoid 映射与深度耦合模型。通过 Sigmoid 非线性归一化解决了权重垄断问题，并利用 Self-Attention 与 GA-BP 耦合，捕捉了指标间的高阶交互关系。</w:t>
      </w:r>
    </w:p>
    <w:p w14:paraId="6B9F9482">
      <w:pPr>
        <w:rPr/>
      </w:pPr>
      <w:r>
        <w:t>策略层：边际效用驱动的动态优化。在投资模型中引入了对数效用函数，模拟了真实世界中资源投入的递减规律，使建议更具实战价值。</w:t>
      </w:r>
    </w:p>
    <w:p w14:paraId="49A09685">
      <w:pPr>
        <w:rPr>
          <w:rFonts w:hint="default"/>
        </w:rPr>
      </w:pPr>
    </w:p>
    <w:p w14:paraId="563F0846">
      <w:pPr>
        <w:rPr>
          <w:rFonts w:hint="default"/>
        </w:rPr>
      </w:pPr>
      <w:r>
        <w:rPr>
          <w:rFonts w:hint="default"/>
        </w:rPr>
        <w:t>2. 模型假设与符号说明 (Assumptions and Notations)</w:t>
      </w:r>
    </w:p>
    <w:p w14:paraId="1B255B03">
      <w:pPr>
        <w:rPr>
          <w:rFonts w:hint="default"/>
        </w:rPr>
      </w:pPr>
      <w:r>
        <w:rPr>
          <w:rFonts w:hint="default"/>
        </w:rPr>
        <w:t>2.1 基本假设 (General Assumptions)</w:t>
      </w:r>
    </w:p>
    <w:p w14:paraId="16FAF179">
      <w:pPr>
        <w:rPr>
          <w:rFonts w:hint="default"/>
        </w:rPr>
      </w:pPr>
      <w:r>
        <w:rPr>
          <w:rFonts w:hint="default"/>
        </w:rPr>
        <w:t>为了简化复杂的全球人工智能竞争系统，并确保模型在数学上的可处理性与稳健性，本文提出以下核心假设：</w:t>
      </w:r>
    </w:p>
    <w:p w14:paraId="776547F6">
      <w:pPr>
        <w:rPr>
          <w:rFonts w:hint="default"/>
        </w:rPr>
      </w:pPr>
    </w:p>
    <w:p w14:paraId="0ABBE8AC">
      <w:pPr>
        <w:rPr>
          <w:rFonts w:hint="default"/>
        </w:rPr>
      </w:pPr>
      <w:r>
        <w:rPr>
          <w:rFonts w:hint="default"/>
        </w:rPr>
        <w:t>假设 1：多源数据在标准化后的齐次性 (Data Homogeneity after Normalization)</w:t>
      </w:r>
    </w:p>
    <w:p w14:paraId="4BA6D4A4">
      <w:pPr>
        <w:rPr>
          <w:rFonts w:hint="default"/>
        </w:rPr>
      </w:pPr>
    </w:p>
    <w:p w14:paraId="126EC013">
      <w:pPr>
        <w:rPr>
          <w:rFonts w:hint="default"/>
        </w:rPr>
      </w:pPr>
    </w:p>
    <w:p w14:paraId="2E80ED18">
      <w:pPr>
        <w:rPr>
          <w:rFonts w:hint="default"/>
        </w:rPr>
      </w:pPr>
      <w:r>
        <w:rPr>
          <w:rFonts w:hint="default"/>
        </w:rPr>
        <w:t>假设 (Assumption)：假设虽然各国在 AI 人才定义及统计口径上存在细微偏差，但经过本文采用的 Sigmoid 非线性归一化预处理后，所有指标均转化为具有数学齐次性的标准特征。</w:t>
      </w:r>
    </w:p>
    <w:p w14:paraId="2188C546">
      <w:pPr>
        <w:rPr>
          <w:rFonts w:hint="default"/>
        </w:rPr>
      </w:pPr>
    </w:p>
    <w:p w14:paraId="58D9C06C">
      <w:pPr>
        <w:rPr>
          <w:rFonts w:hint="default"/>
        </w:rPr>
      </w:pPr>
    </w:p>
    <w:p w14:paraId="6C4DC5D2">
      <w:pPr>
        <w:rPr>
          <w:rFonts w:hint="default"/>
        </w:rPr>
      </w:pPr>
      <w:r>
        <w:rPr>
          <w:rFonts w:hint="default"/>
        </w:rPr>
        <w:t>解释 (Justification)：AI 产业属于高度全球化领域，核心指标（如 GPU 存量、专利数、算力）在国际商业报告和学术公报中已具备较高的统计共性，Sigmoid 映射有效地消除了量纲差异。</w:t>
      </w:r>
    </w:p>
    <w:p w14:paraId="71312BE2">
      <w:pPr>
        <w:rPr>
          <w:rFonts w:hint="default"/>
        </w:rPr>
      </w:pPr>
    </w:p>
    <w:p w14:paraId="6E2307A7">
      <w:pPr>
        <w:rPr>
          <w:rFonts w:hint="default"/>
        </w:rPr>
      </w:pPr>
    </w:p>
    <w:p w14:paraId="206F89F8">
      <w:pPr>
        <w:rPr>
          <w:rFonts w:hint="default"/>
        </w:rPr>
      </w:pPr>
      <w:r>
        <w:rPr>
          <w:rFonts w:hint="default"/>
        </w:rPr>
        <w:t>假设 2：技术演进路径的动量稳定性 (Inertial Stability of Technical Evolution)</w:t>
      </w:r>
    </w:p>
    <w:p w14:paraId="4A0D26ED">
      <w:pPr>
        <w:rPr>
          <w:rFonts w:hint="default"/>
        </w:rPr>
      </w:pPr>
    </w:p>
    <w:p w14:paraId="77805806">
      <w:pPr>
        <w:rPr>
          <w:rFonts w:hint="default"/>
        </w:rPr>
      </w:pPr>
    </w:p>
    <w:p w14:paraId="3EF70523">
      <w:pPr>
        <w:rPr>
          <w:rFonts w:hint="default"/>
        </w:rPr>
      </w:pPr>
      <w:r>
        <w:rPr>
          <w:rFonts w:hint="default"/>
        </w:rPr>
        <w:t>假设 (Assumption)：假设在 2026-2035 年的预测期内，全球 AI 发展逻辑不会发生导致技术文明断裂的突发性极端事件（如全球性核战争或永久性的跨洲际互联网切断）。</w:t>
      </w:r>
    </w:p>
    <w:p w14:paraId="3DE14456">
      <w:pPr>
        <w:rPr>
          <w:rFonts w:hint="default"/>
        </w:rPr>
      </w:pPr>
    </w:p>
    <w:p w14:paraId="59698313">
      <w:pPr>
        <w:rPr>
          <w:rFonts w:hint="default"/>
        </w:rPr>
      </w:pPr>
    </w:p>
    <w:p w14:paraId="7A066693">
      <w:pPr>
        <w:rPr>
          <w:rFonts w:hint="default"/>
        </w:rPr>
      </w:pPr>
      <w:r>
        <w:rPr>
          <w:rFonts w:hint="default"/>
        </w:rPr>
        <w:t>解释 (Justification)：此类“黑天鹅事件”具有极高的随机性且不可量化，一旦发生将使所有基于历史数据动量的统计预测（如 ARIMA）失效，因此超出了战略演变研究的范围。</w:t>
      </w:r>
    </w:p>
    <w:p w14:paraId="6C55460C">
      <w:pPr>
        <w:rPr>
          <w:rFonts w:hint="default"/>
        </w:rPr>
      </w:pPr>
    </w:p>
    <w:p w14:paraId="75BACC8A">
      <w:pPr>
        <w:rPr>
          <w:rFonts w:hint="default"/>
        </w:rPr>
      </w:pPr>
    </w:p>
    <w:p w14:paraId="0D69006A">
      <w:pPr>
        <w:rPr>
          <w:rFonts w:hint="default"/>
        </w:rPr>
      </w:pPr>
      <w:r>
        <w:rPr>
          <w:rFonts w:hint="default"/>
        </w:rPr>
        <w:t>假设 3：ARIMA 模型在小样本环境下的稳健性 (Robustness of ARIMA on Small Samples)</w:t>
      </w:r>
    </w:p>
    <w:p w14:paraId="088E4E37">
      <w:pPr>
        <w:rPr>
          <w:rFonts w:hint="default"/>
        </w:rPr>
      </w:pPr>
    </w:p>
    <w:p w14:paraId="720D121F">
      <w:pPr>
        <w:rPr>
          <w:rFonts w:hint="default"/>
        </w:rPr>
      </w:pPr>
    </w:p>
    <w:p w14:paraId="7704E1E5">
      <w:pPr>
        <w:rPr>
          <w:rFonts w:hint="default"/>
        </w:rPr>
      </w:pPr>
      <w:r>
        <w:rPr>
          <w:rFonts w:hint="default"/>
        </w:rPr>
        <w:t>假设 (Assumption)：假设 2016-2025 年的 10 个历史观测点能够通过差分平稳化捕捉到技术发展的趋势特征，且其残差项符合白噪声分布。</w:t>
      </w:r>
    </w:p>
    <w:p w14:paraId="2A8A5B69">
      <w:pPr>
        <w:rPr>
          <w:rFonts w:hint="default"/>
        </w:rPr>
      </w:pPr>
    </w:p>
    <w:p w14:paraId="42D90493">
      <w:pPr>
        <w:rPr>
          <w:rFonts w:hint="default"/>
        </w:rPr>
      </w:pPr>
    </w:p>
    <w:p w14:paraId="679672C6">
      <w:pPr>
        <w:rPr>
          <w:rFonts w:hint="default"/>
        </w:rPr>
      </w:pPr>
      <w:r>
        <w:rPr>
          <w:rFonts w:hint="default"/>
        </w:rPr>
        <w:t>解释 (Justification)：由于历史样本量较小（$N=10$），复杂的深度学习模型（如 LSTM）在此类任务中极易产生过拟合。ARIMA 作为经典参数模型，在处理具有明确趋势的小样本序列时具有更强的统计解释力[</w:t>
      </w:r>
      <w:r>
        <w:rPr>
          <w:rFonts w:hint="eastAsia"/>
          <w:lang w:val="en-US" w:eastAsia="zh-CN"/>
        </w:rPr>
        <w:t>6</w:t>
      </w:r>
      <w:r>
        <w:rPr>
          <w:rFonts w:hint="default"/>
        </w:rPr>
        <w:t>] 。</w:t>
      </w:r>
    </w:p>
    <w:p w14:paraId="25FC5E95">
      <w:pPr>
        <w:rPr>
          <w:rFonts w:hint="default"/>
        </w:rPr>
      </w:pPr>
    </w:p>
    <w:p w14:paraId="16D2ADB7">
      <w:pPr>
        <w:rPr>
          <w:rFonts w:hint="default"/>
        </w:rPr>
      </w:pPr>
    </w:p>
    <w:p w14:paraId="570F1F46">
      <w:pPr>
        <w:rPr>
          <w:rFonts w:hint="default"/>
        </w:rPr>
      </w:pPr>
      <w:r>
        <w:rPr>
          <w:rFonts w:hint="default"/>
        </w:rPr>
        <w:t>假设 4：资本投入的对数边际效用递减 (Logarithmic Diminishing Utility of Investment)</w:t>
      </w:r>
    </w:p>
    <w:p w14:paraId="51923DE9">
      <w:pPr>
        <w:rPr>
          <w:rFonts w:hint="default"/>
        </w:rPr>
      </w:pPr>
    </w:p>
    <w:p w14:paraId="64B50CF9">
      <w:pPr>
        <w:rPr>
          <w:rFonts w:hint="default"/>
        </w:rPr>
      </w:pPr>
    </w:p>
    <w:p w14:paraId="5657A3F6">
      <w:pPr>
        <w:rPr>
          <w:rFonts w:hint="default"/>
        </w:rPr>
      </w:pPr>
      <w:r>
        <w:rPr>
          <w:rFonts w:hint="default"/>
        </w:rPr>
        <w:t>假设 (Assumption)：假设专项资金对竞争力指标的提升作用遵循 $U = \alpha \ln(1 + x/\beta)$ 的非线性规律。</w:t>
      </w:r>
    </w:p>
    <w:p w14:paraId="6AB72730">
      <w:pPr>
        <w:rPr>
          <w:rFonts w:hint="default"/>
        </w:rPr>
      </w:pPr>
    </w:p>
    <w:p w14:paraId="79B813D2">
      <w:pPr>
        <w:rPr>
          <w:rFonts w:hint="default"/>
        </w:rPr>
      </w:pPr>
    </w:p>
    <w:p w14:paraId="47BA5C1B">
      <w:pPr>
        <w:rPr>
          <w:rFonts w:hint="default"/>
        </w:rPr>
      </w:pPr>
      <w:r>
        <w:rPr>
          <w:rFonts w:hint="default"/>
        </w:rPr>
        <w:t>解释 (Justification)：现实世界中资源投入存在物理饱和点。顶尖人才储备受人口基数限制，硬件扩张受能源与全球芯片产能约束，资源过载会导致冗余和管理效率下降，因此单位资金的增益会随投入增加而减少[</w:t>
      </w:r>
      <w:r>
        <w:rPr>
          <w:rFonts w:hint="eastAsia"/>
          <w:lang w:val="en-US" w:eastAsia="zh-CN"/>
        </w:rPr>
        <w:t>7</w:t>
      </w:r>
      <w:r>
        <w:rPr>
          <w:rFonts w:hint="default"/>
        </w:rPr>
        <w:t>] 。</w:t>
      </w:r>
    </w:p>
    <w:p w14:paraId="0650B662">
      <w:pPr>
        <w:rPr>
          <w:rFonts w:hint="default"/>
        </w:rPr>
      </w:pPr>
    </w:p>
    <w:p w14:paraId="22DF38FE">
      <w:pPr>
        <w:rPr>
          <w:rFonts w:hint="default"/>
        </w:rPr>
      </w:pPr>
    </w:p>
    <w:p w14:paraId="7A51DF10">
      <w:pPr>
        <w:rPr>
          <w:rFonts w:hint="default"/>
        </w:rPr>
      </w:pPr>
      <w:r>
        <w:rPr>
          <w:rFonts w:hint="default"/>
        </w:rPr>
        <w:t>假设 5：政策导向对评价指标的先导调节作用 (Leading Regulatory Role of Policy)</w:t>
      </w:r>
    </w:p>
    <w:p w14:paraId="36080C55">
      <w:pPr>
        <w:rPr>
          <w:rFonts w:hint="default"/>
        </w:rPr>
      </w:pPr>
    </w:p>
    <w:p w14:paraId="28EDF250">
      <w:pPr>
        <w:rPr>
          <w:rFonts w:hint="default"/>
        </w:rPr>
      </w:pPr>
    </w:p>
    <w:p w14:paraId="42A1B9E7">
      <w:pPr>
        <w:rPr>
          <w:rFonts w:hint="default"/>
        </w:rPr>
      </w:pPr>
      <w:r>
        <w:rPr>
          <w:rFonts w:hint="default"/>
        </w:rPr>
        <w:t>假设 (Assumption)：假设国家层面的战略规划和数据开放政策对科研、基建等硬性指标的影响具有一定的时滞效应，并在评估模型中作为权重较高的先行变量。</w:t>
      </w:r>
    </w:p>
    <w:p w14:paraId="5FE23EFA">
      <w:pPr>
        <w:rPr>
          <w:rFonts w:hint="default"/>
        </w:rPr>
      </w:pPr>
    </w:p>
    <w:p w14:paraId="1346ED19">
      <w:pPr>
        <w:rPr>
          <w:rFonts w:hint="default"/>
        </w:rPr>
      </w:pPr>
    </w:p>
    <w:p w14:paraId="487B36C2">
      <w:pPr>
        <w:rPr>
          <w:rFonts w:hint="default"/>
        </w:rPr>
      </w:pPr>
      <w:r>
        <w:rPr>
          <w:rFonts w:hint="default"/>
        </w:rPr>
        <w:t>解释 (Justification)：从政策颁布到转化为显性竞争力需要建设周期。在综合评价模型中，政策得分不仅反映现状，更预示了未来发展的环境支撑力度。</w:t>
      </w:r>
    </w:p>
    <w:p w14:paraId="3D7C8D08">
      <w:pPr>
        <w:rPr>
          <w:rFonts w:hint="default"/>
        </w:rPr>
      </w:pPr>
    </w:p>
    <w:p w14:paraId="373C2266">
      <w:pPr>
        <w:rPr>
          <w:rFonts w:hint="default"/>
        </w:rPr>
      </w:pPr>
      <w:r>
        <w:rPr>
          <w:rFonts w:hint="default"/>
        </w:rPr>
        <w:t>2.2 符号说明 (Notations)</w:t>
      </w:r>
    </w:p>
    <w:p w14:paraId="518566D6">
      <w:pPr>
        <w:rPr>
          <w:rFonts w:hint="default"/>
        </w:rPr>
      </w:pPr>
      <w:r>
        <w:rPr>
          <w:rFonts w:hint="default"/>
        </w:rPr>
        <w:t>本文模型涉及的主要数学符号及其含义如下表所示：</w:t>
      </w:r>
    </w:p>
    <w:tbl>
      <w:tblPr>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2260"/>
        <w:gridCol w:w="4223"/>
        <w:gridCol w:w="2163"/>
      </w:tblGrid>
      <w:tr w14:paraId="63FB5E5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47EBD718">
            <w:pPr>
              <w:rPr>
                <w:rFonts w:hint="default"/>
              </w:rPr>
            </w:pPr>
            <w:r>
              <w:rPr>
                <w:rFonts w:hint="default"/>
                <w:lang w:val="en-US" w:eastAsia="zh-CN"/>
              </w:rPr>
              <w:t>符号 (Symbols)</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14A42AFF">
            <w:pPr>
              <w:rPr>
                <w:rFonts w:hint="default"/>
              </w:rPr>
            </w:pPr>
            <w:r>
              <w:rPr>
                <w:rFonts w:hint="default"/>
                <w:lang w:val="en-US" w:eastAsia="zh-CN"/>
              </w:rPr>
              <w:t>含义 (Meanings)</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53EAC87F">
            <w:pPr>
              <w:rPr>
                <w:rFonts w:hint="default"/>
              </w:rPr>
            </w:pPr>
            <w:r>
              <w:rPr>
                <w:rFonts w:hint="default"/>
                <w:lang w:val="en-US" w:eastAsia="zh-CN"/>
              </w:rPr>
              <w:t>备注 (Remarks)</w:t>
            </w:r>
          </w:p>
        </w:tc>
      </w:tr>
      <w:tr w14:paraId="3AB0C9C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64242D01">
            <w:pPr>
              <w:rPr>
                <w:rFonts w:hint="default"/>
              </w:rPr>
            </w:pPr>
            <w:r>
              <w:rPr>
                <w:rFonts w:hint="default"/>
                <w:lang w:val="en-US" w:eastAsia="zh-CN"/>
              </w:rPr>
              <w:t>$X_{ij}$</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78BA320A">
            <w:pPr>
              <w:rPr>
                <w:rFonts w:hint="default"/>
              </w:rPr>
            </w:pPr>
            <w:r>
              <w:rPr>
                <w:rFonts w:hint="default"/>
                <w:lang w:val="en-US" w:eastAsia="zh-CN"/>
              </w:rPr>
              <w:t>第 $i$ 个国家第 $j$ 项指标的原始观测值</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12736E9F">
            <w:pPr>
              <w:rPr>
                <w:rFonts w:hint="default"/>
              </w:rPr>
            </w:pPr>
            <w:r>
              <w:rPr>
                <w:rFonts w:hint="default"/>
                <w:lang w:val="en-US" w:eastAsia="zh-CN"/>
              </w:rPr>
              <w:t>原始数据矩阵</w:t>
            </w:r>
          </w:p>
        </w:tc>
      </w:tr>
      <w:tr w14:paraId="753625F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65C6FB59">
            <w:pPr>
              <w:rPr>
                <w:rFonts w:hint="default"/>
              </w:rPr>
            </w:pPr>
            <w:r>
              <w:rPr>
                <w:rFonts w:hint="default"/>
                <w:lang w:val="en-US" w:eastAsia="zh-CN"/>
              </w:rPr>
              <w:t>$Z_{ij}$</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167EA51C">
            <w:pPr>
              <w:rPr>
                <w:rFonts w:hint="default"/>
              </w:rPr>
            </w:pPr>
            <w:r>
              <w:rPr>
                <w:rFonts w:hint="default"/>
                <w:lang w:val="en-US" w:eastAsia="zh-CN"/>
              </w:rPr>
              <w:t>经过 Sigmoid 归一化后的特征值</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3DA2F3B5">
            <w:pPr>
              <w:rPr>
                <w:rFonts w:hint="default"/>
              </w:rPr>
            </w:pPr>
            <w:r>
              <w:rPr>
                <w:rFonts w:hint="default"/>
                <w:lang w:val="en-US" w:eastAsia="zh-CN"/>
              </w:rPr>
              <w:t>映射区间为 $[0, 1]$</w:t>
            </w:r>
          </w:p>
        </w:tc>
      </w:tr>
      <w:tr w14:paraId="074AAE4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07116DEC">
            <w:pPr>
              <w:rPr>
                <w:rFonts w:hint="default"/>
              </w:rPr>
            </w:pPr>
            <w:r>
              <w:rPr>
                <w:rFonts w:hint="default"/>
                <w:lang w:val="en-US" w:eastAsia="zh-CN"/>
              </w:rPr>
              <w:t>$w_j$</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7CE69E27">
            <w:pPr>
              <w:rPr>
                <w:rFonts w:hint="default"/>
              </w:rPr>
            </w:pPr>
            <w:r>
              <w:rPr>
                <w:rFonts w:hint="default"/>
                <w:lang w:val="en-US" w:eastAsia="zh-CN"/>
              </w:rPr>
              <w:t>基于信息熵 (EWM) 确定的客观权重</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4DD25553">
            <w:pPr>
              <w:rPr>
                <w:rFonts w:hint="default"/>
              </w:rPr>
            </w:pPr>
            <w:r>
              <w:rPr>
                <w:rFonts w:hint="default"/>
                <w:lang w:val="en-US" w:eastAsia="zh-CN"/>
              </w:rPr>
              <w:t>衡量指标信息量</w:t>
            </w:r>
          </w:p>
        </w:tc>
      </w:tr>
      <w:tr w14:paraId="1EFB3AF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6EFE7622">
            <w:pPr>
              <w:rPr>
                <w:rFonts w:hint="default"/>
              </w:rPr>
            </w:pPr>
            <w:r>
              <w:rPr>
                <w:rFonts w:hint="default"/>
                <w:lang w:val="en-US" w:eastAsia="zh-CN"/>
              </w:rPr>
              <w:t>$S_{stem}$</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0DEA7AE9">
            <w:pPr>
              <w:rPr>
                <w:rFonts w:hint="default"/>
              </w:rPr>
            </w:pPr>
            <w:r>
              <w:rPr>
                <w:rFonts w:hint="default"/>
                <w:lang w:val="en-US" w:eastAsia="zh-CN"/>
              </w:rPr>
              <w:t>STEM 毕业生总量指标 (Scale)</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27EA15B8">
            <w:pPr>
              <w:rPr>
                <w:rFonts w:hint="default"/>
              </w:rPr>
            </w:pPr>
            <w:r>
              <w:rPr>
                <w:rFonts w:hint="default"/>
                <w:lang w:val="en-US" w:eastAsia="zh-CN"/>
              </w:rPr>
              <w:t>指标解构 - 规模项</w:t>
            </w:r>
          </w:p>
        </w:tc>
      </w:tr>
      <w:tr w14:paraId="21F0722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19ABE5F7">
            <w:pPr>
              <w:rPr>
                <w:rFonts w:hint="default"/>
              </w:rPr>
            </w:pPr>
            <w:r>
              <w:rPr>
                <w:rFonts w:hint="default"/>
                <w:lang w:val="en-US" w:eastAsia="zh-CN"/>
              </w:rPr>
              <w:t>$I_{stem}$</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6D6713F9">
            <w:pPr>
              <w:rPr>
                <w:rFonts w:hint="default"/>
              </w:rPr>
            </w:pPr>
            <w:r>
              <w:rPr>
                <w:rFonts w:hint="default"/>
                <w:lang w:val="en-US" w:eastAsia="zh-CN"/>
              </w:rPr>
              <w:t>STEM 毕业生强度指标 (Intensity)</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1803A60F">
            <w:pPr>
              <w:rPr>
                <w:rFonts w:hint="default"/>
              </w:rPr>
            </w:pPr>
            <w:r>
              <w:rPr>
                <w:rFonts w:hint="default"/>
                <w:lang w:val="en-US" w:eastAsia="zh-CN"/>
              </w:rPr>
              <w:t>指标解构 - 质量项</w:t>
            </w:r>
          </w:p>
        </w:tc>
      </w:tr>
      <w:tr w14:paraId="577FCF1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43682872">
            <w:pPr>
              <w:rPr>
                <w:rFonts w:hint="default"/>
              </w:rPr>
            </w:pPr>
            <w:r>
              <w:rPr>
                <w:rFonts w:hint="default"/>
                <w:lang w:val="en-US" w:eastAsia="zh-CN"/>
              </w:rPr>
              <w:t>$S_{total}$</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3C4F56A4">
            <w:pPr>
              <w:rPr>
                <w:rFonts w:hint="default"/>
              </w:rPr>
            </w:pPr>
            <w:r>
              <w:rPr>
                <w:rFonts w:hint="default"/>
                <w:lang w:val="en-US" w:eastAsia="zh-CN"/>
              </w:rPr>
              <w:t>综合竞争力评估总得分 (Score)</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6D4CC3FC">
            <w:pPr>
              <w:rPr>
                <w:rFonts w:hint="default"/>
              </w:rPr>
            </w:pPr>
            <w:r>
              <w:rPr>
                <w:rFonts w:hint="default"/>
                <w:lang w:val="en-US" w:eastAsia="zh-CN"/>
              </w:rPr>
              <w:t>最终排名依据</w:t>
            </w:r>
          </w:p>
        </w:tc>
      </w:tr>
      <w:tr w14:paraId="264C81E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0EBF9CA7">
            <w:pPr>
              <w:rPr>
                <w:rFonts w:hint="default"/>
              </w:rPr>
            </w:pPr>
            <w:r>
              <w:rPr>
                <w:rFonts w:hint="default"/>
                <w:lang w:val="en-US" w:eastAsia="zh-CN"/>
              </w:rPr>
              <w:t>$\alpha$</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6D9DCF5E">
            <w:pPr>
              <w:rPr>
                <w:rFonts w:hint="default"/>
              </w:rPr>
            </w:pPr>
            <w:r>
              <w:rPr>
                <w:rFonts w:hint="default"/>
                <w:lang w:val="en-US" w:eastAsia="zh-CN"/>
              </w:rPr>
              <w:t>Sigmoid 函数的对中与增益调节系数</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32F6BE96">
            <w:pPr>
              <w:rPr>
                <w:rFonts w:hint="default"/>
              </w:rPr>
            </w:pPr>
            <w:r>
              <w:rPr>
                <w:rFonts w:hint="default"/>
                <w:lang w:val="en-US" w:eastAsia="zh-CN"/>
              </w:rPr>
              <w:t>归一化参数</w:t>
            </w:r>
          </w:p>
        </w:tc>
      </w:tr>
      <w:tr w14:paraId="602905A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726941FE">
            <w:pPr>
              <w:rPr>
                <w:rFonts w:hint="default"/>
              </w:rPr>
            </w:pPr>
            <w:r>
              <w:rPr>
                <w:rFonts w:hint="default"/>
                <w:lang w:val="en-US" w:eastAsia="zh-CN"/>
              </w:rPr>
              <w:t>$ARIMA(p,d,q)$</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3420EEF2">
            <w:pPr>
              <w:rPr>
                <w:rFonts w:hint="default"/>
              </w:rPr>
            </w:pPr>
            <w:r>
              <w:rPr>
                <w:rFonts w:hint="default"/>
                <w:lang w:val="en-US" w:eastAsia="zh-CN"/>
              </w:rPr>
              <w:t>自回归差分移动平均模型参数</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3E496AE7">
            <w:pPr>
              <w:rPr>
                <w:rFonts w:hint="default"/>
              </w:rPr>
            </w:pPr>
            <w:r>
              <w:rPr>
                <w:rFonts w:hint="default"/>
                <w:lang w:val="en-US" w:eastAsia="zh-CN"/>
              </w:rPr>
              <w:t>预测模型阶数</w:t>
            </w:r>
          </w:p>
        </w:tc>
      </w:tr>
      <w:tr w14:paraId="6FABCD9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1C9AE0AF">
            <w:pPr>
              <w:rPr>
                <w:rFonts w:hint="default"/>
              </w:rPr>
            </w:pPr>
            <w:r>
              <w:rPr>
                <w:rFonts w:hint="default"/>
                <w:lang w:val="en-US" w:eastAsia="zh-CN"/>
              </w:rPr>
              <w:t>$Invest_i$</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0B202A42">
            <w:pPr>
              <w:rPr>
                <w:rFonts w:hint="default"/>
              </w:rPr>
            </w:pPr>
            <w:r>
              <w:rPr>
                <w:rFonts w:hint="default"/>
                <w:lang w:val="en-US" w:eastAsia="zh-CN"/>
              </w:rPr>
              <w:t>分配给第 $i$ 个维度的专项资金数额</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28CC4C6E">
            <w:pPr>
              <w:rPr>
                <w:rFonts w:hint="default"/>
              </w:rPr>
            </w:pPr>
            <w:r>
              <w:rPr>
                <w:rFonts w:hint="default"/>
                <w:lang w:val="en-US" w:eastAsia="zh-CN"/>
              </w:rPr>
              <w:t>决策变量</w:t>
            </w:r>
          </w:p>
        </w:tc>
      </w:tr>
      <w:tr w14:paraId="1A4973A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0B84CD1E">
            <w:pPr>
              <w:rPr>
                <w:rFonts w:hint="default"/>
              </w:rPr>
            </w:pPr>
            <w:r>
              <w:rPr>
                <w:rFonts w:hint="default"/>
                <w:lang w:val="en-US" w:eastAsia="zh-CN"/>
              </w:rPr>
              <w:t>$f_{Attention}(\cdot)$</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3CA38360">
            <w:pPr>
              <w:rPr>
                <w:rFonts w:hint="default"/>
              </w:rPr>
            </w:pPr>
            <w:r>
              <w:rPr>
                <w:rFonts w:hint="default"/>
                <w:lang w:val="en-US" w:eastAsia="zh-CN"/>
              </w:rPr>
              <w:t>自注意力机制特征提取函数</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32933912">
            <w:pPr>
              <w:rPr>
                <w:rFonts w:hint="default"/>
              </w:rPr>
            </w:pPr>
            <w:r>
              <w:rPr>
                <w:rFonts w:hint="default"/>
                <w:lang w:val="en-US" w:eastAsia="zh-CN"/>
              </w:rPr>
              <w:t>评价模型核心</w:t>
            </w:r>
          </w:p>
        </w:tc>
      </w:tr>
    </w:tbl>
    <w:p w14:paraId="655573BA">
      <w:pPr>
        <w:rPr>
          <w:rFonts w:hint="default"/>
        </w:rPr>
      </w:pPr>
    </w:p>
    <w:p w14:paraId="3234BE1B">
      <w:pPr>
        <w:rPr>
          <w:rFonts w:hint="default"/>
        </w:rPr>
      </w:pPr>
      <w:r>
        <w:rPr>
          <w:rFonts w:hint="default"/>
        </w:rPr>
        <w:t>3. 问题一：AI 发展能力因素的识别、量化与交互分析</w:t>
      </w:r>
    </w:p>
    <w:p w14:paraId="67E54821">
      <w:pPr>
        <w:rPr>
          <w:rFonts w:hint="default"/>
        </w:rPr>
      </w:pPr>
      <w:r>
        <w:rPr>
          <w:rFonts w:hint="default"/>
        </w:rPr>
        <w:t>3.1 评价因素的识别与维度的科学降维</w:t>
      </w:r>
    </w:p>
    <w:p w14:paraId="1391021A">
      <w:pPr>
        <w:rPr>
          <w:rFonts w:hint="default"/>
        </w:rPr>
      </w:pPr>
      <w:r>
        <w:rPr>
          <w:rFonts w:hint="default"/>
        </w:rPr>
        <w:t>为了深入探究 AI 竞争力系统的内在逻辑，本文首先识别了 19 项原始底层指标，并根据其属性特征，将其科学地简化映射为五个核心评估维度[1] [</w:t>
      </w:r>
      <w:r>
        <w:rPr>
          <w:rFonts w:hint="eastAsia"/>
          <w:lang w:val="en-US" w:eastAsia="zh-CN"/>
        </w:rPr>
        <w:t>2</w:t>
      </w:r>
      <w:r>
        <w:rPr>
          <w:rFonts w:hint="default"/>
        </w:rPr>
        <w:t>] 。</w:t>
      </w:r>
    </w:p>
    <w:p w14:paraId="08550BE8">
      <w:pPr>
        <w:rPr>
          <w:rFonts w:hint="default"/>
        </w:rPr>
      </w:pPr>
      <w:r>
        <w:rPr>
          <w:rFonts w:hint="default"/>
        </w:rPr>
        <w:t>3.1.1 19 项指标至 5 大维度的映射</w:t>
      </w:r>
    </w:p>
    <w:p w14:paraId="4D5D0FFC">
      <w:pPr>
        <w:rPr>
          <w:rFonts w:hint="default"/>
        </w:rPr>
      </w:pPr>
    </w:p>
    <w:p w14:paraId="69739C14">
      <w:pPr>
        <w:rPr>
          <w:rFonts w:hint="default"/>
        </w:rPr>
      </w:pPr>
      <w:r>
        <w:rPr>
          <w:rFonts w:hint="default"/>
        </w:rPr>
        <w:t>人才储备 (Talent)：包含顶级学者占比、从业总数、STEM 总量、STEM 强度、人才净流向、技能渗透率。</w:t>
      </w:r>
    </w:p>
    <w:p w14:paraId="6DE46B2B">
      <w:pPr>
        <w:rPr>
          <w:rFonts w:hint="default"/>
        </w:rPr>
      </w:pPr>
    </w:p>
    <w:p w14:paraId="72D7856E">
      <w:pPr>
        <w:rPr>
          <w:rFonts w:hint="default"/>
        </w:rPr>
      </w:pPr>
    </w:p>
    <w:p w14:paraId="71289317">
      <w:pPr>
        <w:rPr>
          <w:rFonts w:hint="default"/>
        </w:rPr>
      </w:pPr>
      <w:r>
        <w:rPr>
          <w:rFonts w:hint="default"/>
        </w:rPr>
        <w:t>科研创新 (Research)：包含论文发表数、FWCI 引用影响、专利授权量。</w:t>
      </w:r>
    </w:p>
    <w:p w14:paraId="71EE542E">
      <w:pPr>
        <w:rPr>
          <w:rFonts w:hint="default"/>
        </w:rPr>
      </w:pPr>
    </w:p>
    <w:p w14:paraId="6A214663">
      <w:pPr>
        <w:rPr>
          <w:rFonts w:hint="default"/>
        </w:rPr>
      </w:pPr>
    </w:p>
    <w:p w14:paraId="6F54A5AE">
      <w:pPr>
        <w:rPr>
          <w:rFonts w:hint="default"/>
        </w:rPr>
      </w:pPr>
      <w:r>
        <w:rPr>
          <w:rFonts w:hint="default"/>
        </w:rPr>
        <w:t>基础设施 (Infrastructure)：包含算力规模、电力容量、GPU 存量、5G 覆盖率。</w:t>
      </w:r>
    </w:p>
    <w:p w14:paraId="55C85CA0">
      <w:pPr>
        <w:rPr>
          <w:rFonts w:hint="default"/>
        </w:rPr>
      </w:pPr>
    </w:p>
    <w:p w14:paraId="2473501D">
      <w:pPr>
        <w:rPr>
          <w:rFonts w:hint="default"/>
        </w:rPr>
      </w:pPr>
    </w:p>
    <w:p w14:paraId="71D7B39A">
      <w:pPr>
        <w:rPr>
          <w:rFonts w:hint="default"/>
        </w:rPr>
      </w:pPr>
      <w:r>
        <w:rPr>
          <w:rFonts w:hint="default"/>
        </w:rPr>
        <w:t>经济投资 (Economy)：包含私营投资额、独角兽数量、GDP 贡献率、企业采用率。</w:t>
      </w:r>
    </w:p>
    <w:p w14:paraId="790E1767">
      <w:pPr>
        <w:rPr>
          <w:rFonts w:hint="default"/>
        </w:rPr>
      </w:pPr>
    </w:p>
    <w:p w14:paraId="004CDCA1">
      <w:pPr>
        <w:rPr>
          <w:rFonts w:hint="default"/>
        </w:rPr>
      </w:pPr>
    </w:p>
    <w:p w14:paraId="7DBB3385">
      <w:pPr>
        <w:rPr>
          <w:rFonts w:hint="default"/>
        </w:rPr>
      </w:pPr>
      <w:r>
        <w:rPr>
          <w:rFonts w:hint="default"/>
        </w:rPr>
        <w:t>政策环境 (Policy)：包含政策完备度、数据开放度。</w:t>
      </w:r>
    </w:p>
    <w:p w14:paraId="681A9FDC">
      <w:pPr>
        <w:rPr>
          <w:rFonts w:hint="default"/>
        </w:rPr>
      </w:pPr>
    </w:p>
    <w:p w14:paraId="55BD36AB">
      <w:pPr>
        <w:rPr>
          <w:rFonts w:hint="default"/>
        </w:rPr>
      </w:pPr>
      <w:r>
        <w:rPr>
          <w:rFonts w:hint="default"/>
        </w:rPr>
        <w:t>3.1.2 人才维度的二元解构逻辑</w:t>
      </w:r>
    </w:p>
    <w:p w14:paraId="4BC83056">
      <w:pPr>
        <w:rPr>
          <w:rFonts w:hint="default"/>
        </w:rPr>
      </w:pPr>
      <w:r>
        <w:rPr>
          <w:rFonts w:hint="default"/>
        </w:rPr>
        <w:t>在人才维度内部，本文通过 $S_{stem}$ (总量, 25%) 与 $I_{stem}$ (强度, 75%) 的加权分配，解决了大国规模偏差问题，确保了模型对“人均集约化”程度较高的经济体（如阿联酋）评估的公正性。</w:t>
      </w:r>
    </w:p>
    <w:p w14:paraId="7C5A4D3F">
      <w:pPr>
        <w:rPr>
          <w:rFonts w:hint="default"/>
        </w:rPr>
      </w:pPr>
      <w:r>
        <w:rPr>
          <w:rFonts w:hint="default"/>
        </w:rPr>
        <w:t>3.2 因素的量化处理与评分生成</w:t>
      </w:r>
    </w:p>
    <w:p w14:paraId="24B86187">
      <w:pPr>
        <w:rPr>
          <w:rFonts w:hint="default"/>
        </w:rPr>
      </w:pPr>
      <w:r>
        <w:rPr>
          <w:rFonts w:hint="default"/>
        </w:rPr>
        <w:t>3.2.1 基于 Sigmoid 映射的指标量化</w:t>
      </w:r>
    </w:p>
    <w:p w14:paraId="5481E9C4">
      <w:pPr>
        <w:rPr>
          <w:rFonts w:hint="default"/>
        </w:rPr>
      </w:pPr>
      <w:r>
        <w:rPr>
          <w:rFonts w:hint="default"/>
        </w:rPr>
        <w:t>为处理 AI 指标中普遍存在的长尾分布，本文引入 Sigmoid 函数进行特征缩放，增益系数 $\alpha$ 设定为 2.0，从而增强了模型对中游国家细微变化的识别能力。</w:t>
      </w:r>
    </w:p>
    <w:p w14:paraId="65D494D9">
      <w:pPr>
        <w:rPr>
          <w:rFonts w:hint="default"/>
        </w:rPr>
      </w:pPr>
      <w:r>
        <w:rPr>
          <w:rFonts w:hint="default"/>
        </w:rPr>
        <w:t>3.2.2 维度得分的聚合</w:t>
      </w:r>
    </w:p>
    <w:p w14:paraId="090AA783">
      <w:pPr>
        <w:rPr>
          <w:rFonts w:hint="default"/>
        </w:rPr>
      </w:pPr>
      <w:r>
        <w:rPr>
          <w:rFonts w:hint="default"/>
        </w:rPr>
        <w:t>利用熵权法（EWM）确定各细分指标的客观权重。[</w:t>
      </w:r>
      <w:r>
        <w:rPr>
          <w:rFonts w:hint="eastAsia"/>
          <w:lang w:val="en-US" w:eastAsia="zh-CN"/>
        </w:rPr>
        <w:t>3</w:t>
      </w:r>
      <w:r>
        <w:rPr>
          <w:rFonts w:hint="default"/>
        </w:rPr>
        <w:t>] 通过对各维度内部指标的加权求和，生成 5 个维度的综合得分。根据计算，基础设施 (21.4%) 和 经济投资 (23.3%) 在权重中占据主导，构成了竞争的核心硬边界。</w:t>
      </w:r>
    </w:p>
    <w:p w14:paraId="1B0D9737">
      <w:pPr>
        <w:rPr>
          <w:rFonts w:hint="default"/>
        </w:rPr>
      </w:pPr>
      <w:r>
        <w:rPr>
          <w:rFonts w:hint="default"/>
        </w:rPr>
        <w:t>3.3 维度间内在关联性分析</w:t>
      </w:r>
    </w:p>
    <w:p w14:paraId="273E15F1">
      <w:pPr>
        <w:rPr>
          <w:rFonts w:hint="eastAsia" w:eastAsiaTheme="minorEastAsia"/>
          <w:lang w:eastAsia="zh-CN"/>
        </w:rPr>
      </w:pPr>
      <w:r>
        <w:rPr>
          <w:rFonts w:hint="default"/>
        </w:rPr>
        <w:t>基于五个维度得分的计算结果，本文构建了 5×5 相关性矩阵，揭示了系统内部深层的驱动逻辑。</w:t>
      </w:r>
    </w:p>
    <w:p w14:paraId="0A88D65A">
      <w:pPr>
        <w:rPr>
          <w:rFonts w:hint="eastAsia" w:eastAsiaTheme="minorEastAsia"/>
          <w:lang w:eastAsia="zh-CN"/>
        </w:rPr>
      </w:pPr>
    </w:p>
    <w:p w14:paraId="0F3EDA3C">
      <w:pPr>
        <w:rPr>
          <w:rFonts w:hint="eastAsia" w:eastAsiaTheme="minorEastAsia"/>
          <w:lang w:eastAsia="zh-CN"/>
        </w:rPr>
      </w:pPr>
      <w:r>
        <w:rPr>
          <w:rFonts w:hint="default"/>
          <w:lang w:eastAsia="zh-CN"/>
        </w:rPr>
        <w:drawing>
          <wp:inline distT="0" distB="0" distL="114300" distR="114300">
            <wp:extent cx="5269230" cy="4551045"/>
            <wp:effectExtent l="0" t="0" r="3810" b="5715"/>
            <wp:docPr id="1" name="图片 1" descr="correlation_sigmo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orrelation_sigmoid"/>
                    <pic:cNvPicPr>
                      <a:picLocks noChangeAspect="1"/>
                    </pic:cNvPicPr>
                  </pic:nvPicPr>
                  <pic:blipFill>
                    <a:blip r:embed="rId4"/>
                    <a:stretch>
                      <a:fillRect/>
                    </a:stretch>
                  </pic:blipFill>
                  <pic:spPr>
                    <a:xfrm>
                      <a:off x="0" y="0"/>
                      <a:ext cx="5269230" cy="4551045"/>
                    </a:xfrm>
                    <a:prstGeom prst="rect">
                      <a:avLst/>
                    </a:prstGeom>
                  </pic:spPr>
                </pic:pic>
              </a:graphicData>
            </a:graphic>
          </wp:inline>
        </w:drawing>
      </w:r>
    </w:p>
    <w:p w14:paraId="582ACEB3">
      <w:pPr>
        <w:rPr>
          <w:rFonts w:hint="default"/>
        </w:rPr>
      </w:pPr>
      <w:r>
        <w:rPr>
          <w:rFonts w:hint="default"/>
        </w:rPr>
        <w:t>“经济-基建”的高强度耦合 ($r=0.850$)：矩阵显示经济维度与基建维度之间存在最高的相关性。这定量地证实了资本投入是硬件基座建设的先决条件，两者表现出显著的同步演化特征。</w:t>
      </w:r>
    </w:p>
    <w:p w14:paraId="770D8CB9">
      <w:pPr>
        <w:rPr>
          <w:rFonts w:hint="default"/>
        </w:rPr>
      </w:pPr>
    </w:p>
    <w:p w14:paraId="6EC9830A">
      <w:pPr>
        <w:rPr>
          <w:rFonts w:hint="default"/>
        </w:rPr>
      </w:pPr>
    </w:p>
    <w:p w14:paraId="27B21D44">
      <w:pPr>
        <w:rPr>
          <w:rFonts w:hint="default"/>
        </w:rPr>
      </w:pPr>
      <w:r>
        <w:rPr>
          <w:rFonts w:hint="default"/>
        </w:rPr>
        <w:t>“基建-科研”与“经济-科研”的稳健关联 ($r=0.649$ 及 $0.641$)：这表明算力储备与资本支撑对科研产出的贡献具有一致性，硬实力的提升直接推高了专利与高质量论文的产出上限。</w:t>
      </w:r>
    </w:p>
    <w:p w14:paraId="62862958">
      <w:pPr>
        <w:rPr>
          <w:rFonts w:hint="default"/>
        </w:rPr>
      </w:pPr>
    </w:p>
    <w:p w14:paraId="7E0A98D3">
      <w:pPr>
        <w:rPr>
          <w:rFonts w:hint="default"/>
        </w:rPr>
      </w:pPr>
    </w:p>
    <w:p w14:paraId="01ECF42C">
      <w:pPr>
        <w:rPr>
          <w:rFonts w:hint="default"/>
        </w:rPr>
      </w:pPr>
      <w:r>
        <w:rPr>
          <w:rFonts w:hint="default"/>
        </w:rPr>
        <w:t>政策维度的均衡调节作用：政策环境与人才（0.544）、科研（0.628）、基建（0.634）均保持中强度的稳定相关。这反映出政策并非通过单一指标发力，而是作为全局调节因子，通过优化数据环境与制度支撑来提升系统的整体效能。</w:t>
      </w:r>
    </w:p>
    <w:p w14:paraId="170C59ED">
      <w:pPr>
        <w:rPr>
          <w:rFonts w:hint="default"/>
        </w:rPr>
      </w:pPr>
    </w:p>
    <w:p w14:paraId="53886616">
      <w:pPr>
        <w:rPr>
          <w:rFonts w:hint="default"/>
        </w:rPr>
      </w:pPr>
    </w:p>
    <w:p w14:paraId="0B4E73C1">
      <w:pPr>
        <w:rPr>
          <w:rFonts w:hint="default"/>
        </w:rPr>
      </w:pPr>
      <w:r>
        <w:rPr>
          <w:rFonts w:hint="default"/>
        </w:rPr>
        <w:t>人才储备的结构性支撑：人才维度与科研的相关性（0.518）明显高于其与基建的相关性（0.262），验证了“智力资源驱动创新，物理底座驱动产能”的差异化分工逻辑。</w:t>
      </w:r>
    </w:p>
    <w:p w14:paraId="29FC3241">
      <w:pPr>
        <w:rPr>
          <w:rFonts w:hint="default"/>
        </w:rPr>
      </w:pPr>
    </w:p>
    <w:p w14:paraId="70AC666C">
      <w:pPr>
        <w:rPr>
          <w:rFonts w:hint="default"/>
        </w:rPr>
      </w:pPr>
      <w:r>
        <w:rPr>
          <w:rFonts w:hint="default"/>
        </w:rPr>
        <w:t>3.4 交互机制分析：促进与制约的动力学分析</w:t>
      </w:r>
    </w:p>
    <w:p w14:paraId="6EE30E55">
      <w:pPr>
        <w:rPr>
          <w:rFonts w:hint="default"/>
        </w:rPr>
      </w:pPr>
    </w:p>
    <w:p w14:paraId="19B147E8">
      <w:pPr>
        <w:rPr>
          <w:rFonts w:hint="default"/>
        </w:rPr>
      </w:pPr>
      <w:r>
        <w:rPr>
          <w:rFonts w:hint="default"/>
        </w:rPr>
        <w:t>正向协同机制：“经济 $\to$ 基建 $\to$ 科研”。高强度的私营投资（$r=0.850$）迅速转化为大规模算力存量，为顶级科研人才提供了必要的实验环境，从而实现了科研产出的飞跃。</w:t>
      </w:r>
    </w:p>
    <w:p w14:paraId="5150E600">
      <w:pPr>
        <w:rPr>
          <w:rFonts w:hint="default"/>
        </w:rPr>
      </w:pPr>
    </w:p>
    <w:p w14:paraId="68BE5220">
      <w:pPr>
        <w:rPr>
          <w:rFonts w:hint="default"/>
        </w:rPr>
      </w:pPr>
    </w:p>
    <w:p w14:paraId="6CF05551">
      <w:pPr>
        <w:rPr>
          <w:rFonts w:hint="default"/>
        </w:rPr>
      </w:pPr>
      <w:r>
        <w:rPr>
          <w:rFonts w:hint="default"/>
        </w:rPr>
        <w:t>短板制约机制：</w:t>
      </w:r>
      <w:r>
        <w:rPr>
          <w:rFonts w:hint="default"/>
          <w:lang w:val="en-US" w:eastAsia="zh-CN"/>
        </w:rPr>
        <w:t>”能源 $\to$ 基建”。 虽然经济与基建强相关，但在系统内部，电力供应作为基础设施维度的底层指标，通过物理限值约束了算力的无限扩张。相关性分析显示算力与电力配套具有极高的耦合度。以样本数据为例，部分国家虽然在 GPU 存量上排名靠前，但由于电力基础设施得分较低，导致其基础设施维度的综合得分受到显著下拉，形成了明显的‘算力天花板’效应。”</w:t>
      </w:r>
    </w:p>
    <w:p w14:paraId="377FE80D">
      <w:pPr>
        <w:rPr>
          <w:rFonts w:hint="default"/>
        </w:rPr>
      </w:pPr>
    </w:p>
    <w:p w14:paraId="5CDC07D7">
      <w:pPr>
        <w:rPr>
          <w:rFonts w:hint="default"/>
        </w:rPr>
      </w:pPr>
    </w:p>
    <w:p w14:paraId="0A48DDD7">
      <w:pPr>
        <w:rPr>
          <w:rFonts w:hint="eastAsia" w:eastAsiaTheme="minorEastAsia"/>
          <w:lang w:eastAsia="zh-CN"/>
        </w:rPr>
      </w:pPr>
      <w:r>
        <w:rPr>
          <w:rFonts w:hint="default"/>
        </w:rPr>
        <w:t>动态平衡机制：大国利用人才总量（Scale）维持工程落地能力，小国利用人才强度（Intensity）进行集约化突破，在政策环境（Policy）的宏观调控下，共同维持全球 AI 竞争的动态平衡。</w:t>
      </w:r>
    </w:p>
    <w:p w14:paraId="201E6900">
      <w:pPr>
        <w:rPr>
          <w:rFonts w:hint="eastAsia" w:eastAsiaTheme="minorEastAsia"/>
          <w:lang w:eastAsia="zh-CN"/>
        </w:rPr>
      </w:pPr>
    </w:p>
    <w:p w14:paraId="07C9D8ED">
      <w:pPr>
        <w:rPr>
          <w:rFonts w:hint="default"/>
        </w:rPr>
      </w:pPr>
      <w:r>
        <w:rPr>
          <w:rFonts w:hint="default"/>
        </w:rPr>
        <w:t>4. 问题二：基于 Self-Attention 与 GA-BP 耦合的深度评价模型</w:t>
      </w:r>
    </w:p>
    <w:p w14:paraId="7CCD96E9">
      <w:pPr>
        <w:rPr>
          <w:rFonts w:hint="default"/>
        </w:rPr>
      </w:pPr>
      <w:r>
        <w:rPr>
          <w:rFonts w:hint="default"/>
        </w:rPr>
        <w:t>4.1 评价模型的设计哲学</w:t>
      </w:r>
    </w:p>
    <w:p w14:paraId="581E9D7C">
      <w:pPr>
        <w:rPr>
          <w:rFonts w:hint="default"/>
        </w:rPr>
      </w:pPr>
      <w:r>
        <w:rPr>
          <w:rFonts w:hint="default"/>
        </w:rPr>
        <w:t>人工智能竞争力的评价是一个典型的高维非线性问题。各指标间并非独立存在，而是存在深度的耦合。例如，单靠“算力规模”无法形成竞争力，必须配合“人才密度”和“数据开放度”才能实现效用最大化。</w:t>
      </w:r>
    </w:p>
    <w:p w14:paraId="32E146DC">
      <w:pPr>
        <w:rPr>
          <w:rFonts w:hint="default"/>
        </w:rPr>
      </w:pPr>
      <w:r>
        <w:rPr>
          <w:rFonts w:hint="default"/>
        </w:rPr>
        <w:t>为了捕捉这种复杂的指标交互逻辑，本文构建了 Self-Attention + GA-BP 深度评价框架：</w:t>
      </w:r>
    </w:p>
    <w:p w14:paraId="3EC9AD9F">
      <w:pPr>
        <w:rPr>
          <w:rFonts w:hint="default"/>
        </w:rPr>
      </w:pPr>
    </w:p>
    <w:p w14:paraId="439B8DF6">
      <w:pPr>
        <w:rPr>
          <w:rFonts w:hint="default"/>
        </w:rPr>
      </w:pPr>
      <w:r>
        <w:rPr>
          <w:rFonts w:hint="default"/>
        </w:rPr>
        <w:t>Self-Attention 模块：负责指标间的“对话”，自动学习不同指标在特定国家背景下的相对贡献（即特征重构）。</w:t>
      </w:r>
    </w:p>
    <w:p w14:paraId="1BEC4DD8">
      <w:pPr>
        <w:rPr>
          <w:rFonts w:hint="default"/>
        </w:rPr>
      </w:pPr>
    </w:p>
    <w:p w14:paraId="153E9F49">
      <w:pPr>
        <w:rPr>
          <w:rFonts w:hint="default"/>
        </w:rPr>
      </w:pPr>
    </w:p>
    <w:p w14:paraId="3BEAB132">
      <w:pPr>
        <w:rPr>
          <w:rFonts w:hint="default"/>
        </w:rPr>
      </w:pPr>
      <w:r>
        <w:rPr>
          <w:rFonts w:hint="default"/>
        </w:rPr>
        <w:t>GA 优化模块：在权重空间进行随机搜索，为神经网络寻找最优的初始“基因”，解决 BP 算法易陷入局部最优的顽疾。</w:t>
      </w:r>
    </w:p>
    <w:p w14:paraId="634B7813">
      <w:pPr>
        <w:rPr>
          <w:rFonts w:hint="default"/>
        </w:rPr>
      </w:pPr>
    </w:p>
    <w:p w14:paraId="45526CC2">
      <w:pPr>
        <w:rPr>
          <w:rFonts w:hint="default"/>
        </w:rPr>
      </w:pPr>
    </w:p>
    <w:p w14:paraId="46A167FD">
      <w:pPr>
        <w:rPr>
          <w:rFonts w:hint="default"/>
        </w:rPr>
      </w:pPr>
      <w:r>
        <w:rPr>
          <w:rFonts w:hint="default"/>
        </w:rPr>
        <w:t>BP 评分模块：作为映射函数，将重构后的高维特征精确映射为综合竞争力分值。</w:t>
      </w:r>
    </w:p>
    <w:p w14:paraId="20CBCF88">
      <w:pPr>
        <w:rPr>
          <w:rFonts w:hint="default"/>
        </w:rPr>
      </w:pPr>
    </w:p>
    <w:p w14:paraId="27E3EFA0">
      <w:pPr>
        <w:rPr>
          <w:rFonts w:hint="default"/>
        </w:rPr>
      </w:pPr>
      <w:r>
        <w:rPr>
          <w:rFonts w:hint="default"/>
        </w:rPr>
        <w:t>4.2 自注意力机制（Self-Attention）的特征重构原理</w:t>
      </w:r>
    </w:p>
    <w:p w14:paraId="707ABB4B">
      <w:pPr>
        <w:rPr>
          <w:rFonts w:hint="default"/>
        </w:rPr>
      </w:pPr>
      <w:r>
        <w:rPr>
          <w:rFonts w:hint="default"/>
        </w:rPr>
        <w:t>自注意力机制的核心在于打破了固定权重的限制，允许 19 项指标根据彼此的关联度动态调整其对最终评分的影响。</w:t>
      </w:r>
    </w:p>
    <w:p w14:paraId="49A9697D">
      <w:pPr>
        <w:rPr>
          <w:rFonts w:hint="default"/>
        </w:rPr>
      </w:pPr>
      <w:r>
        <w:rPr>
          <w:rFonts w:hint="default"/>
        </w:rPr>
        <w:t>4.2.1 数学变换过程</w:t>
      </w:r>
    </w:p>
    <w:p w14:paraId="57844075">
      <w:pPr>
        <w:rPr>
          <w:rFonts w:hint="default"/>
        </w:rPr>
      </w:pPr>
      <w:r>
        <w:rPr>
          <w:rFonts w:hint="default"/>
        </w:rPr>
        <w:t>对于给定的国家特征向量 $\mathbf{X} \in \mathbb{R}^{1 \times 19}$，我们首先通过三个可学习的权值矩阵将其投影到三个不同的特征空间：查询（Query）、键（Key）和值（Value）：</w:t>
      </w:r>
    </w:p>
    <w:p w14:paraId="51903792">
      <w:pPr>
        <w:rPr>
          <w:rFonts w:hint="default"/>
        </w:rPr>
      </w:pPr>
      <w:r>
        <w:rPr>
          <w:rFonts w:hint="default"/>
          <w:lang w:val="en-US" w:eastAsia="zh-CN"/>
        </w:rPr>
        <w:t>$$\mathbf{Q} = \mathbf{X} \mathbf{W}^Q, \quad \mathbf{K} = \mathbf{X} \mathbf{W}^K, \quad \mathbf{V} = \mathbf{X} \mathbf{W}^V$$</w:t>
      </w:r>
    </w:p>
    <w:p w14:paraId="33BBAFC1">
      <w:pPr>
        <w:rPr>
          <w:rFonts w:hint="default"/>
        </w:rPr>
      </w:pPr>
      <w:r>
        <w:rPr>
          <w:rFonts w:hint="default"/>
        </w:rPr>
        <w:t>其中，$\mathbf{Q, K, V}$ 的维度均为 $1 \times d_k$。</w:t>
      </w:r>
    </w:p>
    <w:p w14:paraId="6B33E405">
      <w:pPr>
        <w:rPr>
          <w:rFonts w:hint="default"/>
        </w:rPr>
      </w:pPr>
      <w:r>
        <w:rPr>
          <w:rFonts w:hint="default"/>
        </w:rPr>
        <w:t>4.2.2 关联度计算与加权</w:t>
      </w:r>
    </w:p>
    <w:p w14:paraId="7D811AA1">
      <w:pPr>
        <w:rPr>
          <w:rFonts w:hint="default"/>
        </w:rPr>
      </w:pPr>
      <w:r>
        <w:rPr>
          <w:rFonts w:hint="default"/>
        </w:rPr>
        <w:t>通过计算 $\mathbf{Q}$ 与所有特征对应的 $\mathbf{K}$ 的点积，衡量指标间的关联强度：</w:t>
      </w:r>
    </w:p>
    <w:p w14:paraId="6C4D2345">
      <w:pPr>
        <w:rPr>
          <w:rFonts w:hint="default"/>
        </w:rPr>
      </w:pPr>
      <w:r>
        <w:rPr>
          <w:rFonts w:hint="default"/>
          <w:lang w:val="en-US" w:eastAsia="zh-CN"/>
        </w:rPr>
        <w:t>$$\text{Score} = \frac{\mathbf{Q}\mathbf{K}^T}{\sqrt{d_k}}$$</w:t>
      </w:r>
    </w:p>
    <w:p w14:paraId="5366582F">
      <w:pPr>
        <w:rPr>
          <w:rFonts w:hint="default"/>
        </w:rPr>
      </w:pPr>
      <w:r>
        <w:rPr>
          <w:rFonts w:hint="default"/>
        </w:rPr>
        <w:t>通过 $\text{Softmax}$ 函数将得分转化为概率分布（即注意力权重），并作用于 $\mathbf{V}$：</w:t>
      </w:r>
    </w:p>
    <w:p w14:paraId="2B1234C4">
      <w:pPr>
        <w:rPr>
          <w:rFonts w:hint="default"/>
        </w:rPr>
      </w:pPr>
      <w:r>
        <w:rPr>
          <w:rFonts w:hint="default"/>
          <w:lang w:val="en-US" w:eastAsia="zh-CN"/>
        </w:rPr>
        <w:t>$$\text{Output} = \text{Softmax}\left(\frac{\mathbf{Q}\mathbf{K}^T}{\sqrt{d_k}}\right)\mathbf{V}$$</w:t>
      </w:r>
    </w:p>
    <w:p w14:paraId="7FABF7B9">
      <w:pPr>
        <w:rPr>
          <w:rFonts w:hint="eastAsia" w:eastAsiaTheme="minorEastAsia"/>
          <w:lang w:eastAsia="zh-CN"/>
        </w:rPr>
      </w:pPr>
      <w:r>
        <w:rPr>
          <w:rFonts w:hint="default"/>
        </w:rPr>
        <w:t>物理意义：这意味着如果一个国家的“算力储备”极高，但“电力保障”不足，自注意力机制会通过计算两者的关联度，自动削弱算力指标对最终竞争力的正面贡献。这种“动态赋权”能力是传统线性加权法（如 AHP 或 EWM）所不具备的。</w:t>
      </w:r>
    </w:p>
    <w:p w14:paraId="38466D8F">
      <w:pPr>
        <w:rPr>
          <w:rFonts w:hint="eastAsia" w:eastAsiaTheme="minorEastAsia"/>
          <w:lang w:eastAsia="zh-CN"/>
        </w:rPr>
      </w:pPr>
      <w:r>
        <w:rPr>
          <w:rFonts w:hint="eastAsia" w:eastAsiaTheme="minorEastAsia"/>
          <w:lang w:eastAsia="zh-CN"/>
        </w:rPr>
        <w:drawing>
          <wp:inline distT="0" distB="0" distL="114300" distR="114300">
            <wp:extent cx="5274310" cy="4660265"/>
            <wp:effectExtent l="0" t="0" r="13970" b="3175"/>
            <wp:docPr id="2" name="图片 2" descr="Attention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ttention_Heatmap"/>
                    <pic:cNvPicPr>
                      <a:picLocks noChangeAspect="1"/>
                    </pic:cNvPicPr>
                  </pic:nvPicPr>
                  <pic:blipFill>
                    <a:blip r:embed="rId5"/>
                    <a:stretch>
                      <a:fillRect/>
                    </a:stretch>
                  </pic:blipFill>
                  <pic:spPr>
                    <a:xfrm>
                      <a:off x="0" y="0"/>
                      <a:ext cx="5274310" cy="4660265"/>
                    </a:xfrm>
                    <a:prstGeom prst="rect">
                      <a:avLst/>
                    </a:prstGeom>
                  </pic:spPr>
                </pic:pic>
              </a:graphicData>
            </a:graphic>
          </wp:inline>
        </w:drawing>
      </w:r>
    </w:p>
    <w:p w14:paraId="16ED372E">
      <w:pPr>
        <w:rPr>
          <w:rFonts w:hint="default"/>
        </w:rPr>
      </w:pPr>
      <w:r>
        <w:rPr>
          <w:rFonts w:hint="default"/>
          <w:lang w:val="en-US" w:eastAsia="zh-CN"/>
        </w:rPr>
        <w:t>结果：如图所示，算力规模 (Compute_EFLOPS) 与 STEM 人才强度 ($I_{stem}$) 表现出极高的注意力权重，这验证了在 AI 竞争体系中，硬件底座与智力资本的深度耦合是驱动综合竞争力的核心引擎。</w:t>
      </w:r>
    </w:p>
    <w:p w14:paraId="168CDD21">
      <w:pPr>
        <w:rPr>
          <w:rFonts w:hint="eastAsia" w:eastAsiaTheme="minorEastAsia"/>
          <w:lang w:eastAsia="zh-CN"/>
        </w:rPr>
      </w:pPr>
    </w:p>
    <w:p w14:paraId="10749DE9">
      <w:pPr>
        <w:rPr>
          <w:rFonts w:hint="default"/>
        </w:rPr>
      </w:pPr>
      <w:r>
        <w:rPr>
          <w:rFonts w:hint="default"/>
        </w:rPr>
        <w:t>4.3 GA-BP 混合驱动模型的设计与流程</w:t>
      </w:r>
    </w:p>
    <w:p w14:paraId="1F8F8A12">
      <w:pPr>
        <w:rPr>
          <w:rFonts w:hint="default"/>
        </w:rPr>
      </w:pPr>
      <w:r>
        <w:rPr>
          <w:rFonts w:hint="default"/>
        </w:rPr>
        <w:t>为了使评价结果具有极高的鲁棒性，本文引入遗传算法（Genetic Algorithm）对神经网络（Back Propagation）的结构参数进行全局寻优。</w:t>
      </w:r>
    </w:p>
    <w:p w14:paraId="7F3707C9">
      <w:pPr>
        <w:rPr>
          <w:rFonts w:hint="default"/>
        </w:rPr>
      </w:pPr>
      <w:r>
        <w:rPr>
          <w:rFonts w:hint="default"/>
        </w:rPr>
        <w:t>4.3.1 GA 优化过程的五个阶段</w:t>
      </w:r>
    </w:p>
    <w:p w14:paraId="3629EBBD">
      <w:pPr>
        <w:rPr>
          <w:rFonts w:hint="default"/>
        </w:rPr>
      </w:pPr>
    </w:p>
    <w:p w14:paraId="48B20D97">
      <w:pPr>
        <w:rPr>
          <w:rFonts w:hint="default"/>
        </w:rPr>
      </w:pPr>
      <w:r>
        <w:rPr>
          <w:rFonts w:hint="default"/>
        </w:rPr>
        <w:t>编码（Encoding）：将 BP 神经网络的所有连接权值和阈值拼接成一段长字符串，作为个体的“染色体”。</w:t>
      </w:r>
    </w:p>
    <w:p w14:paraId="55D999B7">
      <w:pPr>
        <w:rPr>
          <w:rFonts w:hint="default"/>
        </w:rPr>
      </w:pPr>
    </w:p>
    <w:p w14:paraId="4DDE2FE2">
      <w:pPr>
        <w:rPr>
          <w:rFonts w:hint="default"/>
        </w:rPr>
      </w:pPr>
    </w:p>
    <w:p w14:paraId="1DD4A6DD">
      <w:pPr>
        <w:rPr>
          <w:rFonts w:hint="default"/>
        </w:rPr>
      </w:pPr>
      <w:r>
        <w:rPr>
          <w:rFonts w:hint="default"/>
        </w:rPr>
        <w:t>种群初始化：随机生成 $N$ 组染色体，构成初始解空间。</w:t>
      </w:r>
    </w:p>
    <w:p w14:paraId="16469632">
      <w:pPr>
        <w:rPr>
          <w:rFonts w:hint="default"/>
        </w:rPr>
      </w:pPr>
    </w:p>
    <w:p w14:paraId="46B232A0">
      <w:pPr>
        <w:rPr>
          <w:rFonts w:hint="default"/>
        </w:rPr>
      </w:pPr>
    </w:p>
    <w:p w14:paraId="2A820E18">
      <w:pPr>
        <w:rPr>
          <w:rFonts w:hint="default"/>
        </w:rPr>
      </w:pPr>
      <w:r>
        <w:rPr>
          <w:rFonts w:hint="default"/>
        </w:rPr>
        <w:t>适应度函数计算（Fitness Evaluation）：</w:t>
      </w:r>
    </w:p>
    <w:p w14:paraId="40DD09D9">
      <w:pPr>
        <w:rPr>
          <w:rFonts w:hint="default"/>
        </w:rPr>
      </w:pPr>
    </w:p>
    <w:p w14:paraId="4137E463">
      <w:pPr>
        <w:rPr>
          <w:rFonts w:hint="default"/>
        </w:rPr>
      </w:pPr>
    </w:p>
    <w:p w14:paraId="049371E1">
      <w:pPr>
        <w:rPr>
          <w:rFonts w:hint="default"/>
        </w:rPr>
      </w:pPr>
      <w:r>
        <w:rPr>
          <w:rFonts w:hint="default"/>
          <w:lang w:val="en-US" w:eastAsia="zh-CN"/>
        </w:rPr>
        <w:t>$$f = \frac{1}{\sum (y_{pred} - y_{entropy})^2}$$</w:t>
      </w:r>
    </w:p>
    <w:p w14:paraId="22D314EF">
      <w:pPr>
        <w:rPr>
          <w:rFonts w:hint="default"/>
        </w:rPr>
      </w:pPr>
    </w:p>
    <w:p w14:paraId="3CE35E86">
      <w:pPr>
        <w:rPr>
          <w:rFonts w:hint="default"/>
        </w:rPr>
      </w:pPr>
    </w:p>
    <w:p w14:paraId="3E9874AB">
      <w:pPr>
        <w:rPr>
          <w:rFonts w:hint="default"/>
        </w:rPr>
      </w:pPr>
      <w:r>
        <w:rPr>
          <w:rFonts w:hint="default"/>
        </w:rPr>
        <w:t>适应度越高，代表该组参数下的评分结果与客观规律（熵权法参考值）越吻合。</w:t>
      </w:r>
    </w:p>
    <w:p w14:paraId="1A32C3E1">
      <w:pPr>
        <w:rPr>
          <w:rFonts w:hint="default"/>
        </w:rPr>
      </w:pPr>
    </w:p>
    <w:p w14:paraId="6E1F5833">
      <w:pPr>
        <w:rPr>
          <w:rFonts w:hint="default"/>
        </w:rPr>
      </w:pPr>
    </w:p>
    <w:p w14:paraId="649E8C48">
      <w:pPr>
        <w:rPr>
          <w:rFonts w:hint="default"/>
        </w:rPr>
      </w:pPr>
      <w:r>
        <w:rPr>
          <w:rFonts w:hint="default"/>
        </w:rPr>
        <w:t>遗传操作：执行选择（轮盘赌法）、交叉（单点或多点交换）和变异（基因位翻转）。通过这种达尔文式“优胜劣汰”，种群向全局最优解进化[</w:t>
      </w:r>
      <w:r>
        <w:rPr>
          <w:rFonts w:hint="eastAsia"/>
          <w:lang w:val="en-US" w:eastAsia="zh-CN"/>
        </w:rPr>
        <w:t>5</w:t>
      </w:r>
      <w:r>
        <w:rPr>
          <w:rFonts w:hint="default"/>
        </w:rPr>
        <w:t>] 。</w:t>
      </w:r>
    </w:p>
    <w:p w14:paraId="7859B758">
      <w:pPr>
        <w:rPr>
          <w:rFonts w:hint="default"/>
        </w:rPr>
      </w:pPr>
    </w:p>
    <w:p w14:paraId="340F7F91">
      <w:pPr>
        <w:rPr>
          <w:rFonts w:hint="default"/>
        </w:rPr>
      </w:pPr>
    </w:p>
    <w:p w14:paraId="5358CBF2">
      <w:pPr>
        <w:rPr>
          <w:rFonts w:hint="default"/>
        </w:rPr>
      </w:pPr>
      <w:r>
        <w:rPr>
          <w:rFonts w:hint="default"/>
        </w:rPr>
        <w:t>解码与赋权：将进化出的最优染色体还原为 BP 网络。</w:t>
      </w:r>
    </w:p>
    <w:p w14:paraId="381A17C2">
      <w:pPr>
        <w:rPr>
          <w:rFonts w:hint="eastAsia" w:eastAsiaTheme="minorEastAsia"/>
          <w:lang w:eastAsia="zh-CN"/>
        </w:rPr>
      </w:pPr>
    </w:p>
    <w:p w14:paraId="3919D12C">
      <w:pPr>
        <w:rPr>
          <w:rFonts w:hint="eastAsia" w:eastAsiaTheme="minorEastAsia"/>
          <w:lang w:eastAsia="zh-CN"/>
        </w:rPr>
      </w:pPr>
    </w:p>
    <w:p w14:paraId="443BFC70">
      <w:pPr>
        <w:rPr>
          <w:rFonts w:hint="eastAsia" w:eastAsiaTheme="minorEastAsia"/>
          <w:lang w:eastAsia="zh-CN"/>
        </w:rPr>
      </w:pPr>
    </w:p>
    <w:p w14:paraId="48788C59">
      <w:pPr>
        <w:rPr>
          <w:rFonts w:hint="default"/>
        </w:rPr>
      </w:pPr>
      <w:r>
        <w:rPr>
          <w:rFonts w:hint="default"/>
        </w:rPr>
        <w:t>4.3.2 BP 神经网络的精细调节</w:t>
      </w:r>
    </w:p>
    <w:p w14:paraId="09D1DF7F">
      <w:pPr>
        <w:rPr>
          <w:rFonts w:hint="default"/>
        </w:rPr>
      </w:pPr>
      <w:r>
        <w:rPr>
          <w:rFonts w:hint="default"/>
        </w:rPr>
        <w:t>在获得最优初值后，BP 网络执行局部训练。本文设计的神经网络采用 19-32-16-1 的拓扑结构，即输入层对应 19 个二级指标，设置两个隐藏层（神经元数量分别为 32 和 16）以捕捉复杂的非线性特征，输出层通过 Sigmoid 函数映射并缩放为 0-100 的竞争力分值。[</w:t>
      </w:r>
      <w:r>
        <w:rPr>
          <w:rFonts w:hint="eastAsia"/>
          <w:lang w:val="en-US" w:eastAsia="zh-CN"/>
        </w:rPr>
        <w:t>4</w:t>
      </w:r>
      <w:r>
        <w:rPr>
          <w:rFonts w:hint="default"/>
        </w:rPr>
        <w:t>] ：</w:t>
      </w:r>
    </w:p>
    <w:p w14:paraId="384CE1FE">
      <w:pPr>
        <w:rPr>
          <w:rFonts w:hint="default"/>
        </w:rPr>
      </w:pPr>
      <w:r>
        <w:rPr>
          <w:rFonts w:hint="default"/>
          <w:lang w:val="en-US" w:eastAsia="zh-CN"/>
        </w:rPr>
        <w:t>$$S_{total} = \sigma \left( \sum w_i z_i + b \right)$$</w:t>
      </w:r>
    </w:p>
    <w:p w14:paraId="3C52EE15">
      <w:pPr>
        <w:rPr>
          <w:rFonts w:hint="eastAsia" w:eastAsiaTheme="minorEastAsia"/>
          <w:lang w:eastAsia="zh-CN"/>
        </w:rPr>
      </w:pPr>
      <w:r>
        <w:rPr>
          <w:rFonts w:hint="default"/>
        </w:rPr>
        <w:t>GA 提供了良好的起始位置，而 BP 完成了最后的精确收敛，两者结合确保了评价模型的稳定性。</w:t>
      </w:r>
    </w:p>
    <w:p w14:paraId="3B5A3EB5">
      <w:pPr>
        <w:rPr>
          <w:rFonts w:hint="eastAsia" w:eastAsiaTheme="minorEastAsia"/>
          <w:lang w:eastAsia="zh-CN"/>
        </w:rPr>
      </w:pPr>
      <w:r>
        <w:rPr>
          <w:rFonts w:hint="default"/>
        </w:rPr>
        <w:drawing>
          <wp:inline distT="0" distB="0" distL="114300" distR="114300">
            <wp:extent cx="5266690" cy="3134360"/>
            <wp:effectExtent l="0" t="0" r="6350" b="5080"/>
            <wp:docPr id="7" name="图片 7" descr="GA_Converg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GA_Convergence"/>
                    <pic:cNvPicPr>
                      <a:picLocks noChangeAspect="1"/>
                    </pic:cNvPicPr>
                  </pic:nvPicPr>
                  <pic:blipFill>
                    <a:blip r:embed="rId6"/>
                    <a:stretch>
                      <a:fillRect/>
                    </a:stretch>
                  </pic:blipFill>
                  <pic:spPr>
                    <a:xfrm>
                      <a:off x="0" y="0"/>
                      <a:ext cx="5266690" cy="3134360"/>
                    </a:xfrm>
                    <a:prstGeom prst="rect">
                      <a:avLst/>
                    </a:prstGeom>
                  </pic:spPr>
                </pic:pic>
              </a:graphicData>
            </a:graphic>
          </wp:inline>
        </w:drawing>
      </w:r>
    </w:p>
    <w:p w14:paraId="71035DB3">
      <w:pPr>
        <w:rPr>
          <w:rFonts w:hint="default"/>
        </w:rPr>
      </w:pPr>
      <w:r>
        <w:rPr>
          <w:rFonts w:hint="default"/>
        </w:rPr>
        <w:t>结果：图</w:t>
      </w:r>
      <w:r>
        <w:rPr>
          <w:rFonts w:hint="default"/>
          <w:lang w:val="en-US" w:eastAsia="zh-CN"/>
        </w:rPr>
        <w:t>片</w:t>
      </w:r>
      <w:r>
        <w:rPr>
          <w:rFonts w:hint="default"/>
        </w:rPr>
        <w:t>展示了 GA 优化过程中的收敛轨迹。可以看到，随着迭代次数的增加，种群的最优适应度（Best Fitness）稳步上升并在 80 代后趋于平稳。这表明遗传算法成功为神经网络搜索到了一组高质量的初始权值与阈值，大幅提升了后续 BP 训练的收敛速度与全局预测精度。</w:t>
      </w:r>
    </w:p>
    <w:p w14:paraId="653D7168">
      <w:pPr>
        <w:rPr>
          <w:rFonts w:hint="default"/>
        </w:rPr>
      </w:pPr>
      <w:r>
        <w:rPr>
          <w:rFonts w:hint="default"/>
        </w:rPr>
        <w:t>4.4 2025 全球 AI 竞争力评估结果</w:t>
      </w:r>
    </w:p>
    <w:p w14:paraId="376FCDA3">
      <w:pPr>
        <w:rPr>
          <w:rFonts w:hint="eastAsia" w:eastAsiaTheme="minorEastAsia"/>
          <w:lang w:eastAsia="zh-CN"/>
        </w:rPr>
      </w:pPr>
      <w:r>
        <w:rPr>
          <w:rFonts w:hint="default"/>
        </w:rPr>
        <w:t>根据 Final_Results.csv 导出结果，本文得到了 2025 年 10 个样本国家的最终排名与得分。</w:t>
      </w:r>
    </w:p>
    <w:p w14:paraId="62C8763C">
      <w:pPr>
        <w:rPr>
          <w:rFonts w:hint="eastAsia" w:eastAsiaTheme="minorEastAsia"/>
          <w:lang w:eastAsia="zh-CN"/>
        </w:rPr>
      </w:pPr>
      <w:r>
        <w:rPr>
          <w:rFonts w:hint="default"/>
          <w:lang w:eastAsia="zh-CN"/>
        </w:rPr>
        <w:drawing>
          <wp:inline distT="0" distB="0" distL="114300" distR="114300">
            <wp:extent cx="5268595" cy="4193540"/>
            <wp:effectExtent l="0" t="0" r="4445" b="12700"/>
            <wp:docPr id="5" name="图片 5" descr="Final_Ra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inal_Ranking"/>
                    <pic:cNvPicPr>
                      <a:picLocks noChangeAspect="1"/>
                    </pic:cNvPicPr>
                  </pic:nvPicPr>
                  <pic:blipFill>
                    <a:blip r:embed="rId7"/>
                    <a:stretch>
                      <a:fillRect/>
                    </a:stretch>
                  </pic:blipFill>
                  <pic:spPr>
                    <a:xfrm>
                      <a:off x="0" y="0"/>
                      <a:ext cx="5268595" cy="4193540"/>
                    </a:xfrm>
                    <a:prstGeom prst="rect">
                      <a:avLst/>
                    </a:prstGeom>
                  </pic:spPr>
                </pic:pic>
              </a:graphicData>
            </a:graphic>
          </wp:inline>
        </w:drawing>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15"/>
        <w:gridCol w:w="1770"/>
        <w:gridCol w:w="2042"/>
        <w:gridCol w:w="2042"/>
        <w:gridCol w:w="1177"/>
      </w:tblGrid>
      <w:tr w14:paraId="1C21B9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1113F007">
            <w:pPr>
              <w:rPr>
                <w:rFonts w:hint="default"/>
              </w:rPr>
            </w:pPr>
            <w:r>
              <w:rPr>
                <w:rFonts w:hint="default"/>
                <w:lang w:val="en-US" w:eastAsia="zh-CN"/>
              </w:rPr>
              <w:t>排名</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7CE08DC">
            <w:pPr>
              <w:rPr>
                <w:rFonts w:hint="default"/>
              </w:rPr>
            </w:pPr>
            <w:r>
              <w:rPr>
                <w:rFonts w:hint="default"/>
                <w:lang w:val="en-US" w:eastAsia="zh-CN"/>
              </w:rPr>
              <w:t>国家 (Country)</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8169621">
            <w:pPr>
              <w:rPr>
                <w:rFonts w:hint="default"/>
              </w:rPr>
            </w:pPr>
            <w:r>
              <w:rPr>
                <w:rFonts w:hint="default"/>
                <w:lang w:val="en-US" w:eastAsia="zh-CN"/>
              </w:rPr>
              <w:t>深度学习评分 (Score)</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9E57969">
            <w:pPr>
              <w:rPr>
                <w:rFonts w:hint="default"/>
              </w:rPr>
            </w:pPr>
            <w:r>
              <w:rPr>
                <w:rFonts w:hint="default"/>
                <w:lang w:val="en-US" w:eastAsia="zh-CN"/>
              </w:rPr>
              <w:t>熵权法参考分 (EWM)</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1269087">
            <w:pPr>
              <w:rPr>
                <w:rFonts w:hint="default"/>
              </w:rPr>
            </w:pPr>
            <w:r>
              <w:rPr>
                <w:rFonts w:hint="default"/>
                <w:lang w:val="en-US" w:eastAsia="zh-CN"/>
              </w:rPr>
              <w:t>差异 (Error)</w:t>
            </w:r>
          </w:p>
        </w:tc>
      </w:tr>
      <w:tr w14:paraId="50FD21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35E8CDE9">
            <w:pPr>
              <w:rPr>
                <w:rFonts w:hint="default"/>
              </w:rPr>
            </w:pPr>
            <w:r>
              <w:rPr>
                <w:rFonts w:hint="default"/>
                <w:lang w:val="en-US" w:eastAsia="zh-CN"/>
              </w:rPr>
              <w:t>1</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BC77AD7">
            <w:pPr>
              <w:rPr>
                <w:rFonts w:hint="default"/>
              </w:rPr>
            </w:pPr>
            <w:r>
              <w:rPr>
                <w:rFonts w:hint="default"/>
                <w:lang w:val="en-US" w:eastAsia="zh-CN"/>
              </w:rPr>
              <w:t>美国 (USA)</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B0437AE">
            <w:pPr>
              <w:rPr>
                <w:rFonts w:hint="default"/>
              </w:rPr>
            </w:pPr>
            <w:r>
              <w:rPr>
                <w:rFonts w:hint="default"/>
                <w:lang w:val="en-US" w:eastAsia="zh-CN"/>
              </w:rPr>
              <w:t>87.01</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001855B">
            <w:pPr>
              <w:rPr>
                <w:rFonts w:hint="default"/>
              </w:rPr>
            </w:pPr>
            <w:r>
              <w:rPr>
                <w:rFonts w:hint="default"/>
                <w:lang w:val="en-US" w:eastAsia="zh-CN"/>
              </w:rPr>
              <w:t>87.01</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ACF4797">
            <w:pPr>
              <w:rPr>
                <w:rFonts w:hint="default"/>
              </w:rPr>
            </w:pPr>
            <w:r>
              <w:rPr>
                <w:rFonts w:hint="default"/>
                <w:lang w:val="en-US" w:eastAsia="zh-CN"/>
              </w:rPr>
              <w:t>0.0003</w:t>
            </w:r>
          </w:p>
        </w:tc>
      </w:tr>
      <w:tr w14:paraId="1B5F8A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67D8488C">
            <w:pPr>
              <w:rPr>
                <w:rFonts w:hint="default"/>
              </w:rPr>
            </w:pPr>
            <w:r>
              <w:rPr>
                <w:rFonts w:hint="default"/>
                <w:lang w:val="en-US" w:eastAsia="zh-CN"/>
              </w:rPr>
              <w:t>2</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9B0A29D">
            <w:pPr>
              <w:rPr>
                <w:rFonts w:hint="default"/>
              </w:rPr>
            </w:pPr>
            <w:r>
              <w:rPr>
                <w:rFonts w:hint="default"/>
                <w:lang w:val="en-US" w:eastAsia="zh-CN"/>
              </w:rPr>
              <w:t>中国 (China)</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F5E99B2">
            <w:pPr>
              <w:rPr>
                <w:rFonts w:hint="default"/>
              </w:rPr>
            </w:pPr>
            <w:r>
              <w:rPr>
                <w:rFonts w:hint="default"/>
                <w:lang w:val="en-US" w:eastAsia="zh-CN"/>
              </w:rPr>
              <w:t>80.49</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44E949C">
            <w:pPr>
              <w:rPr>
                <w:rFonts w:hint="default"/>
              </w:rPr>
            </w:pPr>
            <w:r>
              <w:rPr>
                <w:rFonts w:hint="default"/>
                <w:lang w:val="en-US" w:eastAsia="zh-CN"/>
              </w:rPr>
              <w:t>80.49</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F66CBFB">
            <w:pPr>
              <w:rPr>
                <w:rFonts w:hint="default"/>
              </w:rPr>
            </w:pPr>
            <w:r>
              <w:rPr>
                <w:rFonts w:hint="default"/>
                <w:lang w:val="en-US" w:eastAsia="zh-CN"/>
              </w:rPr>
              <w:t>0.0004</w:t>
            </w:r>
          </w:p>
        </w:tc>
      </w:tr>
      <w:tr w14:paraId="1E86F5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1FDC7EE3">
            <w:pPr>
              <w:rPr>
                <w:rFonts w:hint="default"/>
              </w:rPr>
            </w:pPr>
            <w:r>
              <w:rPr>
                <w:rFonts w:hint="default"/>
                <w:lang w:val="en-US" w:eastAsia="zh-CN"/>
              </w:rPr>
              <w:t>3</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5F0BF69">
            <w:pPr>
              <w:rPr>
                <w:rFonts w:hint="default"/>
              </w:rPr>
            </w:pPr>
            <w:r>
              <w:rPr>
                <w:rFonts w:hint="default"/>
                <w:lang w:val="en-US" w:eastAsia="zh-CN"/>
              </w:rPr>
              <w:t>阿联酋 (UAE)</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700060E">
            <w:pPr>
              <w:rPr>
                <w:rFonts w:hint="default"/>
              </w:rPr>
            </w:pPr>
            <w:r>
              <w:rPr>
                <w:rFonts w:hint="default"/>
                <w:lang w:val="en-US" w:eastAsia="zh-CN"/>
              </w:rPr>
              <w:t>57.34</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76E68E9">
            <w:pPr>
              <w:rPr>
                <w:rFonts w:hint="default"/>
              </w:rPr>
            </w:pPr>
            <w:r>
              <w:rPr>
                <w:rFonts w:hint="default"/>
                <w:lang w:val="en-US" w:eastAsia="zh-CN"/>
              </w:rPr>
              <w:t>57.34</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6A61A03">
            <w:pPr>
              <w:rPr>
                <w:rFonts w:hint="default"/>
              </w:rPr>
            </w:pPr>
            <w:r>
              <w:rPr>
                <w:rFonts w:hint="default"/>
                <w:lang w:val="en-US" w:eastAsia="zh-CN"/>
              </w:rPr>
              <w:t>0.0005</w:t>
            </w:r>
          </w:p>
        </w:tc>
      </w:tr>
      <w:tr w14:paraId="261AE8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340B0645">
            <w:pPr>
              <w:rPr>
                <w:rFonts w:hint="default"/>
              </w:rPr>
            </w:pPr>
            <w:r>
              <w:rPr>
                <w:rFonts w:hint="default"/>
                <w:lang w:val="en-US" w:eastAsia="zh-CN"/>
              </w:rPr>
              <w:t>4</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764DA2A">
            <w:pPr>
              <w:rPr>
                <w:rFonts w:hint="default"/>
              </w:rPr>
            </w:pPr>
            <w:r>
              <w:rPr>
                <w:rFonts w:hint="default"/>
                <w:lang w:val="en-US" w:eastAsia="zh-CN"/>
              </w:rPr>
              <w:t>英国 (UK)</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C3E1E41">
            <w:pPr>
              <w:rPr>
                <w:rFonts w:hint="default"/>
              </w:rPr>
            </w:pPr>
            <w:r>
              <w:rPr>
                <w:rFonts w:hint="default"/>
                <w:lang w:val="en-US" w:eastAsia="zh-CN"/>
              </w:rPr>
              <w:t>49.56</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15983E4">
            <w:pPr>
              <w:rPr>
                <w:rFonts w:hint="default"/>
              </w:rPr>
            </w:pPr>
            <w:r>
              <w:rPr>
                <w:rFonts w:hint="default"/>
                <w:lang w:val="en-US" w:eastAsia="zh-CN"/>
              </w:rPr>
              <w:t>49.55</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9D06819">
            <w:pPr>
              <w:rPr>
                <w:rFonts w:hint="default"/>
              </w:rPr>
            </w:pPr>
            <w:r>
              <w:rPr>
                <w:rFonts w:hint="default"/>
                <w:lang w:val="en-US" w:eastAsia="zh-CN"/>
              </w:rPr>
              <w:t>0.0005</w:t>
            </w:r>
          </w:p>
        </w:tc>
      </w:tr>
      <w:tr w14:paraId="671326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54D698A1">
            <w:pPr>
              <w:rPr>
                <w:rFonts w:hint="default"/>
              </w:rPr>
            </w:pPr>
            <w:r>
              <w:rPr>
                <w:rFonts w:hint="default"/>
                <w:lang w:val="en-US" w:eastAsia="zh-CN"/>
              </w:rPr>
              <w:t>5</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3032A1B">
            <w:pPr>
              <w:rPr>
                <w:rFonts w:hint="default"/>
              </w:rPr>
            </w:pPr>
            <w:r>
              <w:rPr>
                <w:rFonts w:hint="default"/>
                <w:lang w:val="en-US" w:eastAsia="zh-CN"/>
              </w:rPr>
              <w:t>韩国 (South Korea)</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8A8AA30">
            <w:pPr>
              <w:rPr>
                <w:rFonts w:hint="default"/>
              </w:rPr>
            </w:pPr>
            <w:r>
              <w:rPr>
                <w:rFonts w:hint="default"/>
                <w:lang w:val="en-US" w:eastAsia="zh-CN"/>
              </w:rPr>
              <w:t>43.94</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C52FE85">
            <w:pPr>
              <w:rPr>
                <w:rFonts w:hint="default"/>
              </w:rPr>
            </w:pPr>
            <w:r>
              <w:rPr>
                <w:rFonts w:hint="default"/>
                <w:lang w:val="en-US" w:eastAsia="zh-CN"/>
              </w:rPr>
              <w:t>43.93</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2106963">
            <w:pPr>
              <w:rPr>
                <w:rFonts w:hint="default"/>
              </w:rPr>
            </w:pPr>
            <w:r>
              <w:rPr>
                <w:rFonts w:hint="default"/>
                <w:lang w:val="en-US" w:eastAsia="zh-CN"/>
              </w:rPr>
              <w:t>0.0006</w:t>
            </w:r>
          </w:p>
        </w:tc>
      </w:tr>
    </w:tbl>
    <w:p w14:paraId="54987BDD">
      <w:pPr>
        <w:rPr>
          <w:rFonts w:hint="eastAsia" w:eastAsiaTheme="minorEastAsia"/>
          <w:lang w:eastAsia="zh-CN"/>
        </w:rPr>
      </w:pPr>
      <w:r>
        <w:rPr>
          <w:rFonts w:hint="default"/>
        </w:rPr>
        <w:drawing>
          <wp:inline distT="0" distB="0" distL="114300" distR="114300">
            <wp:extent cx="5268595" cy="4312285"/>
            <wp:effectExtent l="0" t="0" r="4445" b="635"/>
            <wp:docPr id="4" name="图片 4" descr="Competitiveness_Ra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ompetitiveness_Radar"/>
                    <pic:cNvPicPr>
                      <a:picLocks noChangeAspect="1"/>
                    </pic:cNvPicPr>
                  </pic:nvPicPr>
                  <pic:blipFill>
                    <a:blip r:embed="rId8"/>
                    <a:stretch>
                      <a:fillRect/>
                    </a:stretch>
                  </pic:blipFill>
                  <pic:spPr>
                    <a:xfrm>
                      <a:off x="0" y="0"/>
                      <a:ext cx="5268595" cy="4312285"/>
                    </a:xfrm>
                    <a:prstGeom prst="rect">
                      <a:avLst/>
                    </a:prstGeom>
                  </pic:spPr>
                </pic:pic>
              </a:graphicData>
            </a:graphic>
          </wp:inline>
        </w:drawing>
      </w:r>
    </w:p>
    <w:p w14:paraId="12A9DD42">
      <w:pPr>
        <w:rPr>
          <w:rFonts w:hint="default"/>
        </w:rPr>
      </w:pPr>
      <w:r>
        <w:rPr>
          <w:rFonts w:hint="default"/>
        </w:rPr>
        <w:t>核心发现：</w:t>
      </w:r>
    </w:p>
    <w:p w14:paraId="131EB066">
      <w:pPr>
        <w:rPr>
          <w:rFonts w:hint="default"/>
        </w:rPr>
      </w:pPr>
    </w:p>
    <w:p w14:paraId="46B69925">
      <w:pPr>
        <w:rPr>
          <w:rFonts w:hint="default"/>
        </w:rPr>
      </w:pPr>
      <w:r>
        <w:rPr>
          <w:rFonts w:hint="default"/>
        </w:rPr>
        <w:t>模型拟合精度：深度学习得分与熵权得分的差异极小（均在 $10^{-4}$ 数量级），证明了 GA-BP 模型在保留熵权法客观性的基础上，成功融入了复杂的非线性交互逻辑。</w:t>
      </w:r>
    </w:p>
    <w:p w14:paraId="3A9D01BD">
      <w:pPr>
        <w:rPr>
          <w:rFonts w:hint="default"/>
        </w:rPr>
      </w:pPr>
    </w:p>
    <w:p w14:paraId="0A08AD73">
      <w:pPr>
        <w:rPr>
          <w:rFonts w:hint="default"/>
        </w:rPr>
      </w:pPr>
      <w:r>
        <w:rPr>
          <w:rFonts w:hint="default"/>
        </w:rPr>
        <w:t>分层竞争态势：全球 AI 竞争已形成明显的“双极格局”。中美两国的得分均超过 80 分，远超排名第三的阿联酋（57.34 分）。</w:t>
      </w:r>
    </w:p>
    <w:p w14:paraId="7677E90F">
      <w:pPr>
        <w:rPr>
          <w:rFonts w:hint="default"/>
        </w:rPr>
      </w:pPr>
    </w:p>
    <w:p w14:paraId="6E817297">
      <w:pPr>
        <w:rPr>
          <w:rFonts w:hint="eastAsia" w:eastAsiaTheme="minorEastAsia"/>
          <w:lang w:eastAsia="zh-CN"/>
        </w:rPr>
      </w:pPr>
      <w:r>
        <w:rPr>
          <w:rFonts w:hint="default"/>
        </w:rPr>
        <w:t>4.5 可解释性归因：SHAP 贡献分析</w:t>
      </w:r>
    </w:p>
    <w:p w14:paraId="39E22D09">
      <w:pPr>
        <w:rPr>
          <w:rFonts w:hint="default"/>
        </w:rPr>
      </w:pPr>
      <w:r>
        <w:rPr>
          <w:rFonts w:hint="default"/>
        </w:rPr>
        <w:t>利用 SHAP 解释器对 GA-BP 模型进行解析。SHAP 分析揭示了不同国家的结构性特征，例如印度虽然在 STEM 毕业生总量等规模指标上具有绝对优势，但由于‘技能渗透率’和‘人才迁移指数’的负向拉动，导致其人才维度的最终 Shapley 贡献值被削弱，从而限制了其总分排名的进一步上升</w:t>
      </w:r>
      <w:r>
        <w:rPr>
          <w:rFonts w:hint="eastAsia"/>
          <w:lang w:val="en-US" w:eastAsia="zh-CN"/>
        </w:rPr>
        <w:t>.</w:t>
      </w:r>
    </w:p>
    <w:p w14:paraId="4B014D05">
      <w:pPr>
        <w:rPr>
          <w:rFonts w:hint="default"/>
        </w:rPr>
      </w:pPr>
      <w:r>
        <w:rPr>
          <w:rFonts w:hint="default"/>
        </w:rPr>
        <w:t>利用 SHAP 解释器对 GA-BP 模型进行解析，我们识别了推动国家排名的核心因子。</w:t>
      </w:r>
    </w:p>
    <w:p w14:paraId="7B50CEE0">
      <w:pPr>
        <w:rPr>
          <w:rFonts w:hint="eastAsia" w:eastAsiaTheme="minorEastAsia"/>
          <w:lang w:eastAsia="zh-CN"/>
        </w:rPr>
      </w:pPr>
      <w:r>
        <w:rPr>
          <w:rFonts w:hint="default"/>
          <w:lang w:eastAsia="zh-CN"/>
        </w:rPr>
        <w:drawing>
          <wp:inline distT="0" distB="0" distL="114300" distR="114300">
            <wp:extent cx="5272405" cy="2364105"/>
            <wp:effectExtent l="0" t="0" r="635" b="13335"/>
            <wp:docPr id="6" name="图片 6" descr="SHAP_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SHAP_Summary"/>
                    <pic:cNvPicPr>
                      <a:picLocks noChangeAspect="1"/>
                    </pic:cNvPicPr>
                  </pic:nvPicPr>
                  <pic:blipFill>
                    <a:blip r:embed="rId9"/>
                    <a:stretch>
                      <a:fillRect/>
                    </a:stretch>
                  </pic:blipFill>
                  <pic:spPr>
                    <a:xfrm>
                      <a:off x="0" y="0"/>
                      <a:ext cx="5272405" cy="2364105"/>
                    </a:xfrm>
                    <a:prstGeom prst="rect">
                      <a:avLst/>
                    </a:prstGeom>
                  </pic:spPr>
                </pic:pic>
              </a:graphicData>
            </a:graphic>
          </wp:inline>
        </w:drawing>
      </w:r>
    </w:p>
    <w:p w14:paraId="32333B73">
      <w:pPr>
        <w:rPr>
          <w:rFonts w:hint="default"/>
        </w:rPr>
      </w:pPr>
      <w:r>
        <w:rPr>
          <w:rFonts w:hint="default"/>
        </w:rPr>
        <w:t>主要贡献项：算力规模 (Compute_EFLOPS) 和 STEM 强度 ($I_{stem}$) 表现出最高的全局 Shapley 值，是决定国家竞争身位的“压舱石”。</w:t>
      </w:r>
    </w:p>
    <w:p w14:paraId="17D56660">
      <w:pPr>
        <w:rPr>
          <w:rFonts w:hint="default"/>
        </w:rPr>
      </w:pPr>
      <w:r>
        <w:rPr>
          <w:rFonts w:hint="default"/>
        </w:rPr>
        <w:t>典型案例分析：对于阿联酋，其排名跃升主要归因于基础设施维度（5G 覆盖与算力）的极值拉动；而中国的得分韧性则主要来源于其在全球最高的人才储备得分。</w:t>
      </w:r>
    </w:p>
    <w:p w14:paraId="55D0D752">
      <w:pPr>
        <w:rPr>
          <w:rFonts w:hint="eastAsia" w:eastAsiaTheme="minorEastAsia"/>
          <w:lang w:eastAsia="zh-CN"/>
        </w:rPr>
      </w:pPr>
    </w:p>
    <w:p w14:paraId="5AFF0A5D">
      <w:pPr>
        <w:rPr>
          <w:rFonts w:hint="eastAsia" w:eastAsiaTheme="minorEastAsia"/>
          <w:lang w:eastAsia="zh-CN"/>
        </w:rPr>
      </w:pPr>
    </w:p>
    <w:p w14:paraId="624262C1">
      <w:pPr>
        <w:rPr>
          <w:rFonts w:hint="default"/>
        </w:rPr>
      </w:pPr>
    </w:p>
    <w:p w14:paraId="131A0120">
      <w:pPr>
        <w:rPr/>
      </w:pPr>
      <w:r>
        <w:rPr>
          <w:rFonts w:hint="default"/>
        </w:rPr>
        <w:t>5. 问题三：全球 AI 竞争力时序演化趋势预测 (2026-2035)</w:t>
      </w:r>
    </w:p>
    <w:p w14:paraId="4315A84B">
      <w:pPr>
        <w:rPr>
          <w:rFonts w:hint="default"/>
        </w:rPr>
      </w:pPr>
      <w:r>
        <w:rPr>
          <w:rFonts w:hint="default"/>
        </w:rPr>
        <w:t>5.1 预测模型的选择与构建：ARIMA 框架</w:t>
      </w:r>
    </w:p>
    <w:p w14:paraId="0AE6DCD5">
      <w:pPr>
        <w:rPr>
          <w:rFonts w:hint="default"/>
        </w:rPr>
      </w:pPr>
      <w:r>
        <w:rPr>
          <w:rFonts w:hint="default"/>
        </w:rPr>
        <w:t>为了推演未来十年的竞争格局，本文需要对 19 项底层指标进行长周期的外推。考虑到人工智能领域历史量化数据的时间跨度较短（2016-2025 年共 10 个观测点），采用复杂的深度学习序列模型（如 LSTM 或 Transformer）极易导致过拟合 。</w:t>
      </w:r>
    </w:p>
    <w:p w14:paraId="64CDDB73">
      <w:pPr>
        <w:rPr>
          <w:rFonts w:hint="default"/>
        </w:rPr>
      </w:pPr>
      <w:r>
        <w:rPr>
          <w:rFonts w:hint="default"/>
        </w:rPr>
        <w:t>因此，本文选择了在小样本环境下表现出更强统计稳健性的 ARIMA ($p, d, q$) 模型（差分自回归移动平均模型）。该模型通过以下步骤捕捉指标的动量特征：</w:t>
      </w:r>
    </w:p>
    <w:p w14:paraId="6FF6FA68">
      <w:pPr>
        <w:rPr>
          <w:rFonts w:hint="default"/>
        </w:rPr>
      </w:pPr>
    </w:p>
    <w:p w14:paraId="13A604BB">
      <w:pPr>
        <w:rPr>
          <w:rFonts w:hint="default"/>
        </w:rPr>
      </w:pPr>
      <w:r>
        <w:rPr>
          <w:rFonts w:hint="default"/>
        </w:rPr>
        <w:t>平稳化处理：通过 $d$ 阶差分 $\Delta^d y_t$ 消除原始序列的非平稳趋势。</w:t>
      </w:r>
    </w:p>
    <w:p w14:paraId="0E744C8A">
      <w:pPr>
        <w:rPr>
          <w:rFonts w:hint="default"/>
        </w:rPr>
      </w:pPr>
    </w:p>
    <w:p w14:paraId="6F03B3AD">
      <w:pPr>
        <w:rPr>
          <w:rFonts w:hint="default"/>
        </w:rPr>
      </w:pPr>
    </w:p>
    <w:p w14:paraId="7C56A866">
      <w:pPr>
        <w:rPr>
          <w:rFonts w:hint="default"/>
        </w:rPr>
      </w:pPr>
    </w:p>
    <w:p w14:paraId="5024E9DD">
      <w:pPr>
        <w:rPr>
          <w:rFonts w:hint="default"/>
        </w:rPr>
      </w:pPr>
      <w:r>
        <w:rPr>
          <w:rFonts w:hint="default"/>
        </w:rPr>
        <w:t>模型识别与估计：利用自相关函数（ACF）和偏自相关函数（PACF）初步定阶，并通过 AIC/BIC 信息准则进行参数优化 。</w:t>
      </w:r>
    </w:p>
    <w:p w14:paraId="00140C0B">
      <w:pPr>
        <w:rPr>
          <w:rFonts w:hint="default"/>
        </w:rPr>
      </w:pPr>
    </w:p>
    <w:p w14:paraId="518E6D00">
      <w:pPr>
        <w:rPr>
          <w:rFonts w:hint="default"/>
        </w:rPr>
      </w:pPr>
    </w:p>
    <w:p w14:paraId="5BB38A12">
      <w:pPr>
        <w:rPr>
          <w:rFonts w:hint="default"/>
        </w:rPr>
      </w:pPr>
    </w:p>
    <w:p w14:paraId="44FA72EE">
      <w:pPr>
        <w:rPr>
          <w:rFonts w:hint="default"/>
        </w:rPr>
      </w:pPr>
    </w:p>
    <w:p w14:paraId="24E2A3BD">
      <w:pPr>
        <w:rPr>
          <w:rFonts w:hint="default"/>
        </w:rPr>
      </w:pPr>
      <w:r>
        <w:rPr>
          <w:rFonts w:hint="default"/>
        </w:rPr>
        <w:t>预测与反馈：外推 2026-2035 年的指标原始值，并将其作为输入量代入问题二建立的 GA-BP 评价模型，最终生成各国的年度综合竞争力得分 。</w:t>
      </w:r>
    </w:p>
    <w:p w14:paraId="6FD6E485">
      <w:pPr>
        <w:rPr>
          <w:rFonts w:hint="default"/>
        </w:rPr>
      </w:pPr>
    </w:p>
    <w:p w14:paraId="76DA5289">
      <w:pPr>
        <w:rPr>
          <w:rFonts w:hint="default"/>
        </w:rPr>
      </w:pPr>
    </w:p>
    <w:p w14:paraId="36E5A3D1">
      <w:pPr>
        <w:rPr>
          <w:rFonts w:hint="eastAsia" w:eastAsiaTheme="minorEastAsia"/>
          <w:lang w:eastAsia="zh-CN"/>
        </w:rPr>
      </w:pPr>
      <w:r>
        <w:rPr>
          <w:rFonts w:hint="default"/>
        </w:rPr>
        <w:t>5.2 2035 年全球 AI 竞争格局预测</w:t>
      </w:r>
    </w:p>
    <w:p w14:paraId="443BCA9E">
      <w:pPr>
        <w:rPr>
          <w:rFonts w:hint="eastAsia" w:eastAsiaTheme="minorEastAsia"/>
          <w:lang w:eastAsia="zh-CN"/>
        </w:rPr>
      </w:pPr>
      <w:r>
        <w:rPr>
          <w:rFonts w:hint="default"/>
          <w:lang w:eastAsia="zh-CN"/>
        </w:rPr>
        <w:drawing>
          <wp:inline distT="0" distB="0" distL="114300" distR="114300">
            <wp:extent cx="5274310" cy="3013710"/>
            <wp:effectExtent l="0" t="0" r="13970" b="3810"/>
            <wp:docPr id="8" name="图片 8"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igure_1"/>
                    <pic:cNvPicPr>
                      <a:picLocks noChangeAspect="1"/>
                    </pic:cNvPicPr>
                  </pic:nvPicPr>
                  <pic:blipFill>
                    <a:blip r:embed="rId10"/>
                    <a:stretch>
                      <a:fillRect/>
                    </a:stretch>
                  </pic:blipFill>
                  <pic:spPr>
                    <a:xfrm>
                      <a:off x="0" y="0"/>
                      <a:ext cx="5274310" cy="3013710"/>
                    </a:xfrm>
                    <a:prstGeom prst="rect">
                      <a:avLst/>
                    </a:prstGeom>
                  </pic:spPr>
                </pic:pic>
              </a:graphicData>
            </a:graphic>
          </wp:inline>
        </w:drawing>
      </w:r>
    </w:p>
    <w:p w14:paraId="49148D11">
      <w:pPr>
        <w:rPr>
          <w:rFonts w:hint="default"/>
        </w:rPr>
      </w:pPr>
      <w:r>
        <w:rPr>
          <w:rFonts w:hint="default"/>
        </w:rPr>
        <w:t>通过对 10 个样本国家的时序模拟，图 6 揭示了全球 AI 竞争力的动态演化特征：</w:t>
      </w:r>
    </w:p>
    <w:p w14:paraId="33DCF98D">
      <w:pPr>
        <w:rPr>
          <w:rFonts w:hint="default"/>
        </w:rPr>
      </w:pPr>
    </w:p>
    <w:p w14:paraId="6BE3DADB">
      <w:pPr>
        <w:rPr>
          <w:rFonts w:hint="default"/>
        </w:rPr>
      </w:pPr>
    </w:p>
    <w:p w14:paraId="0F032BC2">
      <w:pPr>
        <w:rPr>
          <w:rFonts w:hint="default"/>
        </w:rPr>
      </w:pPr>
      <w:r>
        <w:rPr>
          <w:rFonts w:hint="default"/>
        </w:rPr>
        <w:t>中美双极的稳态与收敛：在基准预测情景下（不考虑额外政策干预），美国和中国依然占据绝对领先地位。虽然美国在 2035 年以 90.87 分 维持基准排名第一，但中国的增长斜率更为显著，得分达到 86.51 分，两国间的绝对差距较 2025 年进一步收敛。</w:t>
      </w:r>
    </w:p>
    <w:p w14:paraId="0B365A98">
      <w:pPr>
        <w:rPr>
          <w:rFonts w:hint="default"/>
        </w:rPr>
      </w:pPr>
    </w:p>
    <w:p w14:paraId="3F075D0C">
      <w:pPr>
        <w:rPr>
          <w:rFonts w:hint="default"/>
        </w:rPr>
      </w:pPr>
    </w:p>
    <w:p w14:paraId="34D08977">
      <w:pPr>
        <w:rPr>
          <w:rFonts w:hint="default"/>
        </w:rPr>
      </w:pPr>
    </w:p>
    <w:p w14:paraId="445C7B41">
      <w:pPr>
        <w:rPr>
          <w:rFonts w:hint="default"/>
        </w:rPr>
      </w:pPr>
    </w:p>
    <w:p w14:paraId="150EF8EE">
      <w:pPr>
        <w:rPr>
          <w:rFonts w:hint="default"/>
        </w:rPr>
      </w:pPr>
      <w:r>
        <w:rPr>
          <w:rFonts w:hint="default"/>
        </w:rPr>
        <w:t>第二梯队的剧烈洗牌：英国、阿联酋、韩国等国构成的第二梯队竞争异常激烈。预测显示，阿联酋凭借在主权算力建设上的持续投入，其增长曲线表现出明显的“非线性跃迁”特征，稳居全球第四并逼近第三名英国 。</w:t>
      </w:r>
    </w:p>
    <w:p w14:paraId="196BA3E0">
      <w:pPr>
        <w:rPr>
          <w:rFonts w:hint="default"/>
        </w:rPr>
      </w:pPr>
    </w:p>
    <w:p w14:paraId="4511615D">
      <w:pPr>
        <w:rPr/>
      </w:pPr>
      <w:r>
        <w:t>5.3 预测结果评价与演化特征总结</w:t>
      </w:r>
    </w:p>
    <w:p w14:paraId="536FB9B2">
      <w:pPr>
        <w:rPr/>
      </w:pPr>
      <w:r>
        <w:t>根据模型预测结果，本文对未来十年的演化趋势总结如下：</w:t>
      </w:r>
    </w:p>
    <w:p w14:paraId="5C3CD047">
      <w:pPr>
        <w:rPr/>
      </w:pPr>
    </w:p>
    <w:p w14:paraId="42EA7E02">
      <w:pPr>
        <w:rPr/>
      </w:pPr>
      <w:r>
        <w:t>增长动量的差异化：美国竞争力的维持主要依赖于存量优势（如既有的科研生态和资本厚度），而中国与阿联酋的增长则主要由增量指标（如 5G 覆盖率、算力扩张速度）驱动 。</w:t>
      </w:r>
    </w:p>
    <w:p w14:paraId="55D6F338">
      <w:pPr>
        <w:rPr/>
      </w:pPr>
    </w:p>
    <w:p w14:paraId="32D3D112">
      <w:pPr>
        <w:rPr/>
      </w:pPr>
      <w:r>
        <w:t>马太效应的局部缓解：虽然顶端优势依然稳固，但部分具备资源优势（如 UAE 的能源与算力耦合）或政策韧性（如韩国的半导体战略）的国家正在缩小与第一梯队的相对距离，全球 AI 格局正由“单极垄断”向“多极竞逐”过渡 。</w:t>
      </w:r>
    </w:p>
    <w:p w14:paraId="6A25434F">
      <w:pPr>
        <w:rPr/>
      </w:pPr>
    </w:p>
    <w:p w14:paraId="219C776E"/>
    <w:p w14:paraId="5D0984BC">
      <w:pPr>
        <w:rPr/>
      </w:pPr>
      <w:r>
        <w:rPr>
          <w:rFonts w:hint="default"/>
        </w:rPr>
        <w:t>6. 问题四：基于边际收益最大化的战略投资优化</w:t>
      </w:r>
    </w:p>
    <w:p w14:paraId="27E8C964">
      <w:pPr>
        <w:rPr>
          <w:rFonts w:hint="default"/>
        </w:rPr>
      </w:pPr>
      <w:r>
        <w:rPr>
          <w:rFonts w:hint="default"/>
        </w:rPr>
        <w:t>6.1 决策模型：带有滞后效应的非线性规划 (NLP)</w:t>
      </w:r>
    </w:p>
    <w:p w14:paraId="02BD308D">
      <w:pPr>
        <w:rPr>
          <w:rFonts w:hint="default"/>
        </w:rPr>
      </w:pPr>
      <w:r>
        <w:rPr>
          <w:rFonts w:hint="default"/>
        </w:rPr>
        <w:t>针对中国计划在 2026 年启动的 1 万亿人民币专项资金 1，本文构建了一个动态决策模型，旨在通过科学的资源配置，实现 2035 年中国 AI 综合竞争力的最大化 [</w:t>
      </w:r>
      <w:r>
        <w:rPr>
          <w:rFonts w:hint="eastAsia"/>
          <w:lang w:val="en-US" w:eastAsia="zh-CN"/>
        </w:rPr>
        <w:t>7</w:t>
      </w:r>
      <w:r>
        <w:rPr>
          <w:rFonts w:hint="default"/>
        </w:rPr>
        <w:t>] 。</w:t>
      </w:r>
    </w:p>
    <w:p w14:paraId="5EAE30A3">
      <w:pPr>
        <w:rPr>
          <w:rFonts w:hint="default"/>
        </w:rPr>
      </w:pPr>
      <w:r>
        <w:rPr>
          <w:rFonts w:hint="default"/>
        </w:rPr>
        <w:t>6.1.1 目标函数设计</w:t>
      </w:r>
    </w:p>
    <w:p w14:paraId="18D03152">
      <w:pPr>
        <w:rPr>
          <w:rFonts w:hint="default"/>
        </w:rPr>
      </w:pPr>
      <w:r>
        <w:rPr>
          <w:rFonts w:hint="default"/>
        </w:rPr>
        <w:t>由于投资对 AI 竞争力的提升具有复杂的非线性特征，我们将目标函数设定为 2035 年综合得分（加权平均）的最大化：</w:t>
      </w:r>
    </w:p>
    <w:p w14:paraId="6C3E895F">
      <w:pPr>
        <w:rPr>
          <w:rFonts w:hint="default"/>
        </w:rPr>
      </w:pPr>
      <w:r>
        <w:rPr>
          <w:rFonts w:hint="default"/>
          <w:lang w:val="en-US" w:eastAsia="zh-CN"/>
        </w:rPr>
        <w:t>$$\max \quad S_{2035} = \text{Score}( \mathbf{R}_{base, 2035} + \Delta \mathbf{R}_{invest, 2035} )$$</w:t>
      </w:r>
    </w:p>
    <w:p w14:paraId="57BE4F01">
      <w:pPr>
        <w:rPr>
          <w:rFonts w:hint="default"/>
        </w:rPr>
      </w:pPr>
      <w:r>
        <w:rPr>
          <w:rFonts w:hint="default"/>
        </w:rPr>
        <w:t>其中，$\mathbf{R}_{base, 2035}$ 为基准预测的原始指标矩阵 3，$\Delta \mathbf{R}_{invest}$ 为投资产生的指标增量。</w:t>
      </w:r>
    </w:p>
    <w:p w14:paraId="3BDAEE31">
      <w:pPr>
        <w:rPr>
          <w:rFonts w:hint="default"/>
        </w:rPr>
      </w:pPr>
      <w:r>
        <w:rPr>
          <w:rFonts w:hint="default"/>
        </w:rPr>
        <w:t>6.1.2 投资影响函数：边际效用与滞后效应</w:t>
      </w:r>
    </w:p>
    <w:p w14:paraId="3E5C8C57">
      <w:pPr>
        <w:rPr>
          <w:rFonts w:hint="default"/>
        </w:rPr>
      </w:pPr>
      <w:r>
        <w:rPr>
          <w:rFonts w:hint="default"/>
        </w:rPr>
        <w:t>本文引入了符合经济学规律的投资影响模型：</w:t>
      </w:r>
    </w:p>
    <w:p w14:paraId="45D6031E">
      <w:pPr>
        <w:rPr>
          <w:rFonts w:hint="default"/>
        </w:rPr>
      </w:pPr>
    </w:p>
    <w:p w14:paraId="4F142986">
      <w:pPr>
        <w:rPr>
          <w:rFonts w:hint="default"/>
        </w:rPr>
      </w:pPr>
      <w:r>
        <w:rPr>
          <w:rFonts w:hint="default"/>
        </w:rPr>
        <w:t>对数边际收益递减：模拟了资源投入初期效果显著、后期趋于饱和的特征。</w:t>
      </w:r>
    </w:p>
    <w:p w14:paraId="4F7D6F7F">
      <w:pPr>
        <w:rPr>
          <w:rFonts w:hint="default"/>
        </w:rPr>
      </w:pPr>
    </w:p>
    <w:p w14:paraId="12EA299D">
      <w:pPr>
        <w:rPr>
          <w:rFonts w:hint="default"/>
        </w:rPr>
      </w:pPr>
    </w:p>
    <w:p w14:paraId="6712D549">
      <w:pPr>
        <w:rPr>
          <w:rFonts w:hint="default"/>
        </w:rPr>
      </w:pPr>
      <w:r>
        <w:rPr>
          <w:rFonts w:hint="default"/>
        </w:rPr>
        <w:t>滞后效应 (Lag Effect)：考虑了从资金投入到产生显性竞争力（如人才毕业、算力中心建成）的物理周期。</w:t>
      </w:r>
    </w:p>
    <w:p w14:paraId="01FE524F">
      <w:pPr>
        <w:rPr>
          <w:rFonts w:hint="default"/>
        </w:rPr>
      </w:pPr>
    </w:p>
    <w:p w14:paraId="25D4DC2D">
      <w:pPr>
        <w:rPr>
          <w:rFonts w:hint="default"/>
        </w:rPr>
      </w:pPr>
    </w:p>
    <w:p w14:paraId="4EA86965">
      <w:pPr>
        <w:rPr>
          <w:rFonts w:hint="default"/>
        </w:rPr>
      </w:pPr>
      <w:r>
        <w:rPr>
          <w:rFonts w:hint="default"/>
        </w:rPr>
        <w:t>衰减因子 (Decay)：模拟了早期投资随时间推移而产生的技术折旧或人才流失。</w:t>
      </w:r>
    </w:p>
    <w:p w14:paraId="61E4731D">
      <w:pPr>
        <w:rPr>
          <w:rFonts w:hint="default"/>
        </w:rPr>
      </w:pPr>
    </w:p>
    <w:p w14:paraId="55FE97F8">
      <w:pPr>
        <w:rPr>
          <w:rFonts w:hint="default"/>
        </w:rPr>
      </w:pPr>
      <w:r>
        <w:rPr>
          <w:rFonts w:hint="default"/>
        </w:rPr>
        <w:t>单个维度的指标增量计算公式如下：</w:t>
      </w:r>
    </w:p>
    <w:p w14:paraId="4A2181D2">
      <w:pPr>
        <w:rPr>
          <w:rFonts w:hint="default"/>
        </w:rPr>
      </w:pPr>
      <w:r>
        <w:rPr>
          <w:rFonts w:hint="default"/>
          <w:lang w:val="en-US" w:eastAsia="zh-CN"/>
        </w:rPr>
        <w:t>$$\Delta z_{t, k} = S_k \cdot \ln(1 + \frac{u_{t, k}}{B_k}) \cdot \text{decay}_k^{(2035 - (t + lag_k))}$$</w:t>
      </w:r>
    </w:p>
    <w:p w14:paraId="6A426AE3">
      <w:pPr>
        <w:rPr>
          <w:rFonts w:hint="default"/>
        </w:rPr>
      </w:pPr>
      <w:r>
        <w:rPr>
          <w:rFonts w:hint="default"/>
        </w:rPr>
        <w:t>其中 $u_{t, k}$ 为第 $t$ 年在第 $k$ 维度的投资额。</w:t>
      </w:r>
    </w:p>
    <w:p w14:paraId="765B238B">
      <w:pPr>
        <w:rPr>
          <w:rFonts w:hint="default"/>
        </w:rPr>
      </w:pPr>
      <w:r>
        <w:rPr>
          <w:rFonts w:hint="default"/>
        </w:rPr>
        <w:t>6.1.3 约束条件</w:t>
      </w:r>
    </w:p>
    <w:p w14:paraId="121E363E">
      <w:pPr>
        <w:rPr>
          <w:rFonts w:hint="default"/>
        </w:rPr>
      </w:pPr>
    </w:p>
    <w:p w14:paraId="050E6B16">
      <w:pPr>
        <w:rPr>
          <w:rFonts w:hint="default"/>
        </w:rPr>
      </w:pPr>
    </w:p>
    <w:p w14:paraId="0760399B">
      <w:pPr>
        <w:rPr>
          <w:rFonts w:hint="default"/>
        </w:rPr>
      </w:pPr>
      <w:r>
        <w:rPr>
          <w:rFonts w:hint="default"/>
        </w:rPr>
        <w:t>总预算限制：$\sum_{t=2026}^{2035} \sum_{k=1}^{5} u_{t, k} \leq 10^{12}$ 元 4。</w:t>
      </w:r>
    </w:p>
    <w:p w14:paraId="7B7C0294">
      <w:pPr>
        <w:rPr>
          <w:rFonts w:hint="default"/>
        </w:rPr>
      </w:pPr>
    </w:p>
    <w:p w14:paraId="10F8E87F">
      <w:pPr>
        <w:rPr>
          <w:rFonts w:hint="default"/>
        </w:rPr>
      </w:pPr>
    </w:p>
    <w:p w14:paraId="381BAD1D">
      <w:pPr>
        <w:rPr>
          <w:rFonts w:hint="default"/>
        </w:rPr>
      </w:pPr>
    </w:p>
    <w:p w14:paraId="03815BFE">
      <w:pPr>
        <w:rPr>
          <w:rFonts w:hint="default"/>
        </w:rPr>
      </w:pPr>
      <w:r>
        <w:rPr>
          <w:rFonts w:hint="default"/>
        </w:rPr>
        <w:t>维度比例约束：为保证发展的均衡性，设定各维度的资金占比上限与下限。例如，基础设施占比需在 25%-50% 之间，人才储备占比需在 15%-35% 之间。</w:t>
      </w:r>
    </w:p>
    <w:p w14:paraId="76B36B4D">
      <w:pPr>
        <w:rPr>
          <w:rFonts w:hint="default"/>
        </w:rPr>
      </w:pPr>
    </w:p>
    <w:p w14:paraId="02C85308">
      <w:pPr>
        <w:rPr>
          <w:rFonts w:hint="default"/>
        </w:rPr>
      </w:pPr>
      <w:r>
        <w:rPr>
          <w:rFonts w:hint="default"/>
        </w:rPr>
        <w:t>6.2 1 万亿专项资金的最优分配方案</w:t>
      </w:r>
    </w:p>
    <w:p w14:paraId="411FE09D">
      <w:pPr>
        <w:rPr>
          <w:rFonts w:hint="default"/>
        </w:rPr>
      </w:pPr>
      <w:r>
        <w:rPr>
          <w:rFonts w:hint="default"/>
        </w:rPr>
        <w:t>通过非线性规划求解（NLP），本文得出了最优的资金投向方案：</w:t>
      </w:r>
    </w:p>
    <w:p w14:paraId="21430665">
      <w:pPr>
        <w:rPr>
          <w:rFonts w:hint="eastAsia" w:eastAsiaTheme="minorEastAsia"/>
          <w:lang w:eastAsia="zh-CN"/>
        </w:rPr>
      </w:pPr>
      <w:r>
        <w:rPr>
          <w:rFonts w:hint="eastAsia" w:eastAsiaTheme="minorEastAsia"/>
          <w:lang w:eastAsia="zh-CN"/>
        </w:rPr>
        <w:drawing>
          <wp:inline distT="0" distB="0" distL="114300" distR="114300">
            <wp:extent cx="5266690" cy="2603500"/>
            <wp:effectExtent l="0" t="0" r="6350" b="2540"/>
            <wp:docPr id="9" name="图片 9" descr="problem4_investment_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problem4_investment_plan"/>
                    <pic:cNvPicPr>
                      <a:picLocks noChangeAspect="1"/>
                    </pic:cNvPicPr>
                  </pic:nvPicPr>
                  <pic:blipFill>
                    <a:blip r:embed="rId11"/>
                    <a:stretch>
                      <a:fillRect/>
                    </a:stretch>
                  </pic:blipFill>
                  <pic:spPr>
                    <a:xfrm>
                      <a:off x="0" y="0"/>
                      <a:ext cx="5266690" cy="2603500"/>
                    </a:xfrm>
                    <a:prstGeom prst="rect">
                      <a:avLst/>
                    </a:prstGeom>
                  </pic:spPr>
                </pic:pic>
              </a:graphicData>
            </a:graphic>
          </wp:inline>
        </w:drawing>
      </w:r>
    </w:p>
    <w:p w14:paraId="486C9A8B">
      <w:pPr>
        <w:rPr>
          <w:rFonts w:hint="default"/>
        </w:rPr>
      </w:pPr>
      <w:r>
        <w:rPr>
          <w:rFonts w:hint="default"/>
        </w:rPr>
        <w:t>核心投向：基础设施与人才培养：根据 problem4_investment_plan_2026_2035.csv 的数据，模型将最高比例的资金（约 35%）拨付至基础设施，以强化算力和数据底座。同时，人才储备获得了约 28% 的预算，作为长期创新的核心支撑。</w:t>
      </w:r>
    </w:p>
    <w:p w14:paraId="4EACF818">
      <w:pPr>
        <w:rPr>
          <w:rFonts w:hint="default"/>
        </w:rPr>
      </w:pPr>
      <w:r>
        <w:rPr>
          <w:rFonts w:hint="default"/>
        </w:rPr>
        <w:t>时间轴上的“前瞻性布局”：如图所示，模型建议在 2026-2030 年间进行大规模的初期投资。这一策略是为了有效对冲投资滞后效应，确保相关人才和技术成果在 2035 年评估节点达到产出的峰值。</w:t>
      </w:r>
    </w:p>
    <w:p w14:paraId="7372A40B">
      <w:pPr>
        <w:rPr>
          <w:rFonts w:hint="default"/>
        </w:rPr>
      </w:pPr>
    </w:p>
    <w:p w14:paraId="367AAF27">
      <w:pPr>
        <w:rPr>
          <w:rFonts w:hint="default"/>
        </w:rPr>
      </w:pPr>
      <w:r>
        <w:rPr>
          <w:rFonts w:hint="default"/>
        </w:rPr>
        <w:t>6.3 投资后的竞争力提升与排名跃迁</w:t>
      </w:r>
    </w:p>
    <w:p w14:paraId="05222AD7">
      <w:pPr>
        <w:rPr>
          <w:rFonts w:hint="default"/>
        </w:rPr>
      </w:pPr>
    </w:p>
    <w:p w14:paraId="52F5AAAE">
      <w:pPr>
        <w:rPr>
          <w:rFonts w:hint="default"/>
        </w:rPr>
      </w:pPr>
      <w:r>
        <w:rPr>
          <w:rFonts w:hint="default"/>
        </w:rPr>
        <w:t xml:space="preserve">得分显著增强：在投入 1 万亿资金后，中国 2035 年的综合竞争力得分从基准情景下的 86.51 飙升至 </w:t>
      </w:r>
      <w:r>
        <w:rPr>
          <w:rFonts w:hint="eastAsia"/>
          <w:lang w:val="en-US" w:eastAsia="zh-CN"/>
        </w:rPr>
        <w:t>97.04</w:t>
      </w:r>
      <w:r>
        <w:rPr>
          <w:rFonts w:hint="default"/>
        </w:rPr>
        <w:t>，实现了</w:t>
      </w:r>
      <w:r>
        <w:rPr>
          <w:rFonts w:hint="eastAsia"/>
          <w:lang w:val="en-US" w:eastAsia="zh-CN"/>
        </w:rPr>
        <w:t>10.53</w:t>
      </w:r>
      <w:r>
        <w:rPr>
          <w:rFonts w:hint="default"/>
        </w:rPr>
        <w:t>分 的战略增益。</w:t>
      </w:r>
    </w:p>
    <w:p w14:paraId="18C54350">
      <w:pPr>
        <w:rPr>
          <w:rFonts w:hint="default"/>
        </w:rPr>
      </w:pPr>
    </w:p>
    <w:p w14:paraId="296AE907">
      <w:pPr>
        <w:rPr>
          <w:rFonts w:hint="default"/>
        </w:rPr>
      </w:pPr>
      <w:r>
        <w:rPr>
          <w:rFonts w:hint="eastAsia"/>
          <w:lang w:val="en-US" w:eastAsia="zh-CN"/>
        </w:rPr>
        <w:t>排名变化</w:t>
      </w:r>
      <w:r>
        <w:rPr>
          <w:rFonts w:hint="default"/>
        </w:rPr>
        <w:t>：在基准预测中，中国位居第二。但在实施最优投资计划后，</w:t>
      </w:r>
      <w:r>
        <w:rPr>
          <w:rFonts w:hint="eastAsia"/>
          <w:lang w:val="en-US" w:eastAsia="zh-CN"/>
        </w:rPr>
        <w:t>中国依然处于第二位，这说明当前美国整体ai实力强大，赶超美国任然需要很大努力。</w:t>
      </w:r>
    </w:p>
    <w:p w14:paraId="0BD85464">
      <w:pPr>
        <w:rPr>
          <w:rFonts w:hint="default"/>
        </w:rPr>
      </w:pPr>
      <w:r>
        <w:rPr>
          <w:rFonts w:hint="default"/>
        </w:rPr>
        <w:t>6.4 投资策略的具体建议 (Policy Recommendations)</w:t>
      </w:r>
    </w:p>
    <w:p w14:paraId="2EEFE1F6">
      <w:pPr>
        <w:rPr>
          <w:rFonts w:hint="default"/>
        </w:rPr>
      </w:pPr>
      <w:r>
        <w:rPr>
          <w:rFonts w:hint="default"/>
        </w:rPr>
        <w:t>根据模型求解结果，本文为决策层提出以下建议：</w:t>
      </w:r>
    </w:p>
    <w:p w14:paraId="515A000D">
      <w:pPr>
        <w:rPr>
          <w:rFonts w:hint="default"/>
        </w:rPr>
      </w:pPr>
      <w:r>
        <w:rPr>
          <w:rFonts w:hint="default"/>
        </w:rPr>
        <w:t>优先保障长周期维度：鉴于人才和科研具有明显的滞后性，应在 2026-2028 年优先启动相关专项，避免“临阵磨枪”。</w:t>
      </w:r>
    </w:p>
    <w:p w14:paraId="5F864BB5">
      <w:pPr>
        <w:rPr>
          <w:rFonts w:hint="default"/>
        </w:rPr>
      </w:pPr>
      <w:r>
        <w:rPr>
          <w:rFonts w:hint="default"/>
        </w:rPr>
        <w:t>算力基建的适度超前：基础设施虽然边际收益递减较快，但它是其他维度发挥效能的底层物理支撑，应在 2030 年前完成全国范围内的算力集群优化。</w:t>
      </w:r>
    </w:p>
    <w:p w14:paraId="65D75357">
      <w:pPr>
        <w:rPr>
          <w:rFonts w:hint="eastAsia" w:eastAsiaTheme="minorEastAsia"/>
          <w:lang w:eastAsia="zh-CN"/>
        </w:rPr>
      </w:pPr>
    </w:p>
    <w:p w14:paraId="194B54C6">
      <w:pPr>
        <w:rPr>
          <w:rFonts w:hint="default"/>
        </w:rPr>
      </w:pPr>
      <w:r>
        <w:rPr>
          <w:rFonts w:hint="default"/>
        </w:rPr>
        <w:t>. 灵敏度分析与模型评价 (Sensitivity Analysis &amp; Evaluation)</w:t>
      </w:r>
    </w:p>
    <w:p w14:paraId="0AE8851F">
      <w:pPr>
        <w:rPr>
          <w:rFonts w:hint="default"/>
        </w:rPr>
      </w:pPr>
      <w:r>
        <w:rPr>
          <w:rFonts w:hint="default"/>
        </w:rPr>
        <w:t>在完成核心建模与求解后，本章将对模型的稳健性进行压力测试，并客观评估本文构建的评价-预测-优化体系的优劣。</w:t>
      </w:r>
    </w:p>
    <w:p w14:paraId="0E3F6A5F">
      <w:pPr>
        <w:rPr>
          <w:rFonts w:hint="default"/>
        </w:rPr>
      </w:pPr>
      <w:r>
        <w:rPr>
          <w:rFonts w:hint="default"/>
        </w:rPr>
        <w:t>7.1 灵敏度分析：投资参数的扰动测试</w:t>
      </w:r>
    </w:p>
    <w:p w14:paraId="3553FF0C">
      <w:pPr>
        <w:rPr>
          <w:rFonts w:hint="default"/>
        </w:rPr>
      </w:pPr>
      <w:r>
        <w:rPr>
          <w:rFonts w:hint="default"/>
        </w:rPr>
        <w:t>为了验证问题四中战略投资建议的稳健性，本文选取了投资决策模型中的两个关键敏感因子进行扰动分析：投资滞后期 ($lag$) 和 各维度资金上限 ($Max\_Share$)。</w:t>
      </w:r>
    </w:p>
    <w:p w14:paraId="769EBBDE">
      <w:pPr>
        <w:rPr>
          <w:rFonts w:hint="default"/>
        </w:rPr>
      </w:pPr>
    </w:p>
    <w:p w14:paraId="749B486E">
      <w:pPr>
        <w:rPr>
          <w:rFonts w:hint="default"/>
        </w:rPr>
      </w:pPr>
      <w:r>
        <w:rPr>
          <w:rFonts w:hint="default"/>
        </w:rPr>
        <w:t>滞后期的敏感性 (Lag Sensitivity)：</w:t>
      </w:r>
    </w:p>
    <w:p w14:paraId="58446F0B">
      <w:pPr>
        <w:rPr>
          <w:rFonts w:hint="default"/>
        </w:rPr>
      </w:pPr>
    </w:p>
    <w:p w14:paraId="697227C3">
      <w:pPr>
        <w:rPr>
          <w:rFonts w:hint="default"/>
        </w:rPr>
      </w:pPr>
      <w:r>
        <w:rPr>
          <w:rFonts w:hint="default"/>
        </w:rPr>
        <w:t>我们将 人才储备 (Talent) 维度的滞后期 $lag$ 在 $[1, 3]$ 年之间进行扰动。实验发现，当 $lag$ 每增加一年，2035 年的预期竞争力得分将下降约 1.8%。这定量地证实了“早起步”的重要性——在 AI 人才培养上，初期的领先优势具有极强的复利效应。</w:t>
      </w:r>
    </w:p>
    <w:p w14:paraId="45897FA0">
      <w:pPr>
        <w:rPr>
          <w:rFonts w:hint="default"/>
        </w:rPr>
      </w:pPr>
    </w:p>
    <w:p w14:paraId="03089115">
      <w:pPr>
        <w:rPr>
          <w:rFonts w:hint="default"/>
        </w:rPr>
      </w:pPr>
    </w:p>
    <w:p w14:paraId="706AE18A">
      <w:pPr>
        <w:rPr>
          <w:rFonts w:hint="default"/>
        </w:rPr>
      </w:pPr>
      <w:r>
        <w:rPr>
          <w:rFonts w:hint="default"/>
        </w:rPr>
        <w:t>预算约束的灵敏度 (Constraint Sensitivity)：</w:t>
      </w:r>
    </w:p>
    <w:p w14:paraId="14F2F967">
      <w:pPr>
        <w:rPr>
          <w:rFonts w:hint="default"/>
        </w:rPr>
      </w:pPr>
    </w:p>
    <w:p w14:paraId="391B0E7F">
      <w:pPr>
        <w:rPr>
          <w:rFonts w:hint="default"/>
        </w:rPr>
      </w:pPr>
      <w:r>
        <w:rPr>
          <w:rFonts w:hint="default"/>
        </w:rPr>
        <w:t>放宽 基础设施 (Infrastructure) 的资金占比上限（从 50% 提高至 60%）。结果显示，虽然增加基建投入能带来短期的得分激增，但由于边际效用递减规律，其对 2035 年最终得分的边际贡献率逐渐下降，且会导致人才和科研维度的“挤出效应”。这证明了本文在 6.1.3 节中设定的维度比例约束能有效维持系统发展的平衡性。</w:t>
      </w:r>
    </w:p>
    <w:p w14:paraId="2C6546F6">
      <w:pPr>
        <w:rPr>
          <w:rFonts w:hint="default"/>
        </w:rPr>
      </w:pPr>
    </w:p>
    <w:p w14:paraId="1AB648F7">
      <w:pPr>
        <w:rPr>
          <w:rFonts w:hint="default"/>
        </w:rPr>
      </w:pPr>
      <w:r>
        <w:rPr>
          <w:rFonts w:hint="default"/>
        </w:rPr>
        <w:t>7.2 模型的优缺点总结</w:t>
      </w:r>
    </w:p>
    <w:p w14:paraId="3CFD14FD">
      <w:pPr>
        <w:rPr>
          <w:rFonts w:hint="default"/>
        </w:rPr>
      </w:pPr>
      <w:r>
        <w:rPr>
          <w:rFonts w:hint="default"/>
        </w:rPr>
        <w:t>7.2.1 模型优点 (Strengths)</w:t>
      </w:r>
    </w:p>
    <w:p w14:paraId="39293FEE">
      <w:pPr>
        <w:rPr>
          <w:rFonts w:hint="default"/>
        </w:rPr>
      </w:pPr>
    </w:p>
    <w:p w14:paraId="7C1C9F2E">
      <w:pPr>
        <w:rPr>
          <w:rFonts w:hint="default"/>
        </w:rPr>
      </w:pPr>
      <w:r>
        <w:rPr>
          <w:rFonts w:hint="default"/>
        </w:rPr>
        <w:t>非线性建模的深度解析：采用 Self-Attention 与 GA-BP 耦合模型，成功打破了传统线性加权法的局限，捕捉到了 AI 发展中“软硬环境”之间复杂的互补与制约关系。</w:t>
      </w:r>
    </w:p>
    <w:p w14:paraId="2315B0DB">
      <w:pPr>
        <w:rPr>
          <w:rFonts w:hint="default"/>
        </w:rPr>
      </w:pPr>
    </w:p>
    <w:p w14:paraId="097BEB62">
      <w:pPr>
        <w:rPr>
          <w:rFonts w:hint="default"/>
        </w:rPr>
      </w:pPr>
    </w:p>
    <w:p w14:paraId="696943EF">
      <w:pPr>
        <w:rPr>
          <w:rFonts w:hint="default"/>
        </w:rPr>
      </w:pPr>
      <w:r>
        <w:rPr>
          <w:rFonts w:hint="default"/>
        </w:rPr>
        <w:t>“黑盒”模型的可解释化：引入 SHAP 归一化 与 Shapley 值分析，使得深度学习的评估结果具有了明确的物理含义，能够为政策制定者提供具体的归因建议。</w:t>
      </w:r>
    </w:p>
    <w:p w14:paraId="32609D95">
      <w:pPr>
        <w:rPr>
          <w:rFonts w:hint="default"/>
        </w:rPr>
      </w:pPr>
    </w:p>
    <w:p w14:paraId="77C90A24">
      <w:pPr>
        <w:rPr>
          <w:rFonts w:hint="default"/>
        </w:rPr>
      </w:pPr>
    </w:p>
    <w:p w14:paraId="487E3FC0">
      <w:pPr>
        <w:rPr>
          <w:rFonts w:hint="default"/>
        </w:rPr>
      </w:pPr>
      <w:r>
        <w:rPr>
          <w:rFonts w:hint="default"/>
        </w:rPr>
        <w:t>决策模型的实战价值：问题四的优化模型不仅考虑了资金数额，更耦合了滞后效应与衰减效应，使 1 万亿资金的分配方案更符合现实中的宏观调控逻辑。</w:t>
      </w:r>
    </w:p>
    <w:p w14:paraId="65432501">
      <w:pPr>
        <w:rPr>
          <w:rFonts w:hint="default"/>
        </w:rPr>
      </w:pPr>
    </w:p>
    <w:p w14:paraId="3238A0F8">
      <w:pPr>
        <w:rPr>
          <w:rFonts w:hint="default"/>
        </w:rPr>
      </w:pPr>
    </w:p>
    <w:p w14:paraId="596C4A8C">
      <w:pPr>
        <w:rPr>
          <w:rFonts w:hint="default"/>
        </w:rPr>
      </w:pPr>
      <w:r>
        <w:rPr>
          <w:rFonts w:hint="default"/>
        </w:rPr>
        <w:t>统计预测的稳健性：在小样本背景下选择 ARIMA 而非 LSTM，确保了长周期预测不会因过拟合而偏离技术动量轨迹。</w:t>
      </w:r>
    </w:p>
    <w:p w14:paraId="749230D0">
      <w:pPr>
        <w:rPr>
          <w:rFonts w:hint="default"/>
        </w:rPr>
      </w:pPr>
    </w:p>
    <w:p w14:paraId="60D687D0">
      <w:pPr>
        <w:rPr>
          <w:rFonts w:hint="default"/>
        </w:rPr>
      </w:pPr>
      <w:r>
        <w:rPr>
          <w:rFonts w:hint="default"/>
        </w:rPr>
        <w:t>7.2.2 模型缺点 (Weaknesses)</w:t>
      </w:r>
    </w:p>
    <w:p w14:paraId="11CA15F3">
      <w:pPr>
        <w:rPr>
          <w:rFonts w:hint="default"/>
        </w:rPr>
      </w:pPr>
    </w:p>
    <w:p w14:paraId="50FEEAAC">
      <w:pPr>
        <w:rPr>
          <w:rFonts w:hint="default"/>
        </w:rPr>
      </w:pPr>
      <w:r>
        <w:rPr>
          <w:rFonts w:hint="default"/>
        </w:rPr>
        <w:t>历史动量的依赖性：ARIMA 模型本质上是历史趋势的线性外推，难以预测未来十年可能出现的“技术奇点”（如通用人工智能 AGI 的突发性突破）对竞争格局的颠覆。</w:t>
      </w:r>
    </w:p>
    <w:p w14:paraId="52AA4F23">
      <w:pPr>
        <w:rPr>
          <w:rFonts w:hint="default"/>
        </w:rPr>
      </w:pPr>
    </w:p>
    <w:p w14:paraId="226B536C">
      <w:pPr>
        <w:rPr>
          <w:rFonts w:hint="default"/>
        </w:rPr>
      </w:pPr>
    </w:p>
    <w:p w14:paraId="7C5E98FE">
      <w:pPr>
        <w:rPr>
          <w:rFonts w:hint="default"/>
        </w:rPr>
      </w:pPr>
      <w:r>
        <w:rPr>
          <w:rFonts w:hint="default"/>
        </w:rPr>
        <w:t>参数估计的经验性：投资效用函数中的饱和系数 $B$ 与强度系数 $S$ 具有一定的经验属性，其精确度受限于公开市场数据的透明度。</w:t>
      </w:r>
    </w:p>
    <w:p w14:paraId="04C721CA">
      <w:pPr>
        <w:rPr>
          <w:rFonts w:hint="default"/>
        </w:rPr>
      </w:pPr>
    </w:p>
    <w:p w14:paraId="086EF88E">
      <w:pPr>
        <w:rPr>
          <w:rFonts w:hint="default"/>
        </w:rPr>
      </w:pPr>
      <w:r>
        <w:rPr>
          <w:rFonts w:hint="default"/>
        </w:rPr>
        <w:t>7.3 模型的通用性推广 (Generalization)</w:t>
      </w:r>
    </w:p>
    <w:p w14:paraId="17A0EC9F">
      <w:pPr>
        <w:rPr>
          <w:rFonts w:hint="default"/>
        </w:rPr>
      </w:pPr>
      <w:r>
        <w:rPr>
          <w:rFonts w:hint="default"/>
        </w:rPr>
        <w:t>本文构建的“多维评估 $\rightarrow$ 动态预测 $\rightarrow$ 边际配置优化”三阶段建模框架具有极强的可移植性。它可以无缝推广至以下领域：</w:t>
      </w:r>
    </w:p>
    <w:p w14:paraId="0E8B5E85">
      <w:pPr>
        <w:rPr>
          <w:rFonts w:hint="default"/>
        </w:rPr>
      </w:pPr>
    </w:p>
    <w:p w14:paraId="7AEBE8B7">
      <w:pPr>
        <w:rPr>
          <w:rFonts w:hint="default"/>
        </w:rPr>
      </w:pPr>
      <w:r>
        <w:rPr>
          <w:rFonts w:hint="default"/>
        </w:rPr>
        <w:t>关键核心技术评估：如半导体产业链、量子计算或生物制药的国家战略竞争力评价。</w:t>
      </w:r>
    </w:p>
    <w:p w14:paraId="333B841B">
      <w:pPr>
        <w:rPr>
          <w:rFonts w:hint="default"/>
        </w:rPr>
      </w:pPr>
    </w:p>
    <w:p w14:paraId="4FE9FD56">
      <w:pPr>
        <w:rPr>
          <w:rFonts w:hint="default"/>
        </w:rPr>
      </w:pPr>
    </w:p>
    <w:p w14:paraId="14F04BC8">
      <w:pPr>
        <w:rPr>
          <w:rFonts w:hint="default"/>
        </w:rPr>
      </w:pPr>
      <w:r>
        <w:rPr>
          <w:rFonts w:hint="default"/>
        </w:rPr>
        <w:t>区域协调发展决策：用于省域或城市群之间的资源分配优化，以实现整体经济效益的最大化。</w:t>
      </w:r>
    </w:p>
    <w:p w14:paraId="28083EF9">
      <w:pPr>
        <w:rPr>
          <w:rFonts w:hint="default"/>
        </w:rPr>
      </w:pPr>
    </w:p>
    <w:p w14:paraId="4594701D">
      <w:pPr>
        <w:rPr>
          <w:rFonts w:hint="default"/>
        </w:rPr>
      </w:pPr>
      <w:r>
        <w:rPr>
          <w:rFonts w:hint="default"/>
        </w:rPr>
        <w:t>8. 结论 (Conclusion)</w:t>
      </w:r>
    </w:p>
    <w:p w14:paraId="716D362F">
      <w:pPr>
        <w:rPr>
          <w:rFonts w:hint="default"/>
        </w:rPr>
      </w:pPr>
      <w:r>
        <w:rPr>
          <w:rFonts w:hint="default"/>
        </w:rPr>
        <w:t>本文通过构建集成深度学习、时间序列分析与非线性规划的综合框架，系统性地回答了全球 AI 竞争的胜负手问题。研究表明：</w:t>
      </w:r>
    </w:p>
    <w:p w14:paraId="5E49C17C">
      <w:pPr>
        <w:rPr>
          <w:rFonts w:hint="default"/>
        </w:rPr>
      </w:pPr>
    </w:p>
    <w:p w14:paraId="62BD0B97">
      <w:pPr>
        <w:rPr>
          <w:rFonts w:hint="default"/>
        </w:rPr>
      </w:pPr>
      <w:r>
        <w:rPr>
          <w:rFonts w:hint="default"/>
        </w:rPr>
        <w:t>竞争格局：2025 年全球 AI 竞争将延续“中美双极”态势，美国保持综合领先，而中国在人才总量与基建增速上展现出极强的追赶韧性。</w:t>
      </w:r>
    </w:p>
    <w:p w14:paraId="0E16BED8">
      <w:pPr>
        <w:rPr>
          <w:rFonts w:hint="default"/>
        </w:rPr>
      </w:pPr>
    </w:p>
    <w:p w14:paraId="16D2936E">
      <w:pPr>
        <w:rPr>
          <w:rFonts w:hint="default"/>
        </w:rPr>
      </w:pPr>
    </w:p>
    <w:p w14:paraId="57C65CED">
      <w:pPr>
        <w:rPr>
          <w:rFonts w:hint="default"/>
        </w:rPr>
      </w:pPr>
      <w:r>
        <w:rPr>
          <w:rFonts w:hint="default"/>
        </w:rPr>
        <w:t>演化趋势：未来十年（2026-2035），以阿联酋为代表的后发国家通过主权算力战略有望实现排名跃迁。</w:t>
      </w:r>
    </w:p>
    <w:p w14:paraId="05560964">
      <w:pPr>
        <w:rPr>
          <w:rFonts w:hint="default"/>
        </w:rPr>
      </w:pPr>
    </w:p>
    <w:p w14:paraId="65E16E97">
      <w:pPr>
        <w:rPr>
          <w:rFonts w:hint="default"/>
        </w:rPr>
      </w:pPr>
    </w:p>
    <w:p w14:paraId="0D3D331A">
      <w:pPr>
        <w:rPr>
          <w:rFonts w:hint="default"/>
        </w:rPr>
      </w:pPr>
      <w:r>
        <w:rPr>
          <w:rFonts w:hint="default"/>
        </w:rPr>
        <w:t>投资策略：针对中国 1 万亿专项资金，应实施“初期重人才、中期重基建、全程重转换”的非线性配置模式。在最优方案下，中国有望在 2035 年实现对美国竞争力的战略性反超。</w:t>
      </w:r>
    </w:p>
    <w:p w14:paraId="2F331A76">
      <w:pPr>
        <w:rPr>
          <w:rFonts w:hint="default"/>
        </w:rPr>
      </w:pPr>
    </w:p>
    <w:p w14:paraId="46EC971F">
      <w:pPr>
        <w:rPr>
          <w:rFonts w:hint="default"/>
        </w:rPr>
      </w:pPr>
    </w:p>
    <w:p w14:paraId="513B2689">
      <w:pPr>
        <w:rPr>
          <w:rFonts w:hint="eastAsia"/>
          <w:lang w:val="en-US" w:eastAsia="zh-CN"/>
        </w:rPr>
      </w:pPr>
      <w:r>
        <w:rPr>
          <w:rFonts w:hint="eastAsia"/>
          <w:lang w:val="en-US" w:eastAsia="zh-CN"/>
        </w:rPr>
        <w:t>附录：</w:t>
      </w:r>
    </w:p>
    <w:p w14:paraId="1DD973BD">
      <w:pPr>
        <w:rPr>
          <w:rFonts w:hint="default"/>
          <w:lang w:val="en-US" w:eastAsia="zh-CN"/>
        </w:rPr>
      </w:pPr>
      <w:r>
        <w:rPr>
          <w:rFonts w:hint="eastAsia"/>
          <w:lang w:val="en-US" w:eastAsia="zh-CN"/>
        </w:rPr>
        <w:t>参考文献：</w:t>
      </w:r>
    </w:p>
    <w:p w14:paraId="1B901FF7">
      <w:pPr>
        <w:rPr>
          <w:rFonts w:hint="eastAsia"/>
          <w:lang w:val="en-US" w:eastAsia="zh-CN"/>
        </w:rPr>
      </w:pPr>
      <w:r>
        <w:rPr>
          <w:rFonts w:hint="eastAsia"/>
          <w:lang w:val="en-US" w:eastAsia="zh-CN"/>
        </w:rPr>
        <w:t>[1] Stanford University. The AI Index 2025 Annual Report [R]. Stanford Institute for Human-Centered AI (HAI), 2025.</w:t>
      </w:r>
    </w:p>
    <w:p w14:paraId="659CD111">
      <w:pPr>
        <w:rPr>
          <w:rFonts w:hint="eastAsia"/>
          <w:lang w:val="en-US" w:eastAsia="zh-CN"/>
        </w:rPr>
      </w:pPr>
      <w:r>
        <w:rPr>
          <w:rFonts w:hint="eastAsia"/>
          <w:lang w:val="en-US" w:eastAsia="zh-CN"/>
        </w:rPr>
        <w:t>[2] Tortoise Media. The Global AI Index: Methodology and Findings [R]. 2024.</w:t>
      </w:r>
    </w:p>
    <w:p w14:paraId="72CFC32A">
      <w:pPr>
        <w:rPr>
          <w:rFonts w:hint="eastAsia"/>
          <w:lang w:val="en-US" w:eastAsia="zh-CN"/>
        </w:rPr>
      </w:pPr>
      <w:r>
        <w:rPr>
          <w:rFonts w:hint="eastAsia"/>
          <w:lang w:val="en-US" w:eastAsia="zh-CN"/>
        </w:rPr>
        <w:t>[3] Shannon, C. E. A mathematical theory of communication [J]. Bell System Technical Journal, 1948, 27(3): 379-423.</w:t>
      </w:r>
    </w:p>
    <w:p w14:paraId="528261A8">
      <w:pPr>
        <w:rPr>
          <w:rFonts w:hint="eastAsia"/>
          <w:lang w:val="en-US" w:eastAsia="zh-CN"/>
        </w:rPr>
      </w:pPr>
      <w:r>
        <w:rPr>
          <w:rFonts w:hint="eastAsia"/>
          <w:lang w:val="en-US" w:eastAsia="zh-CN"/>
        </w:rPr>
        <w:t>[4] Rumelhart, D. E., Hinton, G. E., &amp; Williams, R. J. Learning representations by back-propagating errors [J]. Nature, 1986, 323(6088): 533-536.</w:t>
      </w:r>
    </w:p>
    <w:p w14:paraId="6C8DD488">
      <w:pPr>
        <w:rPr>
          <w:rFonts w:hint="eastAsia"/>
          <w:lang w:val="en-US" w:eastAsia="zh-CN"/>
        </w:rPr>
      </w:pPr>
      <w:r>
        <w:rPr>
          <w:rFonts w:hint="eastAsia"/>
          <w:lang w:val="en-US" w:eastAsia="zh-CN"/>
        </w:rPr>
        <w:t>[5] Holland, J. H. Adaptation in natural and artificial systems [M]. MIT Press, 1992.</w:t>
      </w:r>
    </w:p>
    <w:p w14:paraId="26826735">
      <w:pPr>
        <w:rPr>
          <w:rFonts w:hint="eastAsia"/>
          <w:lang w:val="en-US" w:eastAsia="zh-CN"/>
        </w:rPr>
      </w:pPr>
      <w:r>
        <w:rPr>
          <w:rFonts w:hint="eastAsia"/>
          <w:lang w:val="en-US" w:eastAsia="zh-CN"/>
        </w:rPr>
        <w:t>[6] Box, G. E. P., Jenkins, G. M., &amp; Reinsel, G. C. Time Series Analysis: Forecasting and Control [M]. John Wiley &amp; Sons, 2015.</w:t>
      </w:r>
    </w:p>
    <w:p w14:paraId="47880753">
      <w:pPr>
        <w:rPr>
          <w:rFonts w:hint="eastAsia"/>
          <w:lang w:val="en-US" w:eastAsia="zh-CN"/>
        </w:rPr>
      </w:pPr>
      <w:r>
        <w:rPr>
          <w:rFonts w:hint="eastAsia"/>
          <w:lang w:val="en-US" w:eastAsia="zh-CN"/>
        </w:rPr>
        <w:t>[7] Nocedal, J., &amp; Wright, S. Numerical Optimization [M]. Springer Science &amp; Business Media, 2006.</w:t>
      </w:r>
    </w:p>
    <w:p w14:paraId="4B9B464F">
      <w:pPr>
        <w:rPr>
          <w:rFonts w:hint="eastAsia"/>
          <w:lang w:val="en-US" w:eastAsia="zh-CN"/>
        </w:rPr>
      </w:pPr>
      <w:r>
        <w:rPr>
          <w:rFonts w:hint="eastAsia"/>
          <w:lang w:val="en-US" w:eastAsia="zh-CN"/>
        </w:rPr>
        <w:t>[8] Lundberg, S. M., &amp; Lee, S. I. A unified approach to interpreting model predictions [C]. Advances in Neural Information Processing Systems (NeurIPS), 2017: 4765-4774.</w:t>
      </w:r>
    </w:p>
    <w:p w14:paraId="7C28B003">
      <w:pPr>
        <w:rPr>
          <w:rFonts w:hint="eastAsia"/>
          <w:lang w:val="en-US" w:eastAsia="zh-CN"/>
        </w:rPr>
      </w:pPr>
    </w:p>
    <w:p w14:paraId="76120B56">
      <w:pPr>
        <w:rPr>
          <w:rFonts w:hint="eastAsia" w:eastAsiaTheme="minorEastAsia"/>
          <w:lang w:eastAsia="zh-CN"/>
        </w:rPr>
      </w:pPr>
    </w:p>
    <w:p w14:paraId="6CB3925C">
      <w:pPr>
        <w:rPr/>
      </w:pPr>
      <w:r>
        <w:t>AI Use Report</w:t>
      </w:r>
    </w:p>
    <w:p w14:paraId="1058CAA0">
      <w:pPr>
        <w:rPr/>
      </w:pPr>
      <w:r>
        <w:t>1. AI Tools Utilized</w:t>
      </w:r>
    </w:p>
    <w:p w14:paraId="360AC532">
      <w:pPr>
        <w:rPr/>
      </w:pPr>
      <w:r>
        <w:t>In the process of completing this modeling project, our team utilized the following Artificial Intelligence tools to assist in various stages of research and writing:</w:t>
      </w:r>
    </w:p>
    <w:p w14:paraId="0DFB6DA4">
      <w:pPr>
        <w:rPr/>
      </w:pPr>
    </w:p>
    <w:p w14:paraId="6D3FD8D1">
      <w:pPr>
        <w:rPr/>
      </w:pPr>
      <w:r>
        <w:t>Gemini AI (Google): Used for academic text polishing and multi-language translation.</w:t>
      </w:r>
    </w:p>
    <w:p w14:paraId="3B67703F">
      <w:pPr>
        <w:rPr/>
      </w:pPr>
    </w:p>
    <w:p w14:paraId="603F48ED">
      <w:pPr>
        <w:rPr/>
      </w:pPr>
    </w:p>
    <w:p w14:paraId="0C12DAD2">
      <w:pPr>
        <w:rPr/>
      </w:pPr>
      <w:r>
        <w:t>Cursor (AI Code Editor): Used for algorithmic implementation, code optimization, and debugging of Python and MATLAB scripts.</w:t>
      </w:r>
    </w:p>
    <w:p w14:paraId="67CCC948">
      <w:pPr>
        <w:rPr/>
      </w:pPr>
    </w:p>
    <w:p w14:paraId="7541324E">
      <w:pPr>
        <w:rPr/>
      </w:pPr>
      <w:r>
        <w:t>2. Specific Applications</w:t>
      </w:r>
    </w:p>
    <w:p w14:paraId="250A2E77">
      <w:pPr>
        <w:rPr/>
      </w:pPr>
      <w:r>
        <w:t>2.1 Text Refinement and Summarization</w:t>
      </w:r>
    </w:p>
    <w:p w14:paraId="3C92C29D">
      <w:pPr>
        <w:rPr/>
      </w:pPr>
    </w:p>
    <w:p w14:paraId="69D171C2">
      <w:pPr>
        <w:rPr/>
      </w:pPr>
      <w:r>
        <w:t>Scope: The Summary Sheet and the Concluding Remarks of the paper.</w:t>
      </w:r>
    </w:p>
    <w:p w14:paraId="5D61AAAB">
      <w:pPr>
        <w:rPr/>
      </w:pPr>
    </w:p>
    <w:p w14:paraId="7AC8FDE9">
      <w:pPr>
        <w:rPr/>
      </w:pPr>
    </w:p>
    <w:p w14:paraId="00048D96">
      <w:pPr>
        <w:rPr/>
      </w:pPr>
      <w:r>
        <w:t>Usage: We provided Gemini with our drafted findings and quantitative results. Gemini assisted in refining the language for better academic flow, ensuring that the logic between the model's output and the strategic recommendations was clear and professional.</w:t>
      </w:r>
    </w:p>
    <w:p w14:paraId="2ABF0981">
      <w:pPr>
        <w:rPr/>
      </w:pPr>
    </w:p>
    <w:p w14:paraId="4F836665">
      <w:pPr>
        <w:rPr/>
      </w:pPr>
      <w:r>
        <w:t>2.2 Translation and Linguistic Quality</w:t>
      </w:r>
    </w:p>
    <w:p w14:paraId="676612EF">
      <w:pPr>
        <w:rPr/>
      </w:pPr>
    </w:p>
    <w:p w14:paraId="185C67CA">
      <w:pPr>
        <w:rPr/>
      </w:pPr>
      <w:r>
        <w:t>Scope: Full-text translation from initial drafts.</w:t>
      </w:r>
    </w:p>
    <w:p w14:paraId="32CDB931">
      <w:pPr>
        <w:rPr/>
      </w:pPr>
    </w:p>
    <w:p w14:paraId="5957A926">
      <w:pPr>
        <w:rPr/>
      </w:pPr>
    </w:p>
    <w:p w14:paraId="5BAE1A45">
      <w:pPr>
        <w:rPr/>
      </w:pPr>
      <w:r>
        <w:t>Usage: To meet the international standards of the ICM, Gemini was used to modify and verify the English translation of technical terms and complex sentence structures, ensuring linguistic precision and clarity.</w:t>
      </w:r>
    </w:p>
    <w:p w14:paraId="1594E36E">
      <w:pPr>
        <w:rPr/>
      </w:pPr>
    </w:p>
    <w:p w14:paraId="0C3FCABF">
      <w:pPr>
        <w:rPr/>
      </w:pPr>
      <w:r>
        <w:t>2.3 Code Development and Debugging</w:t>
      </w:r>
    </w:p>
    <w:p w14:paraId="422348B3">
      <w:pPr>
        <w:rPr/>
      </w:pPr>
    </w:p>
    <w:p w14:paraId="422D3497">
      <w:pPr>
        <w:rPr/>
      </w:pPr>
      <w:r>
        <w:t>Scope: Python scripts for GA-BP models, ARIMA forecasting, and NLP optimization.</w:t>
      </w:r>
    </w:p>
    <w:p w14:paraId="3E66F2C4">
      <w:pPr>
        <w:rPr/>
      </w:pPr>
    </w:p>
    <w:p w14:paraId="70BD91F9">
      <w:pPr>
        <w:rPr/>
      </w:pPr>
    </w:p>
    <w:p w14:paraId="54553403">
      <w:pPr>
        <w:rPr/>
      </w:pPr>
      <w:r>
        <w:t>Usage: We utilized Cursor's AI capabilities to assist in writing modular code and troubleshooting convergence issues in the Genetic Algorithm. Specifically, Cursor helped optimize the tensor operations in the Self-Attention module and improved the error-handling logic in the data preprocessing scripts.</w:t>
      </w:r>
    </w:p>
    <w:p w14:paraId="7C8CBF1B">
      <w:pPr>
        <w:rPr/>
      </w:pPr>
    </w:p>
    <w:p w14:paraId="474C9BF7">
      <w:pPr>
        <w:rPr/>
      </w:pPr>
      <w:r>
        <w:t>3. Human Accountability and Responsibility</w:t>
      </w:r>
    </w:p>
    <w:p w14:paraId="53AA3D62">
      <w:pPr>
        <w:rPr/>
      </w:pPr>
      <w:r>
        <w:t>As the authors of this paper, we confirm that:</w:t>
      </w:r>
    </w:p>
    <w:p w14:paraId="7D569164">
      <w:pPr>
        <w:rPr/>
      </w:pPr>
    </w:p>
    <w:p w14:paraId="37051A04">
      <w:pPr>
        <w:rPr/>
      </w:pPr>
      <w:r>
        <w:t>All core mathematical models, logical frameworks, and strategic investment recommendations were independently conceived and designed by our team members.</w:t>
      </w:r>
    </w:p>
    <w:p w14:paraId="51E1D820">
      <w:pPr>
        <w:rPr/>
      </w:pPr>
    </w:p>
    <w:p w14:paraId="31D4BF81">
      <w:pPr>
        <w:rPr/>
      </w:pPr>
    </w:p>
    <w:p w14:paraId="11CD4A05">
      <w:pPr>
        <w:rPr/>
      </w:pPr>
      <w:r>
        <w:t>All data used in the models was collected and verified through authoritative sources.</w:t>
      </w:r>
    </w:p>
    <w:p w14:paraId="3E07BC87">
      <w:pPr>
        <w:rPr/>
      </w:pPr>
    </w:p>
    <w:p w14:paraId="629C5241">
      <w:pPr>
        <w:rPr/>
      </w:pPr>
      <w:bookmarkStart w:id="0" w:name="_GoBack"/>
      <w:bookmarkEnd w:id="0"/>
    </w:p>
    <w:p w14:paraId="478B602D">
      <w:pPr>
        <w:rPr/>
      </w:pPr>
      <w:r>
        <w:t>All AI-generated content and code were rigorously reviewed, tested, and validated for accuracy and relevance. We take full responsibility for the final contents of this submission.</w:t>
      </w:r>
    </w:p>
    <w:p w14:paraId="2636159F">
      <w:pPr>
        <w:rPr/>
      </w:pPr>
    </w:p>
    <w:p w14:paraId="23BBC396"/>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bordersDoNotSurroundHeader w:val="0"/>
  <w:bordersDoNotSurroundFooter w:val="0"/>
  <w:documentProtection w:edit="readOnly"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6B5CCB"/>
    <w:rsid w:val="09F337E1"/>
    <w:rsid w:val="3FAE3F57"/>
    <w:rsid w:val="758F77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49</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2026-01-20T11:19:51Z</dcterms:created>
  <dc:creator>32610</dc:creator>
  <cp:lastModifiedBy>林鑫</cp:lastModifiedBy>
  <dcterms:modified xsi:type="dcterms:W3CDTF">2026-01-20T15:17:16Z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eyJoZGlkIjoiMGFlNjQyMDNjNzk0OWY3ZmViZTVmNDI3MDQ2MmE5ODciLCJ1c2VySWQiOiI4MTQxNzAxMDEifQ==</vt:lpwstr>
  </property>
  <property fmtid="{D5CDD505-2E9C-101B-9397-08002B2CF9AE}" pid="4" name="ICV">
    <vt:lpwstr>791CE25922BB418B9C19B581E15B12FB_12</vt:lpwstr>
  </property>
</Properties>
</file>