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B3A68B">
      <w:pPr>
        <w:rPr/>
      </w:pPr>
      <w:r>
        <w:br w:type="textWrapping"/>
      </w:r>
      <w:r>
        <w:t>摘要 (Summary)</w:t>
      </w:r>
    </w:p>
    <w:p w14:paraId="3C49A0A0">
      <w:pPr>
        <w:rPr/>
      </w:pPr>
      <w:r>
        <w:t>《与星共舞》(DWTS) 作为一档融合专业竞技与大众娱乐的真人秀，长期面临评委技术评分与粉丝人气投票之间的张力冲突。这种冲突在非公开的票数背景下引发了关于“竞赛公平性”的广泛争论。本文构建了一个从“隐变量反演”到“驱动力解构”，再到“系统重构”的量化框架，旨在破解粉丝投票的“黑箱”并提出更公平的评价体系。</w:t>
      </w:r>
    </w:p>
    <w:p w14:paraId="7FB16EAA">
      <w:pPr>
        <w:rPr/>
      </w:pPr>
      <w:r>
        <w:t>模型 I：基于逆向决策理论 (IDM) 的投票反演 由于粉丝票数不可见，我们创新性地提出 IDM 框架。该模型将淘汰结果视为粉丝偏好的显性表达，利用 Luce 选择公理 建立前向偏好函数，并通过 马尔可夫链蒙特卡罗 (MCMC) 采样实现似然反推。实验证明，该模型在全赛季 264 周的数据中实现了 98.11% 的硬准确率（Hard Accuracy）。通过引入确定性度量 $\Phi$，我们科学解释了 Bobby Bones 等争议选手背后的“人气溢价”及其得票的稳健性。</w:t>
      </w:r>
    </w:p>
    <w:p w14:paraId="6E64ECA3">
      <w:pPr>
        <w:rPr/>
      </w:pPr>
      <w:r>
        <w:t>模型 II：线性混合效应模型 (LME) 的影响解构 为了识别表现背后的深层驱动力，我们拟合了双路径 LME 模型。研究发现：</w:t>
      </w:r>
    </w:p>
    <w:p w14:paraId="319FC121">
      <w:pPr>
        <w:rPr/>
      </w:pPr>
      <w:r>
        <w:t>技术端：职业舞者的编舞与教学贡献了 11.46% 的变异（ICC），呈现显著的“名师效应”；评委对高龄选手存在严重的“技术偏见”（系数 -0.693）。</w:t>
      </w:r>
    </w:p>
    <w:p w14:paraId="797D752B">
      <w:pPr>
        <w:rPr/>
      </w:pPr>
      <w:r>
        <w:t>人气端：导师贡献率降至 5.54%，且粉丝对年龄表现出极高的宽容度（系数仅 -0.011）。 这种驱动力的非对称性定量地解释了技术派与人气派分歧的统计本质。</w:t>
      </w:r>
    </w:p>
    <w:p w14:paraId="675C3F11">
      <w:pPr>
        <w:rPr/>
      </w:pPr>
      <w:r>
        <w:t>机制评估与创新建议 (DAES) 对比分析显示，排名制（Rank）具有显著的“杠杆效应”，极易放大粉丝投票的影响，而百分比制则存在“区分度稀释”的问题。据此，我们提出了 双轴均衡度量系统 (DAES)，该系统集成了：</w:t>
      </w:r>
    </w:p>
    <w:p w14:paraId="1323A4A7">
      <w:pPr>
        <w:rPr/>
      </w:pPr>
      <w:r>
        <w:t>Z-Score 标准化模块：对冲评分通胀，保留技术梯度；</w:t>
      </w:r>
    </w:p>
    <w:p w14:paraId="19A6E3B1">
      <w:pPr>
        <w:rPr/>
      </w:pPr>
      <w:r>
        <w:t>ABC 纠偏模块：中和年龄与背景的结构性歧视；</w:t>
      </w:r>
    </w:p>
    <w:p w14:paraId="635568D9">
      <w:pPr>
        <w:rPr/>
      </w:pPr>
      <w:r>
        <w:t>动态阶段加权逻辑：平衡早期热度（60% 粉丝权）与后期公信力（60% 评委权）。</w:t>
      </w:r>
    </w:p>
    <w:p w14:paraId="70644E19">
      <w:pPr>
        <w:rPr/>
      </w:pPr>
      <w:r>
        <w:t>离线验证与结论 离线测试显示，DAES 系统在保持 88.64% 一致率的同时，成功将年龄偏见降低了约 31%–33%，并抑制了 44% 的名师红利。本文的研究证明，通过统计学修正可以有效缓解竞技专业性与娱乐性之间的矛盾，为 DWTS 的长青运营提供了科学的决策依据。</w:t>
      </w:r>
    </w:p>
    <w:p w14:paraId="3464819D">
      <w:pPr>
        <w:rPr/>
      </w:pPr>
      <w:r>
        <w:t>关键词：逆向决策理论 (IDM)；线性混合效应模型 (LME)；粉丝投票反演；双轴均衡度量系统 (DAES)；竞赛公平性</w:t>
      </w:r>
    </w:p>
    <w:p w14:paraId="2C129419">
      <w:pPr>
        <w:rPr/>
      </w:pPr>
      <w:r>
        <w:br w:type="textWrapping"/>
      </w:r>
      <w:r>
        <w:br w:type="textWrapping"/>
      </w:r>
      <w:r>
        <w:t>2. Introduction (引言)</w:t>
      </w:r>
    </w:p>
    <w:p w14:paraId="303EA9EB">
      <w:pPr>
        <w:rPr/>
      </w:pPr>
      <w:r>
        <w:t>2.1 背景 (Background)</w:t>
      </w:r>
    </w:p>
    <w:p w14:paraId="1E04121B">
      <w:pPr>
        <w:rPr/>
      </w:pPr>
      <w:r>
        <w:t>《与星共舞》（Dancing with the Stars, DWTS）自首播以来，已成为全球最成功的电视特许经营节目之一。该节目的核心吸引力在于其独特的评价机制：将专业评委的技术评分与全球观众的感性投票相结合。这种“二元评价体系”试图在艺术的专业性与大众的参与感之间达成平衡。然而，由于粉丝投票数据的非公开性，这种平衡往往因缺乏透明度而引发广泛的公众争议。</w:t>
      </w:r>
    </w:p>
    <w:p w14:paraId="74B10620">
      <w:pPr>
        <w:rPr/>
      </w:pPr>
      <w:r>
        <w:t xml:space="preserve"> </w:t>
      </w:r>
    </w:p>
    <w:p w14:paraId="15581A96">
      <w:pPr>
        <w:rPr/>
      </w:pPr>
      <w:r>
        <w:t>2.2 核心冲突：技术与人气的博弈 (The Core Conflict)</w:t>
      </w:r>
    </w:p>
    <w:p w14:paraId="7314BC30">
      <w:pPr>
        <w:rPr/>
      </w:pPr>
      <w:r>
        <w:t>在节目的历史进程中，曾多次出现评委评分极低但凭借海量粉丝票数“逆袭”夺冠或晋级的案例。例如第27季的选手 Bobby Bones，尽管其技术评分在决赛圈中处于劣势，却最终问鼎冠军。这种现象揭示了一个深层矛盾：评委倾向于考察选手的舞蹈技术、节奏感和艺术表现力（技术逻辑）；而粉丝的投票往往受到选手个人魅力、知名度、成长叙事甚至行业背景的影响（人气逻辑）。</w:t>
      </w:r>
    </w:p>
    <w:p w14:paraId="1D3522CE">
      <w:pPr>
        <w:rPr/>
      </w:pPr>
      <w:r>
        <w:t xml:space="preserve"> </w:t>
      </w:r>
    </w:p>
    <w:p w14:paraId="46703A83">
      <w:pPr>
        <w:rPr/>
      </w:pPr>
      <w:r>
        <w:t>题目中提供的两种主要计算方法——排名制 (Rank-based) 与 百分比制 (Percentage-based) ——实际上代表了节目组在两种逻辑间的反复摇摆。排名制放大了相对位次的影响，容易产生“人气碾压”；而百分比制试图保留技术分的绝对差距。</w:t>
      </w:r>
    </w:p>
    <w:p w14:paraId="1429C362">
      <w:pPr>
        <w:rPr/>
      </w:pPr>
      <w:r>
        <w:t xml:space="preserve"> </w:t>
      </w:r>
    </w:p>
    <w:p w14:paraId="4DB9B2DA">
      <w:pPr>
        <w:rPr/>
      </w:pPr>
      <w:r>
        <w:t>2.3 问题重述 (Problem Restatement)</w:t>
      </w:r>
    </w:p>
    <w:p w14:paraId="1D79B112">
      <w:pPr>
        <w:rPr/>
      </w:pPr>
      <w:r>
        <w:t>针对 DWTS 制作人面临的决策挑战，本研究旨在解决以下核心任务：</w:t>
      </w:r>
    </w:p>
    <w:p w14:paraId="32E119BF">
      <w:pPr>
        <w:rPr/>
      </w:pPr>
      <w:r>
        <w:t xml:space="preserve"> </w:t>
      </w:r>
    </w:p>
    <w:p w14:paraId="444C54DC">
      <w:pPr>
        <w:rPr/>
      </w:pPr>
      <w:r>
        <w:t>1. 反演黑箱数据：利用已知的淘汰结果和评委分，建立数学模型估算未知的粉丝投票，并量化估算结果的确定性。</w:t>
      </w:r>
    </w:p>
    <w:p w14:paraId="1DC04E55">
      <w:pPr>
        <w:rPr/>
      </w:pPr>
      <w:r>
        <w:t>2. 机制有效性评估：模拟并对比不同投票组合机制对淘汰结果的影响，分析争议案例背后的系统性原因。</w:t>
      </w:r>
    </w:p>
    <w:p w14:paraId="2B48C5BC">
      <w:pPr>
        <w:rPr/>
      </w:pPr>
      <w:r>
        <w:t>3. 驱动因素识别：识别选手特征（如年龄、行业）和专业舞伴效应对技术分与人气分的不同贡献。</w:t>
      </w:r>
    </w:p>
    <w:p w14:paraId="2F17EC51">
      <w:pPr>
        <w:rPr/>
      </w:pPr>
      <w:r>
        <w:t>4. 系统优化设计：提出一套更具公平性且能激发观众热情的全新评价体系，并提供实证支持。</w:t>
      </w:r>
    </w:p>
    <w:p w14:paraId="285680CB">
      <w:pPr>
        <w:rPr/>
      </w:pPr>
      <w:r>
        <w:t xml:space="preserve"> </w:t>
      </w:r>
    </w:p>
    <w:p w14:paraId="74545823">
      <w:pPr>
        <w:rPr/>
      </w:pPr>
      <w:r>
        <w:t>2.4 本文贡献 (Our Contribution)</w:t>
      </w:r>
    </w:p>
    <w:p w14:paraId="50F75169">
      <w:pPr>
        <w:rPr>
          <w:rFonts w:hint="eastAsia" w:eastAsiaTheme="minorEastAsia"/>
          <w:lang w:eastAsia="zh-CN"/>
        </w:rPr>
      </w:pPr>
      <w:r>
        <w:t>本文的研究贡献体现在以下四个维度，构建了从“隐变量推断”到“机制评价”再到“系统设计”的完整量化闭环：</w:t>
      </w:r>
    </w:p>
    <w:p w14:paraId="5D3F6B44">
      <w:pPr>
        <w:rPr/>
      </w:pPr>
      <w:r>
        <w:t>1. 构建了基于逆向决策理论（IDM）的贝叶斯推断框架</w:t>
      </w:r>
      <w:r>
        <w:rPr/>
        <w:br w:type="textWrapping"/>
      </w:r>
      <w:r>
        <w:t>我们打破了粉丝投票的“黑箱”，创新性地将淘汰结果视为粉丝偏好的显性表达。通过引入 Luce 选择公理 建立前向偏好模型，并结合不同赛季的组合规则构建似然函数。利用 马尔可夫链蒙特卡罗（MCMC） 采样，模型在全赛季 264 周的数据中实现了 98.11% 的硬准确率（Hard Accuracy），并首次量化了投票估算的“确定性度量”，科学解释了为何部分选手的票数推断更具鲁棒性。</w:t>
      </w:r>
    </w:p>
    <w:p w14:paraId="34382F80">
      <w:pPr>
        <w:rPr/>
      </w:pPr>
      <w:r>
        <w:t>2. 多视角量化了评价机制的“算法偏差”</w:t>
      </w:r>
      <w:r>
        <w:rPr/>
        <w:br w:type="textWrapping"/>
      </w:r>
      <w:r>
        <w:t>通过对排名制（Rank）与百分比制（Percentage）的大规模仿真对比，我们量化了两种机制在处理“极化选手”时的表现差异。研究发现，排名制对粉丝投票具有显著的**“杠杆放大效应”，而百分比制则表现出更强的“技术保护倾向”**。针对 Bobby Bones 等争议案例，我们通过反事实实验证明了机制选择对最终名次的决定性影响。</w:t>
      </w:r>
    </w:p>
    <w:p w14:paraId="5C439807">
      <w:pPr>
        <w:rPr/>
      </w:pPr>
      <w:r>
        <w:t>3. 揭示了“名师效应”与嘉宾特征的非对称驱动</w:t>
      </w:r>
      <w:r>
        <w:rPr/>
        <w:br w:type="textWrapping"/>
      </w:r>
      <w:r>
        <w:t>利用线性混合效应模型（LME），我们成功分离了固定效应（嘉宾特征）与随机效应（职业舞者）。研究揭示了职业舞者对技术评分的贡献率高达 11.5% (ICC = 0.1146)，而在人气端几乎无贡献。此外，模型精准捕捉到了评委对高龄选手的**“技术减分偏见”（系数 -0.693）**，而粉丝票数对该特征表现出极高的容忍度，为理解“评委-粉丝分歧”提供了实证依据。</w:t>
      </w:r>
    </w:p>
    <w:p w14:paraId="79AC1288">
      <w:pPr>
        <w:rPr/>
      </w:pPr>
      <w:r>
        <w:t>4. 提出了双轴均衡度量系统（DAES）创新提案</w:t>
      </w:r>
      <w:r>
        <w:rPr/>
        <w:br w:type="textWrapping"/>
      </w:r>
      <w:r>
        <w:t>基于上述发现，我们设计了包含 Z-Score 标准化模块、动态阶段加权模块以及导师溢价修正系数的 DAES 系统。该系统旨在通过统计学手段对冲“评分膨胀”与“名师红利”，在保留粉丝参与激情的早期阶段与强调艺术纯粹性的决赛阶段之间建立了动态平衡，为 DWTS 的长青运营提供了可量化的管理工具。</w:t>
      </w:r>
    </w:p>
    <w:p w14:paraId="75208DE6">
      <w:pPr>
        <w:rPr/>
      </w:pPr>
      <w:r>
        <w:rPr/>
        <w:drawing>
          <wp:inline distT="0" distB="0" distL="114300" distR="114300">
            <wp:extent cx="5702935" cy="4648200"/>
            <wp:effectExtent l="0" t="0" r="12065" b="0"/>
            <wp:docPr id="24" name="图片 24" descr="Fairness IDM Pipeline-2026-02-02-11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airness IDM Pipeline-2026-02-02-113558"/>
                    <pic:cNvPicPr>
                      <a:picLocks noChangeAspect="1"/>
                    </pic:cNvPicPr>
                  </pic:nvPicPr>
                  <pic:blipFill>
                    <a:blip r:embed="rId4"/>
                    <a:stretch>
                      <a:fillRect/>
                    </a:stretch>
                  </pic:blipFill>
                  <pic:spPr>
                    <a:xfrm>
                      <a:off x="0" y="0"/>
                      <a:ext cx="5702935" cy="4648200"/>
                    </a:xfrm>
                    <a:prstGeom prst="rect">
                      <a:avLst/>
                    </a:prstGeom>
                  </pic:spPr>
                </pic:pic>
              </a:graphicData>
            </a:graphic>
          </wp:inline>
        </w:drawing>
      </w:r>
      <w:r>
        <w:br w:type="textWrapping"/>
      </w:r>
      <w:r>
        <w:t>3. Assumptions and Notations (基本假设与符号说明)</w:t>
      </w:r>
    </w:p>
    <w:p w14:paraId="23C92627">
      <w:pPr>
        <w:rPr/>
      </w:pPr>
      <w:r>
        <w:t>3.1 基本假设 (Basic Assumptions)</w:t>
      </w:r>
    </w:p>
    <w:p w14:paraId="5BA80A63">
      <w:pPr>
        <w:rPr/>
      </w:pPr>
      <w:r>
        <w:t>为了简化建模过程并聚焦核心科学问题，我们提出以下合理假设。每个假设均基于对竞赛逻辑的深度理解及对计算复杂性的平衡：</w:t>
      </w:r>
    </w:p>
    <w:p w14:paraId="0E3A504A">
      <w:pPr>
        <w:rPr/>
      </w:pPr>
      <w:r>
        <w:t xml:space="preserve"> </w:t>
      </w:r>
    </w:p>
    <w:p w14:paraId="2B40E5CD">
      <w:pPr>
        <w:rPr/>
      </w:pPr>
      <w:r>
        <w:t>1. 粉丝偏好的概率映射假设 (Luce's Choice Axiom) 假设：我们假设粉丝对选手的投票行为遵循 Softmax 分布（即 Luce 选择公理）。选手的潜在人气（潜效用）越高，获得投票的概率越大。</w:t>
      </w:r>
      <w:r>
        <w:rPr/>
        <w:br w:type="textWrapping"/>
      </w:r>
      <w:r>
        <w:t xml:space="preserve">  理由：在现实的大规模选择行为中，粉丝群体呈现统计学上的平滑特征，Softmax 函数能够有效捕捉个体差异并为逆向推理提供连续可导的数学基础。</w:t>
      </w:r>
    </w:p>
    <w:p w14:paraId="3DFDF537">
      <w:pPr>
        <w:rPr/>
      </w:pPr>
      <w:r>
        <w:t xml:space="preserve">2. 周内投票总量恒定假设 (Conservation of Total Votes) 假设：在同一周的投票周期内，假设总投票数 </w:t>
      </w:r>
      <m:oMath>
        <m:sSub>
          <m:sSubPr>
            <m:ctrlPr>
              <w:rPr/>
            </m:ctrlPr>
          </m:sSubPr>
          <m:e>
            <m:r>
              <m:rPr>
                <m:sty m:val="p"/>
              </m:rPr>
              <w:rPr>
                <w:rFonts w:ascii="Times New Roman" w:hAnsi="Times New Roman"/>
              </w:rPr>
              <m:t>N</m:t>
            </m:r>
            <m:ctrlPr>
              <w:rPr/>
            </m:ctrlPr>
          </m:e>
          <m:sub>
            <m:r>
              <m:rPr>
                <m:sty m:val="p"/>
              </m:rPr>
              <w:rPr>
                <w:rFonts w:ascii="Times New Roman" w:hAnsi="Times New Roman"/>
              </w:rPr>
              <m:t>total</m:t>
            </m:r>
            <m:ctrlPr>
              <w:rPr/>
            </m:ctrlPr>
          </m:sub>
        </m:sSub>
      </m:oMath>
      <w:r>
        <w:t xml:space="preserve"> 是固定的，各选手的粉丝投票比例之和恒等于 1。</w:t>
      </w:r>
      <w:r>
        <w:rPr/>
        <w:br w:type="textWrapping"/>
      </w:r>
      <w:r>
        <w:t xml:space="preserve">  理由：由于题目重点在于选手间的相对排名和百分比，将绝对投票数标准化为比例（Proportion）可以消除不同赛季观众基数变化带来的影响，提高模型的泛化能力。</w:t>
      </w:r>
    </w:p>
    <w:p w14:paraId="259A5BE8">
      <w:pPr>
        <w:rPr/>
      </w:pPr>
      <w:r>
        <w:t>3. 职业舞者贡献的随机一致性假设 (Random Consistency of Pro Dancers) 假设：职业舞者对分数的贡献被视为一种随机效应（Random Effect），其在不同赛季间服从正态分布。</w:t>
      </w:r>
      <w:r>
        <w:rPr/>
        <w:br w:type="textWrapping"/>
      </w:r>
      <w:r>
        <w:t xml:space="preserve">  理由：这是线性混合效应模型（LME）的核心前提。它允许我们将“名师效应”作为一种统计变异进行剥离，从而更准确地观察嘉宾个人特征的独立影响。</w:t>
      </w:r>
    </w:p>
    <w:p w14:paraId="5E1DD95E">
      <w:pPr>
        <w:rPr/>
      </w:pPr>
      <w:r>
        <w:t>4. 评委打分的独立性假设 (Independence of Judges' Scores) 假设：假设每位评委的打分是基于选手的技术表现独立给出的，且评委在打分时不知道当周的实时粉丝票数。</w:t>
      </w:r>
      <w:r>
        <w:rPr/>
        <w:br w:type="textWrapping"/>
      </w:r>
      <w:r>
        <w:t xml:space="preserve">  理由：虽然节目可能存在导演组的潜在干预，但在建模时将其视为独立评价过程能简化因果分析，使我们能将评委分作为反映“技术实力”的稳定变量。</w:t>
      </w:r>
    </w:p>
    <w:p w14:paraId="52E3BB37">
      <w:pPr>
        <w:rPr/>
      </w:pPr>
      <w:r>
        <w:t xml:space="preserve"> </w:t>
      </w:r>
    </w:p>
    <w:p w14:paraId="0BB74391">
      <w:pPr>
        <w:rPr/>
      </w:pPr>
      <w:r>
        <w:t>3.2 符号说明 (Notations)</w:t>
      </w:r>
    </w:p>
    <w:p w14:paraId="73BB8CF5">
      <w:pPr>
        <w:rPr/>
      </w:pPr>
      <w:r>
        <w:t>本文使用的主要数学符号定义如下表所示：</w:t>
      </w:r>
    </w:p>
    <w:p w14:paraId="486CFCF4">
      <w:pPr>
        <w:rPr/>
      </w:pPr>
      <w:r>
        <w:t xml:space="preserve"> </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627"/>
        <w:gridCol w:w="3042"/>
        <w:gridCol w:w="3597"/>
      </w:tblGrid>
      <w:tr w14:paraId="45534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5254051">
            <w:pPr>
              <w:rPr/>
            </w:pPr>
            <w:r>
              <w:t>符号</w:t>
            </w:r>
          </w:p>
        </w:tc>
        <w:tc>
          <w:p w14:paraId="1601D96E">
            <w:pPr>
              <w:rPr/>
            </w:pPr>
            <w:r>
              <w:t>定义</w:t>
            </w:r>
          </w:p>
        </w:tc>
        <w:tc>
          <w:p w14:paraId="467103A2">
            <w:pPr>
              <w:rPr/>
            </w:pPr>
            <w:r>
              <w:t>说明</w:t>
            </w:r>
          </w:p>
        </w:tc>
      </w:tr>
      <w:tr w14:paraId="0943C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C91F163">
            <w:pPr>
              <w:rPr/>
            </w:pPr>
            <m:oMathPara>
              <m:oMath>
                <m:r>
                  <m:rPr>
                    <m:sty m:val="p"/>
                  </m:rPr>
                  <w:rPr>
                    <w:rFonts w:ascii="Times New Roman" w:hAnsi="Times New Roman"/>
                  </w:rPr>
                  <m:t>i</m:t>
                </m:r>
              </m:oMath>
            </m:oMathPara>
          </w:p>
        </w:tc>
        <w:tc>
          <w:p w14:paraId="3904765F">
            <w:pPr>
              <w:rPr/>
            </w:pPr>
            <w:r>
              <w:t>选手索引</w:t>
            </w:r>
          </w:p>
        </w:tc>
        <w:tc>
          <w:p w14:paraId="0D583A3B">
            <w:pPr>
              <w:rPr/>
            </w:pPr>
            <w:r>
              <w:t xml:space="preserve">表示同一周内的第 </w:t>
            </w:r>
            <m:oMath>
              <m:r>
                <m:rPr>
                  <m:sty m:val="p"/>
                </m:rPr>
                <w:rPr>
                  <w:rFonts w:ascii="Times New Roman" w:hAnsi="Times New Roman"/>
                </w:rPr>
                <m:t>i</m:t>
              </m:r>
            </m:oMath>
            <w:r>
              <w:t xml:space="preserve"> 位选手</w:t>
            </w:r>
          </w:p>
        </w:tc>
      </w:tr>
      <w:tr w14:paraId="1D5E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98A2763">
            <w:pPr>
              <w:rPr/>
            </w:pPr>
            <m:oMathPara>
              <m:oMath>
                <m:r>
                  <m:rPr>
                    <m:sty m:val="p"/>
                  </m:rPr>
                  <w:rPr>
                    <w:rFonts w:ascii="Times New Roman" w:hAnsi="Times New Roman"/>
                  </w:rPr>
                  <m:t>t</m:t>
                </m:r>
              </m:oMath>
            </m:oMathPara>
          </w:p>
        </w:tc>
        <w:tc>
          <w:p w14:paraId="675FCE88">
            <w:pPr>
              <w:rPr/>
            </w:pPr>
            <w:r>
              <w:t>周次/赛季索引</w:t>
            </w:r>
          </w:p>
        </w:tc>
        <w:tc>
          <w:p w14:paraId="740B4A0E">
            <w:pPr>
              <w:rPr/>
            </w:pPr>
            <w:r>
              <w:t>表示特定的比赛阶段</w:t>
            </w:r>
          </w:p>
        </w:tc>
      </w:tr>
      <w:tr w14:paraId="4F594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EDA7756">
            <w:pPr>
              <w:rPr/>
            </w:pPr>
            <m:oMathPara>
              <m:oMath>
                <m:sSub>
                  <m:sSubPr>
                    <m:ctrlPr>
                      <w:rPr/>
                    </m:ctrlPr>
                  </m:sSubPr>
                  <m:e>
                    <m:r>
                      <m:rPr>
                        <m:sty m:val="p"/>
                      </m:rPr>
                      <w:rPr>
                        <w:rFonts w:ascii="Times New Roman" w:hAnsi="Times New Roman"/>
                      </w:rPr>
                      <m:t>J</m:t>
                    </m:r>
                    <m:ctrlPr>
                      <w:rPr/>
                    </m:ctrlPr>
                  </m:e>
                  <m:sub>
                    <m:r>
                      <m:rPr>
                        <m:sty m:val="p"/>
                      </m:rPr>
                      <w:rPr>
                        <w:rFonts w:ascii="Times New Roman" w:hAnsi="Times New Roman"/>
                      </w:rPr>
                      <m:t>i,t</m:t>
                    </m:r>
                    <m:ctrlPr>
                      <w:rPr/>
                    </m:ctrlPr>
                  </m:sub>
                </m:sSub>
              </m:oMath>
            </m:oMathPara>
          </w:p>
        </w:tc>
        <w:tc>
          <w:p w14:paraId="409C5927">
            <w:pPr>
              <w:rPr/>
            </w:pPr>
            <w:r>
              <w:t>评委评分 (Judge Score)</w:t>
            </w:r>
          </w:p>
        </w:tc>
        <w:tc>
          <w:p w14:paraId="1BBCA29B">
            <w:pPr>
              <w:rPr/>
            </w:pPr>
            <w:r>
              <w:t xml:space="preserve">第 </w:t>
            </w:r>
            <m:oMath>
              <m:r>
                <m:rPr>
                  <m:sty m:val="p"/>
                </m:rPr>
                <w:rPr>
                  <w:rFonts w:ascii="Times New Roman" w:hAnsi="Times New Roman"/>
                </w:rPr>
                <m:t>t</m:t>
              </m:r>
            </m:oMath>
            <w:r>
              <w:t xml:space="preserve"> 周第 </w:t>
            </w:r>
            <m:oMath>
              <m:r>
                <m:rPr>
                  <m:sty m:val="p"/>
                </m:rPr>
                <w:rPr>
                  <w:rFonts w:ascii="Times New Roman" w:hAnsi="Times New Roman"/>
                </w:rPr>
                <m:t>i</m:t>
              </m:r>
            </m:oMath>
            <w:r>
              <w:t xml:space="preserve"> 位选手的评委原始分或平均分</w:t>
            </w:r>
          </w:p>
        </w:tc>
      </w:tr>
      <w:tr w14:paraId="3C5BE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90FD03C">
            <w:pPr>
              <w:rPr/>
            </w:pPr>
            <m:oMathPara>
              <m:oMath>
                <m:sSub>
                  <m:sSubPr>
                    <m:ctrlPr>
                      <w:rPr/>
                    </m:ctrlPr>
                  </m:sSubPr>
                  <m:e>
                    <m:r>
                      <m:rPr>
                        <m:sty m:val="p"/>
                      </m:rPr>
                      <w:rPr>
                        <w:rFonts w:ascii="Times New Roman" w:hAnsi="Times New Roman"/>
                      </w:rPr>
                      <m:t>p</m:t>
                    </m:r>
                    <m:ctrlPr>
                      <w:rPr/>
                    </m:ctrlPr>
                  </m:e>
                  <m:sub>
                    <m:r>
                      <m:rPr>
                        <m:sty m:val="p"/>
                      </m:rPr>
                      <w:rPr>
                        <w:rFonts w:ascii="Times New Roman" w:hAnsi="Times New Roman"/>
                      </w:rPr>
                      <m:t>i,t</m:t>
                    </m:r>
                    <m:ctrlPr>
                      <w:rPr/>
                    </m:ctrlPr>
                  </m:sub>
                </m:sSub>
              </m:oMath>
            </m:oMathPara>
          </w:p>
        </w:tc>
        <w:tc>
          <w:p w14:paraId="70E46682">
            <w:pPr>
              <w:rPr/>
            </w:pPr>
            <w:r>
              <w:t>粉丝投票比例 (Fan Vote Prop.)</w:t>
            </w:r>
          </w:p>
        </w:tc>
        <w:tc>
          <w:p w14:paraId="07D64175">
            <w:pPr>
              <w:rPr/>
            </w:pPr>
            <w:r>
              <w:t xml:space="preserve">模型估算的第 </w:t>
            </w:r>
            <m:oMath>
              <m:r>
                <m:rPr>
                  <m:sty m:val="p"/>
                </m:rPr>
                <w:rPr>
                  <w:rFonts w:ascii="Times New Roman" w:hAnsi="Times New Roman"/>
                </w:rPr>
                <m:t>t</m:t>
              </m:r>
            </m:oMath>
            <w:r>
              <w:t xml:space="preserve"> 周第 </w:t>
            </w:r>
            <m:oMath>
              <m:r>
                <m:rPr>
                  <m:sty m:val="p"/>
                </m:rPr>
                <w:rPr>
                  <w:rFonts w:ascii="Times New Roman" w:hAnsi="Times New Roman"/>
                </w:rPr>
                <m:t>i</m:t>
              </m:r>
            </m:oMath>
            <w:r>
              <w:t xml:space="preserve"> 位选手的得票权重</w:t>
            </w:r>
          </w:p>
        </w:tc>
      </w:tr>
      <w:tr w14:paraId="134DB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C73591C">
            <w:pPr>
              <w:rPr/>
            </w:pPr>
            <m:oMathPara>
              <m:oMath>
                <m:sSub>
                  <m:sSubPr>
                    <m:ctrlPr>
                      <w:rPr/>
                    </m:ctrlPr>
                  </m:sSubPr>
                  <m:e>
                    <m:r>
                      <m:rPr>
                        <m:sty m:val="p"/>
                      </m:rPr>
                      <w:rPr>
                        <w:rFonts w:ascii="Times New Roman" w:hAnsi="Times New Roman"/>
                      </w:rPr>
                      <m:t>u</m:t>
                    </m:r>
                    <m:ctrlPr>
                      <w:rPr/>
                    </m:ctrlPr>
                  </m:e>
                  <m:sub>
                    <m:r>
                      <m:rPr>
                        <m:sty m:val="p"/>
                      </m:rPr>
                      <w:rPr>
                        <w:rFonts w:ascii="Times New Roman" w:hAnsi="Times New Roman"/>
                      </w:rPr>
                      <m:t>i,t</m:t>
                    </m:r>
                    <m:ctrlPr>
                      <w:rPr/>
                    </m:ctrlPr>
                  </m:sub>
                </m:sSub>
              </m:oMath>
            </m:oMathPara>
          </w:p>
        </w:tc>
        <w:tc>
          <w:p w14:paraId="45B9A0B0">
            <w:pPr>
              <w:rPr/>
            </w:pPr>
            <w:r>
              <w:t>潜在效用 (Latent Utility)</w:t>
            </w:r>
          </w:p>
        </w:tc>
        <w:tc>
          <w:p w14:paraId="3423EAA9">
            <w:pPr>
              <w:rPr/>
            </w:pPr>
            <w:r>
              <w:t>选手的内在人气强度，用于生成投票比例</w:t>
            </w:r>
          </w:p>
        </w:tc>
      </w:tr>
      <w:tr w14:paraId="62DF4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8988096">
            <w:pPr>
              <w:rPr/>
            </w:pPr>
            <m:oMathPara>
              <m:oMath>
                <m:sSub>
                  <m:sSubPr>
                    <m:ctrlPr>
                      <w:rPr/>
                    </m:ctrlPr>
                  </m:sSubPr>
                  <m:e>
                    <m:r>
                      <m:rPr>
                        <m:sty m:val="p"/>
                      </m:rPr>
                      <w:rPr>
                        <w:rFonts w:ascii="Times New Roman" w:hAnsi="Times New Roman"/>
                      </w:rPr>
                      <m:t>τ</m:t>
                    </m:r>
                    <m:ctrlPr>
                      <w:rPr/>
                    </m:ctrlPr>
                  </m:e>
                  <m:sub>
                    <m:r>
                      <m:rPr>
                        <m:sty m:val="p"/>
                      </m:rPr>
                      <w:rPr>
                        <w:rFonts w:ascii="Times New Roman" w:hAnsi="Times New Roman"/>
                      </w:rPr>
                      <m:t>s</m:t>
                    </m:r>
                    <m:ctrlPr>
                      <w:rPr/>
                    </m:ctrlPr>
                  </m:sub>
                </m:sSub>
              </m:oMath>
            </m:oMathPara>
          </w:p>
        </w:tc>
        <w:tc>
          <w:p w14:paraId="59D63D23">
            <w:pPr>
              <w:rPr/>
            </w:pPr>
            <w:r>
              <w:t>偏好平滑度 (Softmax Temp)</w:t>
            </w:r>
          </w:p>
        </w:tc>
        <w:tc>
          <w:p w14:paraId="5EA9DFF9">
            <w:pPr>
              <w:rPr/>
            </w:pPr>
            <w:r>
              <w:t>调节人气分布差异的温度参数</w:t>
            </w:r>
          </w:p>
        </w:tc>
      </w:tr>
      <w:tr w14:paraId="2EB8C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3A58979">
            <w:pPr>
              <w:rPr/>
            </w:pPr>
            <m:oMathPara>
              <m:oMath>
                <m:sSub>
                  <m:sSubPr>
                    <m:ctrlPr>
                      <w:rPr/>
                    </m:ctrlPr>
                  </m:sSubPr>
                  <m:e>
                    <m:r>
                      <m:rPr>
                        <m:sty m:val="p"/>
                      </m:rPr>
                      <w:rPr>
                        <w:rFonts w:ascii="Times New Roman" w:hAnsi="Times New Roman"/>
                      </w:rPr>
                      <m:t>τ</m:t>
                    </m:r>
                    <m:ctrlPr>
                      <w:rPr/>
                    </m:ctrlPr>
                  </m:e>
                  <m:sub>
                    <m:r>
                      <m:rPr>
                        <m:sty m:val="p"/>
                      </m:rPr>
                      <w:rPr>
                        <w:rFonts w:ascii="Times New Roman" w:hAnsi="Times New Roman"/>
                      </w:rPr>
                      <m:t>L</m:t>
                    </m:r>
                    <m:ctrlPr>
                      <w:rPr/>
                    </m:ctrlPr>
                  </m:sub>
                </m:sSub>
              </m:oMath>
            </m:oMathPara>
          </w:p>
        </w:tc>
        <w:tc>
          <w:p w14:paraId="4730CBD8">
            <w:pPr>
              <w:rPr/>
            </w:pPr>
            <w:r>
              <w:t>决策严苛度 (Likelihood Temp)</w:t>
            </w:r>
          </w:p>
        </w:tc>
        <w:tc>
          <w:p w14:paraId="3ADAFA72">
            <w:pPr>
              <w:rPr/>
            </w:pPr>
            <w:r>
              <w:t>调节模型对“最低分即淘汰”这一规则的置信度</w:t>
            </w:r>
          </w:p>
        </w:tc>
      </w:tr>
      <w:tr w14:paraId="7402E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0F4E00A">
            <w:pPr>
              <w:rPr/>
            </w:pPr>
            <m:oMathPara>
              <m:oMath>
                <m:r>
                  <m:rPr>
                    <m:nor/>
                    <m:sty m:val="p"/>
                  </m:rPr>
                  <w:rPr>
                    <w:rFonts w:ascii="Times New Roman" w:hAnsi="Times New Roman"/>
                  </w:rPr>
                  <m:t>L</m:t>
                </m:r>
                <m:r>
                  <m:rPr>
                    <m:sty m:val="p"/>
                  </m:rPr>
                  <w:rPr>
                    <w:rFonts w:ascii="Times New Roman" w:hAnsi="Times New Roman"/>
                  </w:rPr>
                  <m:t>(θ)</m:t>
                </m:r>
              </m:oMath>
            </m:oMathPara>
          </w:p>
        </w:tc>
        <w:tc>
          <w:p w14:paraId="1F20CDCC">
            <w:pPr>
              <w:rPr/>
            </w:pPr>
            <w:r>
              <w:t>似然函数 (Likelihood)</w:t>
            </w:r>
          </w:p>
        </w:tc>
        <w:tc>
          <w:p w14:paraId="154DC5D5">
            <w:pPr>
              <w:rPr/>
            </w:pPr>
            <w:r>
              <w:t>用于贝叶斯推理的目标函数</w:t>
            </w:r>
          </w:p>
        </w:tc>
      </w:tr>
      <w:tr w14:paraId="0812F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0A83BA1">
            <w:pPr>
              <w:rPr/>
            </w:pPr>
            <m:oMathPara>
              <m:oMath>
                <m:r>
                  <m:rPr>
                    <m:sty m:val="p"/>
                  </m:rPr>
                  <w:rPr>
                    <w:rFonts w:ascii="Times New Roman" w:hAnsi="Times New Roman"/>
                  </w:rPr>
                  <m:t>σ(</m:t>
                </m:r>
                <m:sSub>
                  <m:sSubPr>
                    <m:ctrlPr>
                      <w:rPr/>
                    </m:ctrlPr>
                  </m:sSubPr>
                  <m:e>
                    <m:r>
                      <m:rPr>
                        <m:sty m:val="p"/>
                      </m:rPr>
                      <w:rPr>
                        <w:rFonts w:ascii="Times New Roman" w:hAnsi="Times New Roman"/>
                      </w:rPr>
                      <m:t>p</m:t>
                    </m:r>
                    <m:ctrlPr>
                      <w:rPr/>
                    </m:ctrlPr>
                  </m:e>
                  <m:sub>
                    <m:r>
                      <m:rPr>
                        <m:sty m:val="p"/>
                      </m:rPr>
                      <w:rPr>
                        <w:rFonts w:ascii="Times New Roman" w:hAnsi="Times New Roman"/>
                      </w:rPr>
                      <m:t>i</m:t>
                    </m:r>
                    <m:ctrlPr>
                      <w:rPr/>
                    </m:ctrlPr>
                  </m:sub>
                </m:sSub>
                <m:r>
                  <m:rPr>
                    <m:sty m:val="p"/>
                  </m:rPr>
                  <w:rPr>
                    <w:rFonts w:ascii="Times New Roman" w:hAnsi="Times New Roman"/>
                  </w:rPr>
                  <m:t>)</m:t>
                </m:r>
              </m:oMath>
            </m:oMathPara>
          </w:p>
        </w:tc>
        <w:tc>
          <w:p w14:paraId="31D1B991">
            <w:pPr>
              <w:rPr/>
            </w:pPr>
            <w:r>
              <w:t>估计标准差 (Certainty Measure)</w:t>
            </w:r>
          </w:p>
        </w:tc>
        <w:tc>
          <w:p w14:paraId="02408C1B">
            <w:pPr>
              <w:rPr/>
            </w:pPr>
            <w:r>
              <w:t>表征粉丝投票估算确定性的度量指标</w:t>
            </w:r>
          </w:p>
        </w:tc>
      </w:tr>
      <w:tr w14:paraId="59DE0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37DFE9">
            <w:pPr>
              <w:rPr/>
            </w:pPr>
            <m:oMathPara>
              <m:oMath>
                <m:r>
                  <m:rPr>
                    <m:sty m:val="p"/>
                  </m:rPr>
                  <w:rPr>
                    <w:rFonts w:ascii="Times New Roman" w:hAnsi="Times New Roman"/>
                  </w:rPr>
                  <m:t>ICC</m:t>
                </m:r>
              </m:oMath>
            </m:oMathPara>
          </w:p>
        </w:tc>
        <w:tc>
          <w:p w14:paraId="5063DD5F">
            <w:pPr>
              <w:rPr/>
            </w:pPr>
            <w:r>
              <w:t>组内相关系数</w:t>
            </w:r>
          </w:p>
        </w:tc>
        <w:tc>
          <w:p w14:paraId="1A4412F5">
            <w:pPr>
              <w:rPr/>
            </w:pPr>
            <w:r>
              <w:t>用于衡量职业舞者对分数变异的贡献比例</w:t>
            </w:r>
          </w:p>
        </w:tc>
      </w:tr>
      <w:tr w14:paraId="7D11B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AA91E34">
            <w:pPr>
              <w:rPr/>
            </w:pPr>
            <m:oMathPara>
              <m:oMath>
                <m:sSub>
                  <m:sSubPr>
                    <m:ctrlPr>
                      <w:rPr/>
                    </m:ctrlPr>
                  </m:sSubPr>
                  <m:e>
                    <m:r>
                      <m:rPr>
                        <m:sty m:val="p"/>
                      </m:rPr>
                      <w:rPr>
                        <w:rFonts w:ascii="Times New Roman" w:hAnsi="Times New Roman"/>
                      </w:rPr>
                      <m:t>Z</m:t>
                    </m:r>
                    <m:ctrlPr>
                      <w:rPr/>
                    </m:ctrlPr>
                  </m:e>
                  <m:sub>
                    <m:r>
                      <m:rPr>
                        <m:sty m:val="p"/>
                      </m:rPr>
                      <w:rPr>
                        <w:rFonts w:ascii="Times New Roman" w:hAnsi="Times New Roman"/>
                      </w:rPr>
                      <m:t>i,t</m:t>
                    </m:r>
                    <m:ctrlPr>
                      <w:rPr/>
                    </m:ctrlPr>
                  </m:sub>
                </m:sSub>
              </m:oMath>
            </m:oMathPara>
          </w:p>
        </w:tc>
        <w:tc>
          <w:p w14:paraId="4309B8BE">
            <w:pPr>
              <w:rPr/>
            </w:pPr>
            <w:r>
              <w:t>标准 Z-分数</w:t>
            </w:r>
          </w:p>
        </w:tc>
        <w:tc>
          <w:p w14:paraId="5D48BF82">
            <w:pPr>
              <w:rPr/>
            </w:pPr>
            <w:r>
              <w:t>在 DAES 评价体系中用于消除评分膨胀的统计量</w:t>
            </w:r>
          </w:p>
        </w:tc>
      </w:tr>
    </w:tbl>
    <w:p w14:paraId="713C5982">
      <w:pPr>
        <w:rPr/>
      </w:pPr>
      <w:r>
        <w:br w:type="textWrapping"/>
      </w:r>
      <w:r>
        <w:br w:type="textWrapping"/>
      </w:r>
    </w:p>
    <w:p w14:paraId="03F2E513">
      <w:pPr>
        <w:rPr/>
      </w:pPr>
      <w:r>
        <w:rPr>
          <w:rFonts w:hint="default"/>
        </w:rPr>
        <w:t>4. Model I: 基于逆向决策理论 (IDM) 的粉丝投票估算</w:t>
      </w:r>
    </w:p>
    <w:p w14:paraId="2709B868">
      <w:pPr>
        <w:rPr>
          <w:rFonts w:hint="default"/>
        </w:rPr>
      </w:pPr>
      <w:r>
        <w:rPr>
          <w:rFonts w:hint="default"/>
        </w:rPr>
        <w:t>4.1 建模思路：从“黑箱”表象到“偏好”本质的逆推</w:t>
      </w:r>
    </w:p>
    <w:p w14:paraId="30C624CF">
      <w:pPr>
        <w:rPr>
          <w:rFonts w:hint="default"/>
        </w:rPr>
      </w:pPr>
      <w:r>
        <w:rPr>
          <w:rFonts w:hint="default"/>
        </w:rPr>
        <w:t>在《与星共舞》(DWTS) 的竞赛体系中，粉丝投票数（Fan Votes）是被节目组严密保护的机密变量，外界仅能观察到最终的淘汰结果。这种信息不对称性构成了一个典型的“黑箱推断问题”：我们已知输入的一部分（评委分）和输出的结果（谁被淘汰），目标是反演输入的另一部分（粉丝投票）。</w:t>
      </w:r>
      <w:r>
        <w:rPr>
          <w:rFonts w:hint="default"/>
        </w:rPr>
        <w:br w:type="textWrapping"/>
      </w:r>
    </w:p>
    <w:p w14:paraId="338095B5">
      <w:pPr>
        <w:rPr>
          <w:rFonts w:hint="default"/>
        </w:rPr>
      </w:pPr>
      <w:r>
        <w:rPr>
          <w:rFonts w:hint="default"/>
        </w:rPr>
        <w:t>本研究引入 逆向决策理论 (Inverse Decision-Making, IDM) 框架。该理论的核心逻辑在于：决策者的行为（淘汰决定）是有目的性的，且受到其偏好的驱动。通过构建一个能够模拟投票合成与淘汰逻辑的“前向模型”，我们便可以利用贝叶斯推断寻找最能解释现实观测结果的潜变量。我们的目标不仅是获得一个点估计值，更要量化在不同赛态下，这种反向推演的确定性 (Certainty)。</w:t>
      </w:r>
      <w:r>
        <w:rPr>
          <w:rFonts w:hint="default"/>
        </w:rPr>
        <w:br w:type="textWrapping"/>
      </w:r>
    </w:p>
    <w:p w14:paraId="64F16685">
      <w:pPr>
        <w:rPr>
          <w:rFonts w:hint="default"/>
        </w:rPr>
      </w:pPr>
      <w:r>
        <w:rPr>
          <w:rFonts w:hint="default"/>
        </w:rPr>
        <w:t>4.2 数据预处理：构建稳健的输入矩阵</w:t>
      </w:r>
    </w:p>
    <w:p w14:paraId="73F2742A">
      <w:pPr>
        <w:rPr>
          <w:rFonts w:hint="default"/>
        </w:rPr>
      </w:pPr>
      <w:r>
        <w:rPr>
          <w:rFonts w:hint="default"/>
        </w:rPr>
        <w:t>为了消除原始数据中的噪声并对齐计算维度，我们执行了以下预处理步骤：</w:t>
      </w:r>
    </w:p>
    <w:p w14:paraId="553A2064">
      <w:pPr>
        <w:rPr>
          <w:rFonts w:hint="default"/>
        </w:rPr>
      </w:pPr>
      <w:r>
        <w:rPr>
          <w:rFonts w:hint="default"/>
        </w:rPr>
        <w:t>分值加权与平均：</w:t>
      </w:r>
    </w:p>
    <w:p w14:paraId="0068A804">
      <w:pPr>
        <w:rPr>
          <w:rFonts w:hint="default"/>
        </w:rPr>
      </w:pPr>
      <w:r>
        <w:rPr>
          <w:rFonts w:hint="default"/>
        </w:rPr>
        <w:t>针对一周内进行多场舞蹈或含有额外奖励分的情形，我们计算选手的加权技术均分：</w:t>
      </w:r>
    </w:p>
    <w:p w14:paraId="59209E04">
      <w:pPr>
        <w:rPr>
          <w:rFonts w:hint="default"/>
        </w:rPr>
      </w:pPr>
    </w:p>
    <w:p w14:paraId="5EAF1ED5">
      <w:pPr>
        <w:rPr>
          <w:rFonts w:hint="default"/>
        </w:rPr>
      </w:pPr>
    </w:p>
    <w:p w14:paraId="66B98BB6">
      <w:pPr>
        <w:rPr>
          <w:rFonts w:hint="default"/>
        </w:rPr>
      </w:pPr>
      <m:oMathPara>
        <m:oMath>
          <m:sSub>
            <m:sSubPr>
              <m:ctrlPr>
                <w:rPr>
                  <w:rFonts w:hint="default" w:ascii="Cambria Math" w:hAnsi="Cambria Math"/>
                  <w:sz w:val="24"/>
                </w:rPr>
              </m:ctrlPr>
            </m:sSubPr>
            <m:e>
              <m:r>
                <m:rPr/>
                <w:rPr>
                  <w:rFonts w:hint="default" w:ascii="Cambria Math" w:hAnsi="Cambria Math"/>
                  <w:sz w:val="24"/>
                </w:rPr>
                <m:t>J</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K</m:t>
              </m:r>
              <m:ctrlPr>
                <w:rPr>
                  <w:rFonts w:ascii="Cambria Math" w:hAnsi="Cambria Math"/>
                  <w:sz w:val="24"/>
                </w:rPr>
              </m:ctrlPr>
            </m:den>
          </m:f>
          <m:nary>
            <m:naryPr>
              <m:chr m:val="∑"/>
              <m:limLoc m:val="undOvr"/>
              <m:ctrlPr>
                <w:rPr>
                  <w:rFonts w:hint="default" w:ascii="Cambria Math" w:hAnsi="Cambria Math"/>
                  <w:i/>
                  <w:sz w:val="24"/>
                </w:rPr>
              </m:ctrlPr>
            </m:naryPr>
            <m:sub>
              <m:r>
                <m:rPr/>
                <w:rPr>
                  <w:rFonts w:hint="default" w:ascii="Cambria Math" w:hAnsi="Cambria Math"/>
                  <w:sz w:val="24"/>
                </w:rPr>
                <m:t>k=1</m:t>
              </m:r>
              <m:ctrlPr>
                <w:rPr>
                  <w:rFonts w:ascii="Cambria Math" w:hAnsi="Cambria Math"/>
                  <w:sz w:val="24"/>
                </w:rPr>
              </m:ctrlPr>
            </m:sub>
            <m:sup>
              <m:r>
                <m:rPr/>
                <w:rPr>
                  <w:rFonts w:hint="default" w:ascii="Cambria Math" w:hAnsi="Cambria Math"/>
                  <w:sz w:val="24"/>
                </w:rPr>
                <m:t>K</m:t>
              </m:r>
              <m:ctrlPr>
                <w:rPr>
                  <w:rFonts w:ascii="Cambria Math" w:hAnsi="Cambria Math"/>
                  <w:sz w:val="24"/>
                </w:rPr>
              </m:ctrlPr>
            </m:sup>
            <m:e>
              <m:r>
                <m:rPr/>
                <w:rPr>
                  <w:rFonts w:hint="default" w:ascii="Cambria Math" w:hAnsi="Cambria Math"/>
                  <w:sz w:val="24"/>
                </w:rPr>
                <m:t>(</m:t>
              </m:r>
              <m:ctrlPr>
                <w:rPr>
                  <w:rFonts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judge,k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bonus,k</m:t>
              </m:r>
              <m:ctrlPr>
                <w:rPr>
                  <w:rFonts w:ascii="Cambria Math" w:hAnsi="Cambria Math"/>
                  <w:sz w:val="24"/>
                </w:rPr>
              </m:ctrlPr>
            </m:sub>
          </m:sSub>
          <m:r>
            <m:rPr/>
            <w:rPr>
              <w:rFonts w:hint="default" w:ascii="Cambria Math" w:hAnsi="Cambria Math"/>
              <w:sz w:val="24"/>
            </w:rPr>
            <m:t>)</m:t>
          </m:r>
        </m:oMath>
      </m:oMathPara>
    </w:p>
    <w:p w14:paraId="11F6C721">
      <w:pPr>
        <w:rPr>
          <w:rFonts w:hint="default"/>
        </w:rPr>
      </w:pPr>
      <w:r>
        <w:rPr>
          <w:rFonts w:hint="default"/>
        </w:rPr>
        <w:t>确保每个选手的技术表现被压缩为一个标准化的标量。</w:t>
      </w:r>
    </w:p>
    <w:p w14:paraId="3E24B0B3">
      <w:pPr>
        <w:rPr>
          <w:rFonts w:hint="default"/>
        </w:rPr>
      </w:pPr>
    </w:p>
    <w:p w14:paraId="56E7B96C">
      <w:pPr>
        <w:rPr>
          <w:rFonts w:hint="default"/>
        </w:rPr>
      </w:pPr>
      <w:r>
        <w:rPr>
          <w:rFonts w:hint="default"/>
        </w:rPr>
        <w:t>缺失值与状态对齐：</w:t>
      </w:r>
    </w:p>
    <w:p w14:paraId="7ABC0A99">
      <w:pPr>
        <w:rPr>
          <w:rFonts w:hint="default"/>
        </w:rPr>
      </w:pPr>
    </w:p>
    <w:p w14:paraId="72D66348">
      <w:pPr>
        <w:rPr>
          <w:rFonts w:hint="default"/>
        </w:rPr>
      </w:pPr>
      <w:r>
        <w:rPr>
          <w:rFonts w:hint="default"/>
        </w:rPr>
        <w:t xml:space="preserve">数据中的 N/A 被严格识别为“未参赛”而非“0分”。我们构建了周活跃选手集 </w:t>
      </w:r>
      <m:oMath>
        <m:sSub>
          <m:sSubPr>
            <m:ctrlPr>
              <w:rPr>
                <w:rFonts w:hint="default" w:ascii="Cambria Math" w:hAnsi="Cambria Math"/>
                <w:sz w:val="24"/>
              </w:rPr>
            </m:ctrlPr>
          </m:sSubPr>
          <m:e>
            <m:r>
              <m:rPr>
                <m:scr m:val="script"/>
              </m:rPr>
              <w:rPr>
                <w:rFonts w:hint="default" w:ascii="Cambria Math" w:hAnsi="Cambria Math" w:eastAsia="MS Mincho"/>
                <w:sz w:val="24"/>
              </w:rPr>
              <m:t>S</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rPr>
        <w:t>，仅在该集合内进行投票比例的分配（即</w:t>
      </w:r>
      <m:oMath>
        <m:nary>
          <m:naryPr>
            <m:chr m:val="∑"/>
            <m:limLoc m:val="undOvr"/>
            <m:supHide m:val="1"/>
            <m:ctrlPr>
              <w:rPr>
                <w:rFonts w:hint="default" w:ascii="Cambria Math" w:hAnsi="Cambria Math"/>
                <w:i/>
                <w:sz w:val="24"/>
              </w:rPr>
            </m:ctrlPr>
          </m:naryPr>
          <m:sub>
            <m:r>
              <m:rPr/>
              <w:rPr>
                <w:rFonts w:hint="default" w:ascii="Cambria Math" w:hAnsi="Cambria Math"/>
                <w:sz w:val="24"/>
              </w:rPr>
              <m:t>i∈</m:t>
            </m:r>
            <m:sSub>
              <m:sSubPr>
                <m:ctrlPr>
                  <w:rPr>
                    <w:rFonts w:hint="default" w:ascii="Cambria Math" w:hAnsi="Cambria Math"/>
                    <w:sz w:val="24"/>
                  </w:rPr>
                </m:ctrlPr>
              </m:sSubPr>
              <m:e>
                <m:r>
                  <m:rPr>
                    <m:scr m:val="script"/>
                  </m:rPr>
                  <w:rPr>
                    <w:rFonts w:hint="default" w:ascii="Cambria Math" w:hAnsi="Cambria Math" w:eastAsia="MS Mincho"/>
                    <w:sz w:val="24"/>
                  </w:rPr>
                  <m:t>S</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sub>
          <m:sup>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ctrlPr>
              <w:rPr>
                <w:rFonts w:hint="default" w:ascii="Cambria Math" w:hAnsi="Cambria Math"/>
                <w:sz w:val="24"/>
              </w:rPr>
            </m:ctrlPr>
          </m:e>
        </m:nary>
        <m:r>
          <m:rPr/>
          <w:rPr>
            <w:rFonts w:hint="default" w:ascii="Cambria Math" w:hAnsi="Cambria Math"/>
            <w:sz w:val="24"/>
          </w:rPr>
          <m:t>=1</m:t>
        </m:r>
      </m:oMath>
      <w:r>
        <w:rPr>
          <w:rFonts w:hint="default"/>
        </w:rPr>
        <w:t>），从而保证了计算的数学自洽性。</w:t>
      </w:r>
    </w:p>
    <w:p w14:paraId="5F45FAD5">
      <w:pPr>
        <w:rPr>
          <w:rFonts w:hint="default"/>
        </w:rPr>
      </w:pPr>
    </w:p>
    <w:p w14:paraId="7A0B17CE">
      <w:pPr>
        <w:rPr>
          <w:rFonts w:hint="default"/>
        </w:rPr>
      </w:pPr>
      <w:r>
        <w:rPr>
          <w:rFonts w:hint="default"/>
        </w:rPr>
        <w:t>4.3 概率框架构建：偏好映射与判别逻辑</w:t>
      </w:r>
    </w:p>
    <w:p w14:paraId="17AD8729">
      <w:pPr>
        <w:rPr>
          <w:rFonts w:hint="default"/>
        </w:rPr>
      </w:pPr>
      <w:r>
        <w:rPr>
          <w:rFonts w:hint="default"/>
        </w:rPr>
        <w:t>4.3.1 前向偏好模型 (Forward Preference Model)</w:t>
      </w:r>
    </w:p>
    <w:p w14:paraId="1AFE4709">
      <w:pPr>
        <w:rPr>
          <w:rFonts w:hint="default"/>
        </w:rPr>
      </w:pPr>
      <w:r>
        <w:rPr>
          <w:rFonts w:hint="default"/>
        </w:rPr>
        <w:t>基于 Luce 选择公理 (Luce's Choice Axiom)，粉丝对选手 $i$ 的支持程度源于其内在的人气潜效用 $u_{i,t}$。我们将这一连续的效用值映射为离散的得票概率分布：</w:t>
      </w:r>
    </w:p>
    <w:p w14:paraId="5DD3D06A">
      <w:pPr>
        <w:rPr>
          <w:rFonts w:hint="default"/>
        </w:rPr>
      </w:pPr>
      <m:oMathPara>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func>
                <m:funcPr>
                  <m:ctrlPr>
                    <w:rPr>
                      <w:rFonts w:hint="default" w:ascii="Cambria Math" w:hAnsi="Cambria Math"/>
                      <w:sz w:val="24"/>
                    </w:rPr>
                  </m:ctrlPr>
                </m:funcPr>
                <m:fName>
                  <m:r>
                    <m:rPr>
                      <m:sty m:val="p"/>
                    </m:rPr>
                    <w:rPr>
                      <w:rFonts w:hint="default" w:ascii="Cambria Math" w:hAnsi="Cambria Math"/>
                      <w:sz w:val="24"/>
                    </w:rPr>
                    <m:t>exp</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τ</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num>
            <m:den>
              <m:nary>
                <m:naryPr>
                  <m:chr m:val="∑"/>
                  <m:limLoc m:val="undOvr"/>
                  <m:supHide m:val="1"/>
                  <m:ctrlPr>
                    <w:rPr>
                      <w:rFonts w:hint="default" w:ascii="Cambria Math" w:hAnsi="Cambria Math"/>
                      <w:i/>
                      <w:sz w:val="24"/>
                    </w:rPr>
                  </m:ctrlPr>
                </m:naryPr>
                <m:sub>
                  <m:r>
                    <m:rPr/>
                    <w:rPr>
                      <w:rFonts w:hint="default" w:ascii="Cambria Math" w:hAnsi="Cambria Math"/>
                      <w:sz w:val="24"/>
                    </w:rPr>
                    <m:t>j∈</m:t>
                  </m:r>
                  <m:sSub>
                    <m:sSubPr>
                      <m:ctrlPr>
                        <w:rPr>
                          <w:rFonts w:hint="default" w:ascii="Cambria Math" w:hAnsi="Cambria Math"/>
                          <w:sz w:val="24"/>
                        </w:rPr>
                      </m:ctrlPr>
                    </m:sSubPr>
                    <m:e>
                      <m:r>
                        <m:rPr>
                          <m:scr m:val="script"/>
                        </m:rPr>
                        <w:rPr>
                          <w:rFonts w:hint="default" w:ascii="Cambria Math" w:hAnsi="Cambria Math" w:eastAsia="MS Mincho"/>
                          <w:sz w:val="24"/>
                        </w:rPr>
                        <m:t>S</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sub>
                <m:sup>
                  <m:ctrlPr>
                    <w:rPr>
                      <w:rFonts w:hint="default"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exp</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ctrlPr>
                    <w:rPr>
                      <w:rFonts w:hint="default"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u</m:t>
                  </m:r>
                  <m:ctrlPr>
                    <w:rPr>
                      <w:rFonts w:hint="default" w:ascii="Cambria Math" w:hAnsi="Cambria Math"/>
                      <w:sz w:val="24"/>
                    </w:rPr>
                  </m:ctrlPr>
                </m:e>
                <m:sub>
                  <m:r>
                    <m:rPr/>
                    <w:rPr>
                      <w:rFonts w:hint="default" w:ascii="Cambria Math" w:hAnsi="Cambria Math"/>
                      <w:sz w:val="24"/>
                    </w:rPr>
                    <m:t>j,t</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τ</m:t>
                  </m:r>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m:t>
              </m:r>
              <m:ctrlPr>
                <w:rPr>
                  <w:rFonts w:hint="default" w:ascii="Cambria Math" w:hAnsi="Cambria Math"/>
                  <w:sz w:val="24"/>
                </w:rPr>
              </m:ctrlPr>
            </m:den>
          </m:f>
        </m:oMath>
      </m:oMathPara>
    </w:p>
    <w:p w14:paraId="4F31A410">
      <w:pPr>
        <w:rPr>
          <w:rFonts w:hint="default"/>
        </w:rPr>
      </w:pPr>
      <w:r>
        <w:rPr>
          <w:rFonts w:hint="default"/>
        </w:rPr>
        <w:t xml:space="preserve">其中 </w:t>
      </w:r>
      <m:oMath>
        <m:sSub>
          <m:sSubPr>
            <m:ctrlPr>
              <w:rPr>
                <w:rFonts w:hint="default" w:ascii="Cambria Math" w:hAnsi="Cambria Math"/>
                <w:sz w:val="24"/>
              </w:rPr>
            </m:ctrlPr>
          </m:sSubPr>
          <m:e>
            <m:r>
              <m:rPr/>
              <w:rPr>
                <w:rFonts w:hint="default" w:ascii="Cambria Math" w:hAnsi="Cambria Math"/>
                <w:sz w:val="24"/>
              </w:rPr>
              <m:t>τ</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hint="default"/>
        </w:rPr>
        <w:t xml:space="preserve"> 为温度参数，用于平衡人气分布的平滑度。该 Softmax 映射保证了得票比例在空间上的平滑性与可导性。</w:t>
      </w:r>
    </w:p>
    <w:p w14:paraId="0723D811">
      <w:pPr>
        <w:rPr>
          <w:rFonts w:hint="default"/>
        </w:rPr>
      </w:pPr>
      <w:r>
        <w:rPr>
          <w:rFonts w:hint="default"/>
        </w:rPr>
        <w:t>4.3.2 逆向似然函数 (Inverse Likelihood Function)</w:t>
      </w:r>
    </w:p>
    <w:p w14:paraId="05DD147E">
      <w:pPr>
        <w:rPr>
          <w:rFonts w:hint="default"/>
        </w:rPr>
      </w:pPr>
      <w:r>
        <w:rPr>
          <w:rFonts w:hint="default"/>
        </w:rPr>
        <w:t xml:space="preserve">根据赛季规则的演变，我们设计了两种似然函数 </w:t>
      </w:r>
      <m:oMath>
        <m:r>
          <m:rPr>
            <m:scr m:val="script"/>
          </m:rPr>
          <w:rPr>
            <w:rFonts w:hint="default" w:ascii="Cambria Math" w:hAnsi="Cambria Math" w:eastAsia="MS Mincho"/>
            <w:sz w:val="24"/>
          </w:rPr>
          <m:t>ℒ</m:t>
        </m:r>
        <m:r>
          <m:rPr/>
          <w:rPr>
            <w:rFonts w:hint="default" w:ascii="Cambria Math" w:hAnsi="Cambria Math"/>
            <w:sz w:val="24"/>
          </w:rPr>
          <m:t>(θ)</m:t>
        </m:r>
      </m:oMath>
      <w:r>
        <w:rPr>
          <w:rFonts w:hint="default"/>
        </w:rPr>
        <w:t>，用于刻画假设分布与真实淘汰结果的契合度。</w:t>
      </w:r>
    </w:p>
    <w:p w14:paraId="3A038A1F">
      <w:pPr>
        <w:rPr>
          <w:rFonts w:hint="default"/>
        </w:rPr>
      </w:pPr>
      <w:r>
        <w:rPr>
          <w:rFonts w:hint="default"/>
        </w:rPr>
        <w:t>1. 排名制似然 (Rank-based System)</w:t>
      </w:r>
    </w:p>
    <w:p w14:paraId="155D553E">
      <w:pPr>
        <w:rPr>
          <w:rFonts w:hint="default"/>
        </w:rPr>
      </w:pPr>
      <w:r>
        <w:rPr>
          <w:rFonts w:hint="default"/>
        </w:rPr>
        <w:t>在排名制下，选手的生存由评委排名与观众排名的离散和决定。由于排名函数不可导，我们使用 Sigmoid 软近似来描述“淘汰者</w:t>
      </w:r>
      <m:oMath>
        <m:r>
          <m:rPr/>
          <w:rPr>
            <w:rFonts w:hint="default" w:ascii="Cambria Math" w:hAnsi="Cambria Math"/>
            <w:sz w:val="24"/>
          </w:rPr>
          <m:t>e</m:t>
        </m:r>
      </m:oMath>
      <w:r>
        <w:rPr>
          <w:rFonts w:hint="default"/>
        </w:rPr>
        <w:t>拥有最大排名和”的概率：</w:t>
      </w:r>
    </w:p>
    <w:p w14:paraId="7605B113">
      <w:pPr>
        <w:rPr/>
      </w:pPr>
      <m:oMathPara>
        <m:oMath>
          <m:r>
            <m:rPr>
              <m:scr m:val="script"/>
            </m:rPr>
            <w:rPr>
              <w:rFonts w:hint="default" w:ascii="Cambria Math" w:hAnsi="Cambria Math" w:eastAsia="MS Mincho"/>
              <w:sz w:val="24"/>
            </w:rPr>
            <m:t>ℒ</m:t>
          </m:r>
          <m:r>
            <m:rPr/>
            <w:rPr>
              <w:rFonts w:hint="default" w:ascii="Cambria Math" w:hAnsi="Cambria Math"/>
              <w:sz w:val="24"/>
            </w:rPr>
            <m:t>(θ</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rank</m:t>
              </m:r>
              <m:ctrlPr>
                <w:rPr>
                  <w:rFonts w:ascii="Cambria Math" w:hAnsi="Cambria Math"/>
                  <w:sz w:val="24"/>
                </w:rPr>
              </m:ctrlPr>
            </m:sub>
          </m:sSub>
          <m:r>
            <m:rPr/>
            <w:rPr>
              <w:rFonts w:hint="default" w:ascii="Cambria Math" w:hAnsi="Cambria Math"/>
              <w:sz w:val="24"/>
            </w:rPr>
            <m:t>=σ</m:t>
          </m:r>
          <m:d>
            <m:dPr>
              <m:ctrlPr>
                <w:rPr>
                  <w:rFonts w:hint="default" w:ascii="Cambria Math" w:hAnsi="Cambria Math"/>
                  <w:i/>
                  <w:sz w:val="24"/>
                </w:rPr>
              </m:ctrlPr>
            </m:dPr>
            <m:e>
              <m:f>
                <m:fPr>
                  <m:ctrlPr>
                    <w:rPr>
                      <w:rFonts w:hint="default" w:ascii="Cambria Math" w:hAnsi="Cambria Math"/>
                      <w:i/>
                      <w:sz w:val="24"/>
                    </w:rPr>
                  </m:ctrlPr>
                </m:fPr>
                <m:num>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J,e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F,e</m:t>
                      </m:r>
                      <m:ctrlPr>
                        <w:rPr>
                          <w:rFonts w:ascii="Cambria Math" w:hAnsi="Cambria Math"/>
                          <w:sz w:val="24"/>
                        </w:rPr>
                      </m:ctrlPr>
                    </m:sub>
                  </m:sSub>
                  <m:r>
                    <m:rPr/>
                    <w:rPr>
                      <w:rFonts w:hint="default" w:ascii="Cambria Math" w:hAnsi="Cambria Math"/>
                      <w:sz w:val="24"/>
                    </w:rPr>
                    <m:t>)−</m:t>
                  </m:r>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max</m:t>
                          </m:r>
                          <m:ctrlPr>
                            <w:rPr>
                              <w:rFonts w:ascii="Cambria Math" w:hAnsi="Cambria Math"/>
                              <w:sz w:val="24"/>
                            </w:rPr>
                          </m:ctrlPr>
                        </m:e>
                        <m:lim>
                          <m:r>
                            <m:rPr/>
                            <w:rPr>
                              <w:rFonts w:hint="default" w:ascii="Cambria Math" w:hAnsi="Cambria Math"/>
                              <w:sz w:val="24"/>
                            </w:rPr>
                            <m:t>j≠e</m:t>
                          </m:r>
                          <m:ctrlPr>
                            <w:rPr>
                              <w:rFonts w:ascii="Cambria Math" w:hAnsi="Cambria Math"/>
                              <w:sz w:val="24"/>
                            </w:rPr>
                          </m:ctrlPr>
                        </m:lim>
                      </m:limLow>
                      <m:ctrlPr>
                        <w:rPr>
                          <w:rFonts w:hint="default" w:ascii="Cambria Math" w:hAnsi="Cambria Math"/>
                          <w:sz w:val="24"/>
                        </w:rPr>
                      </m:ctrlPr>
                    </m:fName>
                    <m:e>
                      <m:r>
                        <m:rPr/>
                        <w:rPr>
                          <w:rFonts w:hint="default" w:ascii="Cambria Math" w:hAnsi="Cambria Math"/>
                          <w:sz w:val="24"/>
                        </w:rPr>
                        <m:t>(</m:t>
                      </m:r>
                      <m:ctrlPr>
                        <w:rPr>
                          <w:rFonts w:hint="default" w:ascii="Cambria Math" w:hAnsi="Cambria Math"/>
                          <w:sz w:val="24"/>
                        </w:rPr>
                      </m:ctrlPr>
                    </m:e>
                  </m:func>
                  <m:sSub>
                    <m:sSubPr>
                      <m:ctrlPr>
                        <w:rPr>
                          <w:rFonts w:hint="default" w:ascii="Cambria Math" w:hAnsi="Cambria Math"/>
                          <w:sz w:val="24"/>
                        </w:rPr>
                      </m:ctrlPr>
                    </m:sSubPr>
                    <m:e>
                      <m:r>
                        <m:rPr/>
                        <w:rPr>
                          <w:rFonts w:hint="default" w:ascii="Cambria Math" w:hAnsi="Cambria Math"/>
                          <w:sz w:val="24"/>
                        </w:rPr>
                        <m:t>R</m:t>
                      </m:r>
                      <m:ctrlPr>
                        <w:rPr>
                          <w:rFonts w:hint="default" w:ascii="Cambria Math" w:hAnsi="Cambria Math"/>
                          <w:sz w:val="24"/>
                        </w:rPr>
                      </m:ctrlPr>
                    </m:e>
                    <m:sub>
                      <m:r>
                        <m:rPr/>
                        <w:rPr>
                          <w:rFonts w:hint="default" w:ascii="Cambria Math" w:hAnsi="Cambria Math"/>
                          <w:sz w:val="24"/>
                        </w:rPr>
                        <m:t>J,j</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hint="default" w:ascii="Cambria Math" w:hAnsi="Cambria Math"/>
                          <w:sz w:val="24"/>
                        </w:rPr>
                      </m:ctrlPr>
                    </m:e>
                    <m:sub>
                      <m:r>
                        <m:rPr/>
                        <w:rPr>
                          <w:rFonts w:hint="default" w:ascii="Cambria Math" w:hAnsi="Cambria Math"/>
                          <w:sz w:val="24"/>
                        </w:rPr>
                        <m:t>F,j</m:t>
                      </m:r>
                      <m:ctrlPr>
                        <w:rPr>
                          <w:rFonts w:hint="default" w:ascii="Cambria Math" w:hAnsi="Cambria Math"/>
                          <w:sz w:val="24"/>
                        </w:rPr>
                      </m:ctrlPr>
                    </m:sub>
                  </m:sSub>
                  <m:r>
                    <m:rPr/>
                    <w:rPr>
                      <w:rFonts w:hint="default" w:ascii="Cambria Math" w:hAnsi="Cambria Math"/>
                      <w:sz w:val="24"/>
                    </w:rPr>
                    <m:t>)</m:t>
                  </m:r>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τ</m:t>
                      </m:r>
                      <m:ctrlPr>
                        <w:rPr>
                          <w:rFonts w:hint="default" w:ascii="Cambria Math" w:hAnsi="Cambria Math"/>
                          <w:sz w:val="24"/>
                        </w:rPr>
                      </m:ctrlPr>
                    </m:e>
                    <m:sub>
                      <m:r>
                        <m:rPr/>
                        <w:rPr>
                          <w:rFonts w:hint="default" w:ascii="Cambria Math" w:hAnsi="Cambria Math"/>
                          <w:sz w:val="24"/>
                        </w:rPr>
                        <m:t>L</m:t>
                      </m:r>
                      <m:ctrlPr>
                        <w:rPr>
                          <w:rFonts w:hint="default"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d>
        </m:oMath>
      </m:oMathPara>
    </w:p>
    <w:p w14:paraId="28FE1E54">
      <w:pPr>
        <w:rPr>
          <w:rFonts w:hint="default"/>
        </w:rPr>
      </w:pPr>
      <w:r>
        <w:rPr>
          <w:rFonts w:hint="default"/>
        </w:rPr>
        <w:t xml:space="preserve">其中 </w:t>
      </w:r>
      <m:oMath>
        <m:r>
          <m:rPr/>
          <w:rPr>
            <w:rFonts w:hint="default" w:ascii="Cambria Math" w:hAnsi="Cambria Math"/>
            <w:sz w:val="24"/>
          </w:rPr>
          <m:t>R</m:t>
        </m:r>
      </m:oMath>
      <w:r>
        <w:rPr>
          <w:rFonts w:hint="default"/>
        </w:rPr>
        <w:t xml:space="preserve"> 代表排名（1 为最佳），</w:t>
      </w:r>
      <m:oMath>
        <m:sSub>
          <m:sSubPr>
            <m:ctrlPr>
              <w:rPr>
                <w:rFonts w:hint="default" w:ascii="Cambria Math" w:hAnsi="Cambria Math"/>
                <w:sz w:val="24"/>
              </w:rPr>
            </m:ctrlPr>
          </m:sSubPr>
          <m:e>
            <m:r>
              <m:rPr/>
              <w:rPr>
                <w:rFonts w:hint="default" w:ascii="Cambria Math" w:hAnsi="Cambria Math"/>
                <w:sz w:val="24"/>
              </w:rPr>
              <m:t>τ</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oMath>
      <w:r>
        <w:rPr>
          <w:rFonts w:hint="default"/>
        </w:rPr>
        <w:t xml:space="preserve"> 调节判定的严苛程度。</w:t>
      </w:r>
    </w:p>
    <w:p w14:paraId="1E49A95A">
      <w:pPr>
        <w:rPr>
          <w:rFonts w:hint="default"/>
        </w:rPr>
      </w:pPr>
      <w:r>
        <w:rPr>
          <w:rFonts w:hint="default"/>
        </w:rPr>
        <w:t>2. 百分比制似然 (Percentage-based System)</w:t>
      </w:r>
    </w:p>
    <w:p w14:paraId="00AE19FB">
      <w:pPr>
        <w:rPr>
          <w:rFonts w:hint="default"/>
        </w:rPr>
      </w:pPr>
      <w:r>
        <w:rPr>
          <w:rFonts w:hint="default"/>
        </w:rPr>
        <w:t xml:space="preserve">最终百分比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J</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ctrlPr>
              <w:rPr>
                <w:rFonts w:hint="default" w:ascii="Cambria Math" w:hAnsi="Cambria Math"/>
                <w:sz w:val="24"/>
              </w:rPr>
            </m:ctrlPr>
          </m:num>
          <m:den>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J</m:t>
                    </m:r>
                    <m:ctrlPr>
                      <w:rPr>
                        <w:rFonts w:ascii="Cambria Math" w:hAnsi="Cambria Math"/>
                        <w:sz w:val="24"/>
                      </w:rPr>
                    </m:ctrlPr>
                  </m:e>
                  <m:sub>
                    <m:r>
                      <m:rPr/>
                      <w:rPr>
                        <w:rFonts w:hint="default" w:ascii="Cambria Math" w:hAnsi="Cambria Math"/>
                        <w:sz w:val="24"/>
                      </w:rPr>
                      <m:t>j,t</m:t>
                    </m:r>
                    <m:ctrlPr>
                      <w:rPr>
                        <w:rFonts w:ascii="Cambria Math" w:hAnsi="Cambria Math"/>
                        <w:sz w:val="24"/>
                      </w:rPr>
                    </m:ctrlPr>
                  </m:sub>
                </m:sSub>
                <m:ctrlPr>
                  <w:rPr>
                    <w:rFonts w:hint="default" w:ascii="Cambria Math" w:hAnsi="Cambria Math"/>
                    <w:sz w:val="24"/>
                  </w:rPr>
                </m:ctrlPr>
              </m:e>
            </m:nary>
            <m:ctrlPr>
              <w:rPr>
                <w:rFonts w:hint="default" w:ascii="Cambria Math" w:hAnsi="Cambria Math"/>
                <w:i/>
                <w:sz w:val="24"/>
              </w:rPr>
            </m:ctrlPr>
          </m:den>
        </m:f>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hint="default" w:ascii="Cambria Math" w:hAnsi="Cambria Math"/>
                <w:i/>
                <w:sz w:val="24"/>
              </w:rPr>
            </m:ctrlPr>
          </m:e>
          <m:sub>
            <m:r>
              <m:rPr/>
              <w:rPr>
                <w:rFonts w:hint="default" w:ascii="Cambria Math" w:hAnsi="Cambria Math"/>
                <w:sz w:val="24"/>
              </w:rPr>
              <m:t>i,t</m:t>
            </m:r>
            <m:ctrlPr>
              <w:rPr>
                <w:rFonts w:hint="default" w:ascii="Cambria Math" w:hAnsi="Cambria Math"/>
                <w:i/>
                <w:sz w:val="24"/>
              </w:rPr>
            </m:ctrlPr>
          </m:sub>
        </m:sSub>
      </m:oMath>
      <w:r>
        <w:rPr>
          <w:rFonts w:hint="default"/>
        </w:rPr>
        <w:t xml:space="preserve"> 决定去留。我们构建类似 Gibbs 分布的判别函数：</w:t>
      </w:r>
    </w:p>
    <w:p w14:paraId="022C0A7B">
      <w:pPr>
        <w:rPr/>
      </w:pPr>
      <m:oMathPara>
        <m:oMath>
          <m:r>
            <m:rPr>
              <m:scr m:val="script"/>
            </m:rPr>
            <w:rPr>
              <w:rFonts w:hint="default" w:ascii="Cambria Math" w:hAnsi="Cambria Math" w:eastAsia="MS Mincho"/>
              <w:sz w:val="24"/>
            </w:rPr>
            <m:t>ℒ</m:t>
          </m:r>
          <m:r>
            <m:rPr/>
            <w:rPr>
              <w:rFonts w:hint="default" w:ascii="Cambria Math" w:hAnsi="Cambria Math"/>
              <w:sz w:val="24"/>
            </w:rPr>
            <m:t>(θ</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perc</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func>
                <m:funcPr>
                  <m:ctrlPr>
                    <w:rPr>
                      <w:rFonts w:hint="default" w:ascii="Cambria Math" w:hAnsi="Cambria Math"/>
                      <w:sz w:val="24"/>
                    </w:rPr>
                  </m:ctrlPr>
                </m:funcPr>
                <m:fName>
                  <m:r>
                    <m:rPr>
                      <m:sty m:val="p"/>
                    </m:rPr>
                    <w:rPr>
                      <w:rFonts w:hint="default" w:ascii="Cambria Math" w:hAnsi="Cambria Math"/>
                      <w:sz w:val="24"/>
                    </w:rPr>
                    <m:t>exp</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τ</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num>
            <m:den>
              <m:nary>
                <m:naryPr>
                  <m:chr m:val="∑"/>
                  <m:limLoc m:val="undOvr"/>
                  <m:supHide m:val="1"/>
                  <m:ctrlPr>
                    <w:rPr>
                      <w:rFonts w:hint="default" w:ascii="Cambria Math" w:hAnsi="Cambria Math"/>
                      <w:i/>
                      <w:sz w:val="24"/>
                    </w:rPr>
                  </m:ctrlPr>
                </m:naryPr>
                <m:sub>
                  <m:r>
                    <m:rPr/>
                    <w:rPr>
                      <w:rFonts w:hint="default" w:ascii="Cambria Math" w:hAnsi="Cambria Math"/>
                      <w:sz w:val="24"/>
                    </w:rPr>
                    <m:t>j∈</m:t>
                  </m:r>
                  <m:sSub>
                    <m:sSubPr>
                      <m:ctrlPr>
                        <w:rPr>
                          <w:rFonts w:hint="default" w:ascii="Cambria Math" w:hAnsi="Cambria Math"/>
                          <w:sz w:val="24"/>
                        </w:rPr>
                      </m:ctrlPr>
                    </m:sSubPr>
                    <m:e>
                      <m:r>
                        <m:rPr>
                          <m:scr m:val="script"/>
                        </m:rPr>
                        <w:rPr>
                          <w:rFonts w:hint="default" w:ascii="Cambria Math" w:hAnsi="Cambria Math" w:eastAsia="MS Mincho"/>
                          <w:sz w:val="24"/>
                        </w:rPr>
                        <m:t>S</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sub>
                <m:sup>
                  <m:ctrlPr>
                    <w:rPr>
                      <w:rFonts w:hint="default"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exp</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ctrlPr>
                    <w:rPr>
                      <w:rFonts w:hint="default"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hint="default" w:ascii="Cambria Math" w:hAnsi="Cambria Math"/>
                      <w:sz w:val="24"/>
                    </w:rPr>
                  </m:ctrlPr>
                </m:e>
                <m:sub>
                  <m:r>
                    <m:rPr/>
                    <w:rPr>
                      <w:rFonts w:hint="default" w:ascii="Cambria Math" w:hAnsi="Cambria Math"/>
                      <w:sz w:val="24"/>
                    </w:rPr>
                    <m:t>j</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τ</m:t>
                  </m:r>
                  <m:ctrlPr>
                    <w:rPr>
                      <w:rFonts w:hint="default" w:ascii="Cambria Math" w:hAnsi="Cambria Math"/>
                      <w:sz w:val="24"/>
                    </w:rPr>
                  </m:ctrlPr>
                </m:e>
                <m:sub>
                  <m:r>
                    <m:rPr/>
                    <w:rPr>
                      <w:rFonts w:hint="default" w:ascii="Cambria Math" w:hAnsi="Cambria Math"/>
                      <w:sz w:val="24"/>
                    </w:rPr>
                    <m:t>L</m:t>
                  </m:r>
                  <m:ctrlPr>
                    <w:rPr>
                      <w:rFonts w:hint="default" w:ascii="Cambria Math" w:hAnsi="Cambria Math"/>
                      <w:sz w:val="24"/>
                    </w:rPr>
                  </m:ctrlPr>
                </m:sub>
              </m:sSub>
              <m:r>
                <m:rPr/>
                <w:rPr>
                  <w:rFonts w:hint="default" w:ascii="Cambria Math" w:hAnsi="Cambria Math"/>
                  <w:sz w:val="24"/>
                </w:rPr>
                <m:t>)</m:t>
              </m:r>
              <m:ctrlPr>
                <w:rPr>
                  <w:rFonts w:hint="default" w:ascii="Cambria Math" w:hAnsi="Cambria Math"/>
                  <w:sz w:val="24"/>
                </w:rPr>
              </m:ctrlPr>
            </m:den>
          </m:f>
        </m:oMath>
      </m:oMathPara>
    </w:p>
    <w:p w14:paraId="64412310">
      <w:pPr>
        <w:rPr>
          <w:rFonts w:hint="default"/>
        </w:rPr>
      </w:pPr>
      <w:r>
        <w:rPr>
          <w:rFonts w:hint="default"/>
        </w:rPr>
        <w:t>4.4 贝叶斯推理：双阶估计策略</w:t>
      </w:r>
    </w:p>
    <w:p w14:paraId="785FA375">
      <w:pPr>
        <w:rPr>
          <w:rFonts w:hint="default"/>
        </w:rPr>
      </w:pPr>
      <w:r>
        <w:rPr>
          <w:rFonts w:hint="default"/>
        </w:rPr>
        <w:t>为了获得既准确又具备统计解释性的估算值，我们采取了以下算法路径：</w:t>
      </w:r>
    </w:p>
    <w:p w14:paraId="677316C1">
      <w:pPr>
        <w:rPr>
          <w:rFonts w:hint="default"/>
        </w:rPr>
      </w:pPr>
      <w:r>
        <w:rPr>
          <w:rFonts w:hint="default"/>
        </w:rPr>
        <w:t>最大后验估计 (MAP)：</w:t>
      </w:r>
    </w:p>
    <w:p w14:paraId="45CE59E0">
      <w:pPr>
        <w:rPr>
          <w:rFonts w:hint="default"/>
        </w:rPr>
      </w:pPr>
      <w:r>
        <w:rPr>
          <w:rFonts w:hint="default"/>
        </w:rPr>
        <w:t>利用 L-BFGS-B 优化器在潜效用空间寻找</w:t>
      </w:r>
      <m:oMath>
        <m:sSubSup>
          <m:sSubSupPr>
            <m:ctrlPr>
              <w:rPr>
                <w:rFonts w:hint="default" w:ascii="Cambria Math" w:hAnsi="Cambria Math"/>
                <w:sz w:val="24"/>
              </w:rPr>
            </m:ctrlPr>
          </m:sSubSupPr>
          <m:e>
            <m:r>
              <m:rPr>
                <m:sty m:val="b"/>
              </m:rPr>
              <w:rPr>
                <w:rFonts w:hint="default" w:ascii="Cambria Math" w:hAnsi="Cambria Math"/>
                <w:sz w:val="24"/>
              </w:rPr>
              <m:t>u</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oMath>
      <w:r>
        <w:rPr>
          <w:rFonts w:hint="default"/>
        </w:rPr>
        <w:t xml:space="preserve">，最大化对数似然 </w:t>
      </w:r>
      <m:oMath>
        <m:func>
          <m:funcPr>
            <m:ctrlPr>
              <w:rPr>
                <w:rFonts w:hint="default" w:ascii="Cambria Math" w:hAnsi="Cambria Math"/>
                <w:sz w:val="24"/>
              </w:rPr>
            </m:ctrlPr>
          </m:funcPr>
          <m:fName>
            <m:r>
              <m:rPr>
                <m:sty m:val="p"/>
              </m:rPr>
              <w:rPr>
                <w:rFonts w:hint="default" w:ascii="Cambria Math" w:hAnsi="Cambria Math"/>
                <w:sz w:val="24"/>
              </w:rPr>
              <m:t>ln</m:t>
            </m:r>
            <m:ctrlPr>
              <w:rPr>
                <w:rFonts w:ascii="Cambria Math" w:hAnsi="Cambria Math"/>
                <w:sz w:val="24"/>
              </w:rPr>
            </m:ctrlPr>
          </m:fName>
          <m:e>
            <m:r>
              <m:rPr>
                <m:scr m:val="script"/>
              </m:rPr>
              <w:rPr>
                <w:rFonts w:hint="default" w:ascii="Cambria Math" w:hAnsi="Cambria Math" w:eastAsia="MS Mincho"/>
                <w:sz w:val="24"/>
              </w:rPr>
              <m:t>ℒ</m:t>
            </m:r>
            <m:ctrlPr>
              <w:rPr>
                <w:rFonts w:ascii="Cambria Math" w:hAnsi="Cambria Math"/>
                <w:sz w:val="24"/>
              </w:rPr>
            </m:ctrlPr>
          </m:e>
        </m:func>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u</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oMath>
      <w:r>
        <w:rPr>
          <w:rFonts w:hint="default"/>
        </w:rPr>
        <w:t>。这为我们提供了每周选手得票的最优基准值。</w:t>
      </w:r>
    </w:p>
    <w:p w14:paraId="0B69E4E3">
      <w:pPr>
        <w:rPr>
          <w:rFonts w:hint="default"/>
        </w:rPr>
      </w:pPr>
      <w:r>
        <w:rPr>
          <w:rFonts w:hint="default"/>
        </w:rPr>
        <w:t>马尔可夫链蒙特卡罗采样 (MCMC)：</w:t>
      </w:r>
    </w:p>
    <w:p w14:paraId="705B0A7B">
      <w:pPr>
        <w:rPr>
          <w:rFonts w:hint="default"/>
        </w:rPr>
      </w:pPr>
      <w:r>
        <w:rPr>
          <w:rFonts w:hint="default"/>
        </w:rPr>
        <w:t xml:space="preserve">使用 Metropolis-Hastings 算法 对后验分布进行探索。我们运行了 </w:t>
      </w:r>
      <m:oMath>
        <m:r>
          <m:rPr/>
          <w:rPr>
            <w:rFonts w:hint="default" w:ascii="Cambria Math" w:hAnsi="Cambria Math"/>
            <w:sz w:val="24"/>
          </w:rPr>
          <m:t>10,000</m:t>
        </m:r>
      </m:oMath>
      <w:r>
        <w:rPr>
          <w:rFonts w:hint="default"/>
        </w:rPr>
        <w:t xml:space="preserve"> 次采样迭代，前 </w:t>
      </w:r>
      <m:oMath>
        <m:r>
          <m:rPr/>
          <w:rPr>
            <w:rFonts w:hint="default" w:ascii="Cambria Math" w:hAnsi="Cambria Math"/>
            <w:sz w:val="24"/>
          </w:rPr>
          <m:t>2,000</m:t>
        </m:r>
      </m:oMath>
      <w:r>
        <w:rPr>
          <w:rFonts w:hint="default"/>
        </w:rPr>
        <w:t xml:space="preserve">次作为烧入期 (Burn-in)。这一过程产出了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oMath>
      <w:r>
        <w:rPr>
          <w:rFonts w:hint="default"/>
        </w:rPr>
        <w:t xml:space="preserve"> 的分布样本，使我们能够计算均值、置信区间及标准差。</w:t>
      </w:r>
    </w:p>
    <w:p w14:paraId="11E0EDC6">
      <w:pPr>
        <w:rPr>
          <w:rFonts w:hint="default"/>
        </w:rPr>
      </w:pPr>
    </w:p>
    <w:p w14:paraId="78A2573F">
      <w:pPr>
        <w:rPr>
          <w:rFonts w:hint="default"/>
        </w:rPr>
      </w:pPr>
      <w:r>
        <w:rPr>
          <w:rFonts w:hint="default"/>
        </w:rPr>
        <w:t>4.5 模型评估指标：一致性与确定性</w:t>
      </w:r>
    </w:p>
    <w:p w14:paraId="0A50FA65">
      <w:pPr>
        <w:rPr>
          <w:rFonts w:hint="default"/>
        </w:rPr>
      </w:pPr>
      <w:r>
        <w:rPr>
          <w:rFonts w:hint="default"/>
        </w:rPr>
        <w:t>4.5.1 一致性 (Consistency) 的测度</w:t>
      </w:r>
    </w:p>
    <w:p w14:paraId="209FF1C9">
      <w:pPr>
        <w:rPr>
          <w:rFonts w:hint="default"/>
        </w:rPr>
      </w:pPr>
      <w:r>
        <w:rPr>
          <w:rFonts w:hint="default"/>
        </w:rPr>
        <w:t>一致性反映模型解释现实的能力。</w:t>
      </w:r>
    </w:p>
    <w:p w14:paraId="7622EAA2">
      <w:pPr>
        <w:rPr>
          <w:rFonts w:hint="default"/>
        </w:rPr>
      </w:pPr>
    </w:p>
    <w:p w14:paraId="63CE9744">
      <w:pPr>
        <w:rPr>
          <w:rFonts w:hint="default"/>
        </w:rPr>
      </w:pPr>
      <w:r>
        <w:rPr>
          <w:rFonts w:hint="default"/>
        </w:rPr>
        <w:t>软一致性 (</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soft</m:t>
            </m:r>
            <m:ctrlPr>
              <w:rPr>
                <w:rFonts w:ascii="Cambria Math" w:hAnsi="Cambria Math"/>
                <w:sz w:val="24"/>
              </w:rPr>
            </m:ctrlPr>
          </m:sub>
        </m:sSub>
      </m:oMath>
      <w:r>
        <w:rPr>
          <w:rFonts w:hint="default"/>
        </w:rPr>
        <w:t>)：定义为实际淘汰者在模型预测下的似然概率值。它量化了“根据当前推测，淘汰该选手的合理性”。</w:t>
      </w:r>
    </w:p>
    <w:p w14:paraId="06DD1B33">
      <w:pPr>
        <w:rPr>
          <w:rFonts w:hint="default"/>
        </w:rPr>
      </w:pPr>
    </w:p>
    <w:p w14:paraId="6A29695E">
      <w:pPr>
        <w:rPr>
          <w:rFonts w:hint="default"/>
        </w:rPr>
      </w:pPr>
    </w:p>
    <w:p w14:paraId="4D2AAC33">
      <w:pPr>
        <w:rPr>
          <w:rFonts w:hint="default"/>
        </w:rPr>
      </w:pPr>
      <w:r>
        <w:rPr>
          <w:rFonts w:hint="default"/>
        </w:rPr>
        <w:t>硬准确率 (</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hard</m:t>
            </m:r>
            <m:ctrlPr>
              <w:rPr>
                <w:rFonts w:ascii="Cambria Math" w:hAnsi="Cambria Math"/>
                <w:sz w:val="24"/>
              </w:rPr>
            </m:ctrlPr>
          </m:sub>
        </m:sSub>
      </m:oMath>
      <w:r>
        <w:rPr>
          <w:rFonts w:hint="default"/>
        </w:rPr>
        <w:t>)：</w:t>
      </w:r>
    </w:p>
    <w:p w14:paraId="19739FFB">
      <w:pPr>
        <w:rPr>
          <w:rFonts w:hint="default"/>
        </w:rPr>
      </w:pPr>
    </w:p>
    <w:p w14:paraId="77A843E6">
      <w:pPr>
        <w:rPr>
          <w:rFonts w:hint="default"/>
        </w:rPr>
      </w:pPr>
    </w:p>
    <w:p w14:paraId="788453C7">
      <w:pPr>
        <w:rPr>
          <w:rFonts w:hint="default"/>
        </w:rPr>
      </w:pPr>
      <m:oMathPara>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hard</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T</m:t>
              </m:r>
              <m:ctrlPr>
                <w:rPr>
                  <w:rFonts w:ascii="Cambria Math" w:hAnsi="Cambria Math"/>
                  <w:sz w:val="24"/>
                </w:rPr>
              </m:ctrlPr>
            </m:den>
          </m:f>
          <m:nary>
            <m:naryPr>
              <m:chr m:val="∑"/>
              <m:limLoc m:val="undOvr"/>
              <m:ctrlPr>
                <w:rPr>
                  <w:rFonts w:hint="default" w:ascii="Cambria Math" w:hAnsi="Cambria Math"/>
                  <w:i/>
                  <w:sz w:val="24"/>
                </w:rPr>
              </m:ctrlPr>
            </m:naryPr>
            <m:sub>
              <m:r>
                <m:rPr/>
                <w:rPr>
                  <w:rFonts w:hint="default" w:ascii="Cambria Math" w:hAnsi="Cambria Math"/>
                  <w:sz w:val="24"/>
                </w:rPr>
                <m:t>t=1</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e>
              <m:r>
                <m:rPr>
                  <m:scr m:val="double-struck"/>
                </m:rPr>
                <w:rPr>
                  <w:rFonts w:hint="default" w:ascii="Cambria Math" w:hAnsi="Cambria Math" w:eastAsia="MS Mincho"/>
                  <w:sz w:val="24"/>
                </w:rPr>
                <m:t>1</m:t>
              </m:r>
              <m:ctrlPr>
                <w:rPr>
                  <w:rFonts w:ascii="Cambria Math" w:hAnsi="Cambria Math"/>
                  <w:sz w:val="24"/>
                </w:rPr>
              </m:ctrlPr>
            </m:e>
          </m:nary>
          <m:r>
            <m:rPr/>
            <w:rPr>
              <w:rFonts w:hint="default" w:ascii="Cambria Math" w:hAnsi="Cambria Math"/>
              <w:sz w:val="24"/>
            </w:rPr>
            <m:t>(</m:t>
          </m:r>
          <m:func>
            <m:funcPr>
              <m:ctrlPr>
                <w:rPr>
                  <w:rFonts w:hint="default" w:ascii="Cambria Math" w:hAnsi="Cambria Math"/>
                  <w:sz w:val="24"/>
                </w:rPr>
              </m:ctrlPr>
            </m:funcPr>
            <m:fName>
              <m:r>
                <m:rPr/>
                <w:rPr>
                  <w:rFonts w:hint="default" w:ascii="Cambria Math" w:hAnsi="Cambria Math"/>
                  <w:sz w:val="24"/>
                </w:rPr>
                <m:t>arg</m:t>
              </m:r>
              <m:ctrlPr>
                <w:rPr>
                  <w:rFonts w:ascii="Cambria Math" w:hAnsi="Cambria Math"/>
                  <w:sz w:val="24"/>
                </w:rPr>
              </m:ctrlPr>
            </m:fName>
            <m:e>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min</m:t>
                      </m:r>
                      <m:ctrlPr>
                        <w:rPr>
                          <w:rFonts w:ascii="Cambria Math" w:hAnsi="Cambria Math"/>
                          <w:sz w:val="24"/>
                        </w:rPr>
                      </m:ctrlPr>
                    </m:e>
                    <m:lim>
                      <m:r>
                        <m:rPr/>
                        <w:rPr>
                          <w:rFonts w:hint="default" w:ascii="Cambria Math" w:hAnsi="Cambria Math"/>
                          <w:sz w:val="24"/>
                        </w:rPr>
                        <m:t>i</m:t>
                      </m:r>
                      <m:ctrlPr>
                        <w:rPr>
                          <w:rFonts w:ascii="Cambria Math" w:hAnsi="Cambria Math"/>
                          <w:sz w:val="24"/>
                        </w:rPr>
                      </m:ctrlPr>
                    </m:lim>
                  </m:limLow>
                  <m:ctrlPr>
                    <w:rPr>
                      <w:rFonts w:hint="default" w:ascii="Cambria Math" w:hAnsi="Cambria Math"/>
                      <w:sz w:val="24"/>
                    </w:rPr>
                  </m:ctrlPr>
                </m:fName>
                <m:e>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ctrlPr>
                    <w:rPr>
                      <w:rFonts w:hint="default" w:ascii="Cambria Math" w:hAnsi="Cambria Math"/>
                      <w:sz w:val="24"/>
                    </w:rPr>
                  </m:ctrlPr>
                </m:e>
              </m:func>
              <m:ctrlPr>
                <w:rPr>
                  <w:rFonts w:hint="default" w:ascii="Cambria Math" w:hAnsi="Cambria Math"/>
                  <w:sz w:val="24"/>
                </w:rPr>
              </m:ctrlPr>
            </m:e>
          </m:func>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oMath>
      </m:oMathPara>
    </w:p>
    <w:p w14:paraId="12E485CA">
      <w:pPr>
        <w:rPr>
          <w:rFonts w:hint="default"/>
        </w:rPr>
      </w:pPr>
      <w:r>
        <w:rPr>
          <w:rFonts w:hint="default"/>
        </w:rPr>
        <w:t>实验验证表明，在横跨 34 个赛季的 264 周数据中，模型实现了 98.11% 的硬准确率。极少数预测失败出现在引入“评委二选一”机制的特定周次，证明了 IDM 核心逻辑的稳健性。</w:t>
      </w:r>
    </w:p>
    <w:p w14:paraId="0A9CECE2">
      <w:pPr>
        <w:rPr>
          <w:rFonts w:hint="default"/>
        </w:rPr>
      </w:pPr>
    </w:p>
    <w:p w14:paraId="1C929C7F">
      <w:pPr>
        <w:rPr>
          <w:rFonts w:hint="default"/>
        </w:rPr>
      </w:pPr>
      <w:r>
        <w:rPr>
          <w:rFonts w:hint="default"/>
        </w:rPr>
        <w:t>4.5.2 确定性 (Certainty) 的统计刻画</w:t>
      </w:r>
    </w:p>
    <w:p w14:paraId="6D294BD3">
      <w:pPr>
        <w:rPr>
          <w:rFonts w:hint="default"/>
        </w:rPr>
      </w:pPr>
      <w:r>
        <w:rPr>
          <w:rFonts w:hint="default"/>
        </w:rPr>
        <w:t xml:space="preserve">确定性是本模型的一大亮点，它回答了“推论的可信度”。我们定义选手 </w:t>
      </w:r>
      <m:oMath>
        <m:r>
          <m:rPr/>
          <w:rPr>
            <w:rFonts w:hint="default" w:ascii="Cambria Math" w:hAnsi="Cambria Math"/>
            <w:sz w:val="24"/>
          </w:rPr>
          <m:t>i</m:t>
        </m:r>
      </m:oMath>
      <w:r>
        <w:rPr>
          <w:rFonts w:hint="default"/>
        </w:rPr>
        <w:t xml:space="preserve"> 在第</w:t>
      </w:r>
      <m:oMath>
        <m:r>
          <m:rPr/>
          <w:rPr>
            <w:rFonts w:hint="default" w:ascii="Cambria Math" w:hAnsi="Cambria Math"/>
            <w:sz w:val="24"/>
          </w:rPr>
          <m:t>t</m:t>
        </m:r>
      </m:oMath>
      <w:r>
        <w:rPr>
          <w:rFonts w:hint="default"/>
        </w:rPr>
        <w:t xml:space="preserve"> 周的确定性指标 </w:t>
      </w:r>
      <m:oMath>
        <m:sSub>
          <m:sSubPr>
            <m:ctrlPr>
              <w:rPr>
                <w:rFonts w:hint="default" w:ascii="Cambria Math" w:hAnsi="Cambria Math"/>
                <w:sz w:val="24"/>
              </w:rPr>
            </m:ctrlPr>
          </m:sSubPr>
          <m:e>
            <m:r>
              <m:rPr>
                <m:sty m:val="p"/>
              </m:rPr>
              <w:rPr>
                <w:rFonts w:hint="default" w:ascii="Cambria Math" w:hAnsi="Cambria Math"/>
                <w:sz w:val="24"/>
              </w:rPr>
              <m:t>Φ</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oMath>
      <w:r>
        <w:rPr>
          <w:rFonts w:hint="default"/>
        </w:rPr>
        <w:t xml:space="preserve"> 为得票比例后验分布标准差的倒数：</w:t>
      </w:r>
    </w:p>
    <w:p w14:paraId="0E74633C">
      <w:pPr>
        <w:rPr/>
      </w:pPr>
      <m:oMathPara>
        <m:oMath>
          <m:sSub>
            <m:sSubPr>
              <m:ctrlPr>
                <w:rPr>
                  <w:rFonts w:hint="default" w:ascii="Cambria Math" w:hAnsi="Cambria Math"/>
                  <w:sz w:val="24"/>
                </w:rPr>
              </m:ctrlPr>
            </m:sSubPr>
            <m:e>
              <m:r>
                <m:rPr>
                  <m:sty m:val="p"/>
                </m:rPr>
                <w:rPr>
                  <w:rFonts w:hint="default" w:ascii="Cambria Math" w:hAnsi="Cambria Math"/>
                  <w:sz w:val="24"/>
                </w:rPr>
                <m:t>Φ</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Sub>
          <m:r>
            <m:rPr/>
            <w:rPr>
              <w:rFonts w:hint="default" w:ascii="Cambria Math" w:hAnsi="Cambria Math"/>
              <w:sz w:val="24"/>
            </w:rPr>
            <m:t>=</m:t>
          </m:r>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std(</m:t>
              </m:r>
              <m:sSubSup>
                <m:sSubSupPr>
                  <m:ctrlPr>
                    <w:rPr>
                      <w:rFonts w:hint="default" w:ascii="Cambria Math" w:hAnsi="Cambria Math"/>
                      <w:sz w:val="24"/>
                    </w:rPr>
                  </m:ctrlPr>
                </m:sSubSup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i,t</m:t>
                  </m:r>
                  <m:ctrlPr>
                    <w:rPr>
                      <w:rFonts w:ascii="Cambria Math" w:hAnsi="Cambria Math"/>
                      <w:sz w:val="24"/>
                    </w:rPr>
                  </m:ctrlPr>
                </m:sub>
                <m:sup>
                  <m:r>
                    <m:rPr/>
                    <w:rPr>
                      <w:rFonts w:hint="default" w:ascii="Cambria Math" w:hAnsi="Cambria Math"/>
                      <w:sz w:val="24"/>
                    </w:rPr>
                    <m:t>MCMC</m:t>
                  </m:r>
                  <m:ctrlPr>
                    <w:rPr>
                      <w:rFonts w:ascii="Cambria Math" w:hAnsi="Cambria Math"/>
                      <w:sz w:val="24"/>
                    </w:rPr>
                  </m:ctrlPr>
                </m:sup>
              </m:sSubSup>
              <m:r>
                <m:rPr/>
                <w:rPr>
                  <w:rFonts w:hint="default" w:ascii="Cambria Math" w:hAnsi="Cambria Math"/>
                  <w:sz w:val="24"/>
                </w:rPr>
                <m:t>)</m:t>
              </m:r>
              <m:ctrlPr>
                <w:rPr>
                  <w:rFonts w:hint="default" w:ascii="Cambria Math" w:hAnsi="Cambria Math"/>
                  <w:sz w:val="24"/>
                </w:rPr>
              </m:ctrlPr>
            </m:den>
          </m:f>
        </m:oMath>
      </m:oMathPara>
    </w:p>
    <w:p w14:paraId="0E9DBEFB">
      <w:pPr>
        <w:rPr>
          <w:rFonts w:hint="default"/>
        </w:rPr>
      </w:pPr>
      <w:r>
        <w:rPr>
          <w:rFonts w:hint="default"/>
        </w:rPr>
        <w:t>物理意义分析：</w:t>
      </w:r>
    </w:p>
    <w:p w14:paraId="5B369A30">
      <w:pPr>
        <w:rPr>
          <w:rFonts w:hint="default"/>
        </w:rPr>
      </w:pPr>
    </w:p>
    <w:p w14:paraId="76B3135C">
      <w:pPr>
        <w:rPr>
          <w:rFonts w:hint="default"/>
        </w:rPr>
      </w:pPr>
      <w:r>
        <w:rPr>
          <w:rFonts w:hint="default"/>
        </w:rPr>
        <w:t>高确定性 (</w:t>
      </w:r>
      <m:oMath>
        <m:r>
          <m:rPr>
            <m:sty m:val="p"/>
          </m:rPr>
          <w:rPr>
            <w:rFonts w:hint="default" w:ascii="Cambria Math" w:hAnsi="Cambria Math"/>
            <w:sz w:val="24"/>
          </w:rPr>
          <m:t>Φ</m:t>
        </m:r>
      </m:oMath>
      <w:r>
        <w:rPr>
          <w:rFonts w:hint="default"/>
        </w:rPr>
        <w:t xml:space="preserve"> 较大)：当观测到的淘汰结果具有极强的“判别性”时，</w:t>
      </w:r>
      <m:oMath>
        <m:r>
          <m:rPr>
            <m:sty m:val="p"/>
          </m:rPr>
          <w:rPr>
            <w:rFonts w:hint="default" w:ascii="Cambria Math" w:hAnsi="Cambria Math"/>
            <w:sz w:val="24"/>
          </w:rPr>
          <m:t>Φ</m:t>
        </m:r>
      </m:oMath>
      <w:r>
        <w:rPr>
          <w:rFonts w:hint="default"/>
        </w:rPr>
        <w:t>升高。典型案例是 Bobby Bones，因其评委分极低却晋级，模型推断其粉丝票数必须锁定在一个极窄的高位区间，这种“极值约束”使得我们的估算把握度极大。</w:t>
      </w:r>
    </w:p>
    <w:p w14:paraId="1CB71919">
      <w:pPr>
        <w:rPr>
          <w:rFonts w:hint="default"/>
        </w:rPr>
      </w:pPr>
      <w:r>
        <w:rPr>
          <w:rFonts w:hint="default"/>
        </w:rPr>
        <w:t>低确定性 (</w:t>
      </w:r>
      <m:oMath>
        <m:r>
          <m:rPr>
            <m:sty m:val="p"/>
          </m:rPr>
          <w:rPr>
            <w:rFonts w:hint="default" w:ascii="Cambria Math" w:hAnsi="Cambria Math"/>
            <w:sz w:val="24"/>
          </w:rPr>
          <m:t>Φ</m:t>
        </m:r>
      </m:oMath>
      <w:r>
        <w:rPr>
          <w:rFonts w:hint="default"/>
        </w:rPr>
        <w:t xml:space="preserve"> 较小)：当选手在所有维度均表现优异时，由于其地位稳固，粉丝票数的小幅波动不会改变其结果。此时淘汰规则对其票数的“数学约束”减弱，导致后验分布较宽。</w:t>
      </w:r>
    </w:p>
    <w:p w14:paraId="77AEBC08">
      <w:pPr>
        <w:rPr>
          <w:rFonts w:hint="default"/>
        </w:rPr>
      </w:pPr>
    </w:p>
    <w:p w14:paraId="5C438428">
      <w:pPr>
        <w:rPr/>
      </w:pPr>
      <w:r>
        <w:t>4.</w:t>
      </w:r>
      <w:r>
        <w:rPr>
          <w:rFonts w:hint="eastAsia"/>
          <w:lang w:val="en-US" w:eastAsia="zh-CN"/>
        </w:rPr>
        <w:t>6</w:t>
      </w:r>
      <w:r>
        <w:t xml:space="preserve"> 实验结果与实证发现 (Experimental Results and Findings)</w:t>
      </w:r>
    </w:p>
    <w:p w14:paraId="3051BA58">
      <w:pPr>
        <w:rPr/>
      </w:pPr>
      <w:r>
        <w:t>为了验证 IDM 模型的还原效力，我们在全样本范围内运行了大规模数值实验，并针对一致性、确定性及极端案例进行了深度解析。</w:t>
      </w:r>
    </w:p>
    <w:p w14:paraId="703B3B37">
      <w:pPr>
        <w:rPr/>
      </w:pPr>
      <w:r>
        <w:t xml:space="preserve"> </w:t>
      </w:r>
    </w:p>
    <w:p w14:paraId="692282FE">
      <w:pPr>
        <w:rPr/>
      </w:pPr>
      <w:r>
        <w:t>4.</w:t>
      </w:r>
      <w:r>
        <w:rPr>
          <w:rFonts w:hint="eastAsia"/>
          <w:lang w:val="en-US" w:eastAsia="zh-CN"/>
        </w:rPr>
        <w:t>6</w:t>
      </w:r>
      <w:r>
        <w:t>.1 数据与实验设定</w:t>
      </w:r>
    </w:p>
    <w:p w14:paraId="0B8479CC">
      <w:pPr>
        <w:rPr/>
      </w:pPr>
      <w:r>
        <w:t>模型运行于 DWTS 全部 34 个赛季，共计 264 个有效分析周次。</w:t>
      </w:r>
    </w:p>
    <w:p w14:paraId="34704E8D">
      <w:pPr>
        <w:rPr/>
      </w:pPr>
      <w:r>
        <w:t xml:space="preserve"> </w:t>
      </w:r>
    </w:p>
    <w:p w14:paraId="43C0DBDE">
      <w:pPr>
        <w:rPr/>
      </w:pPr>
      <w:r>
        <w:t>优化算法：最大后验估计 (MAP) 采用 L-BFGS-B 算法。</w:t>
      </w:r>
    </w:p>
    <w:p w14:paraId="75D54FD2">
      <w:pPr>
        <w:rPr/>
      </w:pPr>
      <w:r>
        <w:t>采样参数：MCMC 运行 10,000 次迭代，烧入期 (Burn-in) 设置为 2,000 次。</w:t>
      </w:r>
    </w:p>
    <w:p w14:paraId="0ACB683A">
      <w:pPr>
        <w:rPr/>
      </w:pPr>
      <w:r>
        <w:t xml:space="preserve">计算逻辑：确定性指标 </w:t>
      </w:r>
      <m:oMath>
        <m:r>
          <m:rPr>
            <m:nor/>
            <m:sty m:val="p"/>
          </m:rPr>
          <w:rPr>
            <w:rFonts w:ascii="Times New Roman" w:hAnsi="Times New Roman"/>
          </w:rPr>
          <m:t>Φ</m:t>
        </m:r>
      </m:oMath>
      <w:r>
        <w:t xml:space="preserve"> 严格按照 4.5.2 节定义的标准差倒数进行逐选手计算。</w:t>
      </w:r>
    </w:p>
    <w:p w14:paraId="4B76327F">
      <w:pPr>
        <w:rPr/>
      </w:pPr>
      <w:r>
        <w:t xml:space="preserve"> </w:t>
      </w:r>
      <w:r>
        <w:br w:type="textWrapping"/>
      </w:r>
      <w:r>
        <w:t>4.</w:t>
      </w:r>
      <w:r>
        <w:rPr>
          <w:rFonts w:hint="eastAsia"/>
          <w:lang w:val="en-US" w:eastAsia="zh-CN"/>
        </w:rPr>
        <w:t>6</w:t>
      </w:r>
      <w:r>
        <w:t>.</w:t>
      </w:r>
      <w:r>
        <w:rPr>
          <w:rFonts w:hint="eastAsia"/>
          <w:lang w:val="en-US" w:eastAsia="zh-CN"/>
        </w:rPr>
        <w:t>2</w:t>
      </w:r>
      <w:r>
        <w:t xml:space="preserve"> 单周估算示例 (Weekly Example)</w:t>
      </w:r>
    </w:p>
    <w:p w14:paraId="678D73F2">
      <w:pPr>
        <w:rPr/>
      </w:pPr>
      <w:r>
        <w:t>下表展示了模型在特定周次的详细输出结果（以某高争议周次为例）：</w:t>
      </w:r>
    </w:p>
    <w:p w14:paraId="5B7DC3D7">
      <w:pPr>
        <w:rPr/>
      </w:pPr>
      <w:r>
        <w:t xml:space="preserve"> </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445"/>
        <w:gridCol w:w="1544"/>
        <w:gridCol w:w="1802"/>
        <w:gridCol w:w="1544"/>
        <w:gridCol w:w="1930"/>
      </w:tblGrid>
      <w:tr w14:paraId="2C207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4446198">
            <w:pPr>
              <w:rPr/>
            </w:pPr>
            <w:r>
              <w:t>选手姓名</w:t>
            </w:r>
          </w:p>
        </w:tc>
        <w:tc>
          <w:p w14:paraId="6CF26876">
            <w:pPr>
              <w:rPr/>
            </w:pPr>
            <w:r>
              <w:t>评委分</w:t>
            </w:r>
          </w:p>
        </w:tc>
        <w:tc>
          <w:p w14:paraId="643CA64A">
            <w:pPr>
              <w:rPr/>
            </w:pPr>
            <w:r>
              <w:t>估计投票比例</w:t>
            </w:r>
          </w:p>
        </w:tc>
        <w:tc>
          <w:p w14:paraId="37250627">
            <w:pPr>
              <w:rPr/>
            </w:pPr>
            <w:r>
              <w:t>淘汰概率</w:t>
            </w:r>
          </w:p>
        </w:tc>
        <w:tc>
          <w:p w14:paraId="74D3B839">
            <w:pPr>
              <w:rPr/>
            </w:pPr>
            <w:r>
              <w:t>确定性 $\Phi$</w:t>
            </w:r>
          </w:p>
        </w:tc>
      </w:tr>
      <w:tr w14:paraId="24C27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72AB6F7">
            <w:pPr>
              <w:rPr/>
            </w:pPr>
            <w:r>
              <w:t>选手 A</w:t>
            </w:r>
          </w:p>
        </w:tc>
        <w:tc>
          <w:p w14:paraId="747A23D8">
            <w:pPr>
              <w:rPr/>
            </w:pPr>
            <w:r>
              <w:t>28.0</w:t>
            </w:r>
          </w:p>
        </w:tc>
        <w:tc>
          <w:p w14:paraId="7BBDDDD6">
            <w:pPr>
              <w:rPr/>
            </w:pPr>
            <w:r>
              <w:t>0.25</w:t>
            </w:r>
          </w:p>
        </w:tc>
        <w:tc>
          <w:p w14:paraId="7335ED39">
            <w:pPr>
              <w:rPr/>
            </w:pPr>
            <w:r>
              <w:t>0.02</w:t>
            </w:r>
          </w:p>
        </w:tc>
        <w:tc>
          <w:p w14:paraId="7C757852">
            <w:pPr>
              <w:rPr/>
            </w:pPr>
            <w:r>
              <w:t>10.5</w:t>
            </w:r>
          </w:p>
        </w:tc>
      </w:tr>
      <w:tr w14:paraId="06146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897E135">
            <w:pPr>
              <w:rPr/>
            </w:pPr>
            <w:r>
              <w:t>选手 B</w:t>
            </w:r>
          </w:p>
        </w:tc>
        <w:tc>
          <w:p w14:paraId="5DB431F9">
            <w:pPr>
              <w:rPr/>
            </w:pPr>
            <w:r>
              <w:t>24.5</w:t>
            </w:r>
          </w:p>
        </w:tc>
        <w:tc>
          <w:p w14:paraId="0119AA5B">
            <w:pPr>
              <w:rPr/>
            </w:pPr>
            <w:r>
              <w:t>0.18</w:t>
            </w:r>
          </w:p>
        </w:tc>
        <w:tc>
          <w:p w14:paraId="17BCA492">
            <w:pPr>
              <w:rPr/>
            </w:pPr>
            <w:r>
              <w:t>0.15</w:t>
            </w:r>
          </w:p>
        </w:tc>
        <w:tc>
          <w:p w14:paraId="55C2A4CB">
            <w:pPr>
              <w:rPr/>
            </w:pPr>
            <w:r>
              <w:t>11.2</w:t>
            </w:r>
          </w:p>
        </w:tc>
      </w:tr>
      <w:tr w14:paraId="4A44D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714CAC1">
            <w:pPr>
              <w:rPr/>
            </w:pPr>
            <w:r>
              <w:t>选手 C (实际淘汰)</w:t>
            </w:r>
          </w:p>
        </w:tc>
        <w:tc>
          <w:p w14:paraId="38C137E6">
            <w:pPr>
              <w:rPr/>
            </w:pPr>
            <w:r>
              <w:t>19.0</w:t>
            </w:r>
          </w:p>
        </w:tc>
        <w:tc>
          <w:p w14:paraId="314B43AE">
            <w:pPr>
              <w:rPr/>
            </w:pPr>
            <w:r>
              <w:t>0.12</w:t>
            </w:r>
          </w:p>
        </w:tc>
        <w:tc>
          <w:p w14:paraId="19EC2D9B">
            <w:pPr>
              <w:rPr/>
            </w:pPr>
            <w:r>
              <w:t>0.82</w:t>
            </w:r>
          </w:p>
        </w:tc>
        <w:tc>
          <w:p w14:paraId="6D196C0E">
            <w:pPr>
              <w:rPr/>
            </w:pPr>
            <w:r>
              <w:t>15.8</w:t>
            </w:r>
          </w:p>
        </w:tc>
      </w:tr>
      <w:tr w14:paraId="42357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96D5C25">
            <w:pPr>
              <w:rPr/>
            </w:pPr>
            <w:r>
              <w:t>选手 D</w:t>
            </w:r>
          </w:p>
        </w:tc>
        <w:tc>
          <w:p w14:paraId="528AA46C">
            <w:pPr>
              <w:rPr/>
            </w:pPr>
            <w:r>
              <w:t>26.0</w:t>
            </w:r>
          </w:p>
        </w:tc>
        <w:tc>
          <w:p w14:paraId="341A8956">
            <w:pPr>
              <w:rPr/>
            </w:pPr>
            <w:r>
              <w:t>0.45</w:t>
            </w:r>
          </w:p>
        </w:tc>
        <w:tc>
          <w:p w14:paraId="2063B6BE">
            <w:pPr>
              <w:rPr/>
            </w:pPr>
            <w:r>
              <w:t>0.01</w:t>
            </w:r>
          </w:p>
        </w:tc>
        <w:tc>
          <w:p w14:paraId="4AACE65B">
            <w:pPr>
              <w:rPr/>
            </w:pPr>
            <w:r>
              <w:t>9.8</w:t>
            </w:r>
          </w:p>
        </w:tc>
      </w:tr>
    </w:tbl>
    <w:p w14:paraId="43DB2917">
      <w:pPr>
        <w:rPr/>
      </w:pPr>
      <w:r>
        <w:t>注：实际淘汰者往往对应着当周最高的确定性 *</w:t>
      </w:r>
      <m:oMath>
        <m:r>
          <m:rPr>
            <m:nor/>
            <m:sty m:val="p"/>
          </m:rPr>
          <w:rPr>
            <w:rFonts w:ascii="Times New Roman" w:hAnsi="Times New Roman"/>
          </w:rPr>
          <m:t>Φ</m:t>
        </m:r>
      </m:oMath>
      <w:r>
        <w:t>*，因为淘汰结果通过“排除法”锁定了其低迷票数的唯一可能性。</w:t>
      </w:r>
    </w:p>
    <w:p w14:paraId="6C332F95">
      <w:pPr>
        <w:rPr/>
      </w:pPr>
      <w:r>
        <w:t xml:space="preserve"> </w:t>
      </w:r>
    </w:p>
    <w:p w14:paraId="4430B03D">
      <w:pPr>
        <w:rPr/>
      </w:pPr>
      <w:r>
        <w:t xml:space="preserve"> </w:t>
      </w:r>
      <w:r>
        <w:rPr>
          <w:rFonts w:hint="eastAsia"/>
          <w:lang w:eastAsia="zh-CN"/>
        </w:rPr>
        <w:drawing>
          <wp:inline distT="0" distB="0" distL="114300" distR="114300">
            <wp:extent cx="5725160" cy="1718945"/>
            <wp:effectExtent l="0" t="0" r="5080" b="3175"/>
            <wp:docPr id="5" name="图片 5" descr="paper_fig_vote_example_3_s23_w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aper_fig_vote_example_3_s23_w7"/>
                    <pic:cNvPicPr>
                      <a:picLocks noChangeAspect="1"/>
                    </pic:cNvPicPr>
                  </pic:nvPicPr>
                  <pic:blipFill>
                    <a:blip r:embed="rId5"/>
                    <a:stretch>
                      <a:fillRect/>
                    </a:stretch>
                  </pic:blipFill>
                  <pic:spPr>
                    <a:xfrm>
                      <a:off x="0" y="0"/>
                      <a:ext cx="5725160" cy="1718945"/>
                    </a:xfrm>
                    <a:prstGeom prst="rect">
                      <a:avLst/>
                    </a:prstGeom>
                  </pic:spPr>
                </pic:pic>
              </a:graphicData>
            </a:graphic>
          </wp:inline>
        </w:drawing>
      </w:r>
      <w:r>
        <w:rPr>
          <w:rFonts w:hint="eastAsia"/>
          <w:lang w:eastAsia="zh-CN"/>
        </w:rPr>
        <w:drawing>
          <wp:inline distT="0" distB="0" distL="114300" distR="114300">
            <wp:extent cx="5721985" cy="1715135"/>
            <wp:effectExtent l="0" t="0" r="8255" b="6985"/>
            <wp:docPr id="6" name="图片 6" descr="paper_fig_vote_example_2_s12_w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aper_fig_vote_example_2_s12_w6"/>
                    <pic:cNvPicPr>
                      <a:picLocks noChangeAspect="1"/>
                    </pic:cNvPicPr>
                  </pic:nvPicPr>
                  <pic:blipFill>
                    <a:blip r:embed="rId6"/>
                    <a:stretch>
                      <a:fillRect/>
                    </a:stretch>
                  </pic:blipFill>
                  <pic:spPr>
                    <a:xfrm>
                      <a:off x="0" y="0"/>
                      <a:ext cx="5721985" cy="1715135"/>
                    </a:xfrm>
                    <a:prstGeom prst="rect">
                      <a:avLst/>
                    </a:prstGeom>
                  </pic:spPr>
                </pic:pic>
              </a:graphicData>
            </a:graphic>
          </wp:inline>
        </w:drawing>
      </w:r>
      <w:r>
        <w:rPr>
          <w:rFonts w:hint="eastAsia"/>
          <w:lang w:eastAsia="zh-CN"/>
        </w:rPr>
        <w:drawing>
          <wp:inline distT="0" distB="0" distL="114300" distR="114300">
            <wp:extent cx="5721985" cy="1715135"/>
            <wp:effectExtent l="0" t="0" r="8255" b="6985"/>
            <wp:docPr id="7" name="图片 7" descr="paper_fig_vote_example_1_s1_w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aper_fig_vote_example_1_s1_w3"/>
                    <pic:cNvPicPr>
                      <a:picLocks noChangeAspect="1"/>
                    </pic:cNvPicPr>
                  </pic:nvPicPr>
                  <pic:blipFill>
                    <a:blip r:embed="rId7"/>
                    <a:stretch>
                      <a:fillRect/>
                    </a:stretch>
                  </pic:blipFill>
                  <pic:spPr>
                    <a:xfrm>
                      <a:off x="0" y="0"/>
                      <a:ext cx="5721985" cy="1715135"/>
                    </a:xfrm>
                    <a:prstGeom prst="rect">
                      <a:avLst/>
                    </a:prstGeom>
                  </pic:spPr>
                </pic:pic>
              </a:graphicData>
            </a:graphic>
          </wp:inline>
        </w:drawing>
      </w:r>
    </w:p>
    <w:p w14:paraId="468C650C">
      <w:pPr>
        <w:rPr/>
      </w:pPr>
      <w:r>
        <w:t>4.</w:t>
      </w:r>
      <w:r>
        <w:rPr>
          <w:rFonts w:hint="eastAsia"/>
          <w:lang w:val="en-US" w:eastAsia="zh-CN"/>
        </w:rPr>
        <w:t>6</w:t>
      </w:r>
      <w:r>
        <w:t>.</w:t>
      </w:r>
      <w:r>
        <w:rPr>
          <w:rFonts w:hint="eastAsia"/>
          <w:lang w:val="en-US" w:eastAsia="zh-CN"/>
        </w:rPr>
        <w:t>3</w:t>
      </w:r>
      <w:r>
        <w:t xml:space="preserve"> 还原一致性评估 (Consistency)</w:t>
      </w:r>
    </w:p>
    <w:p w14:paraId="2D7FA8EE">
      <w:pPr>
        <w:rPr/>
      </w:pPr>
      <w:r>
        <w:t>实验结果显示，IDM 框架在全样本下的硬一致性准确率达到了 97.35%，这一高精度证明了逆向反演逻辑的科学性。</w:t>
      </w:r>
    </w:p>
    <w:p w14:paraId="512B368A">
      <w:pPr>
        <w:rPr/>
      </w:pPr>
      <w:r>
        <w:t xml:space="preserve"> </w:t>
      </w:r>
    </w:p>
    <w:p w14:paraId="188AE94B">
      <w:pPr>
        <w:rPr/>
      </w:pPr>
      <w:r>
        <w:t>软一致性分析：软一致性（淘汰概率）均值为 0.44，标准差为 0.33。</w:t>
      </w:r>
    </w:p>
    <w:p w14:paraId="126111D6">
      <w:pPr>
        <w:rPr/>
      </w:pPr>
      <w:r>
        <w:t>赛季演变趋势：研究发现，早期（S1-S5）和后期（S28-S34）的软一致性显著高于中间赛季。这表明早期规则相对简单，而后期引入的“评委二选一”虽然增加了机制复杂度，但通过模型的修正依然保持了极高的解释力。</w:t>
      </w:r>
    </w:p>
    <w:p w14:paraId="420C9B27">
      <w:pPr>
        <w:rPr/>
      </w:pPr>
      <w:r>
        <w:t xml:space="preserve"> </w:t>
      </w:r>
    </w:p>
    <w:p w14:paraId="299A9401">
      <w:pPr>
        <w:rPr>
          <w:rFonts w:hint="eastAsia" w:eastAsiaTheme="minorEastAsia"/>
          <w:lang w:eastAsia="zh-CN"/>
        </w:rPr>
      </w:pPr>
      <w:r>
        <w:rPr>
          <w:rFonts w:hint="eastAsia"/>
          <w:lang w:eastAsia="zh-CN"/>
        </w:rPr>
        <w:drawing>
          <wp:inline distT="0" distB="0" distL="114300" distR="114300">
            <wp:extent cx="5730240" cy="2827655"/>
            <wp:effectExtent l="0" t="0" r="0" b="6985"/>
            <wp:docPr id="2" name="图片 2" descr="paper_fig_consistency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aper_fig_consistency_summary"/>
                    <pic:cNvPicPr>
                      <a:picLocks noChangeAspect="1"/>
                    </pic:cNvPicPr>
                  </pic:nvPicPr>
                  <pic:blipFill>
                    <a:blip r:embed="rId8">
                      <a:lum bright="-6000"/>
                    </a:blip>
                    <a:stretch>
                      <a:fillRect/>
                    </a:stretch>
                  </pic:blipFill>
                  <pic:spPr>
                    <a:xfrm>
                      <a:off x="0" y="0"/>
                      <a:ext cx="5730240" cy="2827655"/>
                    </a:xfrm>
                    <a:prstGeom prst="rect">
                      <a:avLst/>
                    </a:prstGeom>
                  </pic:spPr>
                </pic:pic>
              </a:graphicData>
            </a:graphic>
          </wp:inline>
        </w:drawing>
      </w:r>
      <w:r>
        <w:rPr>
          <w:rFonts w:hint="eastAsia"/>
          <w:lang w:eastAsia="zh-CN"/>
        </w:rPr>
        <w:br w:type="textWrapping"/>
      </w:r>
    </w:p>
    <w:p w14:paraId="2D17C0B7">
      <w:pPr>
        <w:rPr/>
      </w:pPr>
      <w:r>
        <w:t>4.</w:t>
      </w:r>
      <w:r>
        <w:rPr>
          <w:rFonts w:hint="eastAsia"/>
          <w:lang w:val="en-US" w:eastAsia="zh-CN"/>
        </w:rPr>
        <w:t>6</w:t>
      </w:r>
      <w:r>
        <w:t>.</w:t>
      </w:r>
      <w:r>
        <w:rPr>
          <w:rFonts w:hint="eastAsia"/>
          <w:lang w:val="en-US" w:eastAsia="zh-CN"/>
        </w:rPr>
        <w:t>4</w:t>
      </w:r>
      <w:r>
        <w:t xml:space="preserve"> 确定性 </w:t>
      </w:r>
      <m:oMath>
        <m:r>
          <m:rPr>
            <m:nor/>
            <m:sty m:val="p"/>
          </m:rPr>
          <w:rPr>
            <w:rFonts w:ascii="Times New Roman" w:hAnsi="Times New Roman"/>
          </w:rPr>
          <m:t>Φ</m:t>
        </m:r>
      </m:oMath>
      <w:r>
        <w:t xml:space="preserve"> 的分布特征</w:t>
      </w:r>
    </w:p>
    <w:p w14:paraId="3EACE2D1">
      <w:pPr>
        <w:rPr/>
      </w:pPr>
      <w:r>
        <w:t xml:space="preserve">统计分析显示，全样本的确定性指标 </w:t>
      </w:r>
      <m:oMath>
        <m:r>
          <m:rPr>
            <m:nor/>
            <m:sty m:val="p"/>
          </m:rPr>
          <w:rPr>
            <w:rFonts w:ascii="Times New Roman" w:hAnsi="Times New Roman"/>
          </w:rPr>
          <m:t>Φ</m:t>
        </m:r>
      </m:oMath>
      <w:r>
        <w:t xml:space="preserve"> 均值约为 12.08（按赛季统计）/ 12.45（按选手–周统计）。</w:t>
      </w:r>
    </w:p>
    <w:p w14:paraId="33E59E48">
      <w:pPr>
        <w:rPr/>
      </w:pPr>
      <w:r>
        <w:t xml:space="preserve"> </w:t>
      </w:r>
    </w:p>
    <w:p w14:paraId="713DACAC">
      <w:pPr>
        <w:rPr/>
      </w:pPr>
      <w:r>
        <w:t>右偏态分布：</w:t>
      </w:r>
      <m:oMath>
        <m:r>
          <m:rPr>
            <m:nor/>
            <m:sty m:val="p"/>
          </m:rPr>
          <w:rPr>
            <w:rFonts w:ascii="Times New Roman" w:hAnsi="Times New Roman"/>
          </w:rPr>
          <m:t>Φ</m:t>
        </m:r>
      </m:oMath>
      <w:r>
        <w:t xml:space="preserve"> 的分布呈现明显的右偏特征。大多数选手的估算具有中等确定性，而极少数选手（争议选手）对应着极高的 </w:t>
      </w:r>
      <m:oMath>
        <m:r>
          <m:rPr>
            <m:nor/>
            <m:sty m:val="p"/>
          </m:rPr>
          <w:rPr>
            <w:rFonts w:ascii="Times New Roman" w:hAnsi="Times New Roman"/>
          </w:rPr>
          <m:t>Φ</m:t>
        </m:r>
      </m:oMath>
      <w:r>
        <w:t xml:space="preserve"> 值。这印证了“淘汰边缘的极值约束”能显著提升反演的可信度。</w:t>
      </w:r>
    </w:p>
    <w:p w14:paraId="516CF0AC">
      <w:pPr>
        <w:rPr/>
      </w:pPr>
      <w:r>
        <w:t xml:space="preserve"> </w:t>
      </w:r>
    </w:p>
    <w:p w14:paraId="6711E00E">
      <w:pPr>
        <w:rPr>
          <w:rFonts w:hint="eastAsia" w:eastAsiaTheme="minorEastAsia"/>
          <w:lang w:eastAsia="zh-CN"/>
        </w:rPr>
      </w:pPr>
      <w:r>
        <w:rPr>
          <w:rFonts w:hint="eastAsia"/>
          <w:lang w:eastAsia="zh-CN"/>
        </w:rPr>
        <w:drawing>
          <wp:inline distT="0" distB="0" distL="114300" distR="114300">
            <wp:extent cx="5727700" cy="2858135"/>
            <wp:effectExtent l="0" t="0" r="2540" b="6985"/>
            <wp:docPr id="3" name="图片 3" descr="paper_fig_certainty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aper_fig_certainty_summary"/>
                    <pic:cNvPicPr>
                      <a:picLocks noChangeAspect="1"/>
                    </pic:cNvPicPr>
                  </pic:nvPicPr>
                  <pic:blipFill>
                    <a:blip r:embed="rId9"/>
                    <a:stretch>
                      <a:fillRect/>
                    </a:stretch>
                  </pic:blipFill>
                  <pic:spPr>
                    <a:xfrm>
                      <a:off x="0" y="0"/>
                      <a:ext cx="5727700" cy="2858135"/>
                    </a:xfrm>
                    <a:prstGeom prst="rect">
                      <a:avLst/>
                    </a:prstGeom>
                  </pic:spPr>
                </pic:pic>
              </a:graphicData>
            </a:graphic>
          </wp:inline>
        </w:drawing>
      </w:r>
    </w:p>
    <w:p w14:paraId="12A73A52">
      <w:pPr>
        <w:rPr>
          <w:rFonts w:hint="eastAsia" w:eastAsiaTheme="minorEastAsia"/>
          <w:lang w:eastAsia="zh-CN"/>
        </w:rPr>
      </w:pPr>
    </w:p>
    <w:p w14:paraId="7D486842">
      <w:pPr>
        <w:rPr/>
      </w:pPr>
    </w:p>
    <w:p w14:paraId="766A9D57">
      <w:pPr>
        <w:rPr/>
      </w:pPr>
      <w:r>
        <w:br w:type="textWrapping"/>
      </w:r>
      <w:r>
        <w:br w:type="textWrapping"/>
      </w:r>
      <w:r>
        <w:t>5. 投票机制对比与争议案例分析</w:t>
      </w:r>
    </w:p>
    <w:p w14:paraId="570605B3">
      <w:pPr>
        <w:rPr/>
      </w:pPr>
      <w:r>
        <w:t>5.1 机制仿真：排名制与百分比制的全局博弈</w:t>
      </w:r>
    </w:p>
    <w:p w14:paraId="7298EC8B">
      <w:pPr>
        <w:rPr/>
      </w:pPr>
      <w:r>
        <w:t>为了量化不同评价机制对竞赛结果的系统性影响，我们利用 Model I 估算出的粉丝投票分布 $p_{i,t}$，在全赛季范围内并行模拟了排名制 (Rank-based) 与 百分比制 (Percentage-based) 两种算法。</w:t>
      </w:r>
    </w:p>
    <w:p w14:paraId="031CAA08">
      <w:pPr>
        <w:rPr/>
      </w:pPr>
      <w:r>
        <w:t>5.1.1 实验设定与样本规模</w:t>
      </w:r>
    </w:p>
    <w:p w14:paraId="029B257E">
      <w:pPr>
        <w:rPr/>
      </w:pPr>
      <w:r>
        <w:t>本研究分析了 DWTS 历经 34 个赛季的共计 264 个有效周次。通过对每一周进行“机制回溯（Mechanism Back-testing）”，我们识别并对比了两种逻辑在判定淘汰者时的分歧与契合度。</w:t>
      </w:r>
    </w:p>
    <w:p w14:paraId="541C93E3">
      <w:pPr>
        <w:rPr/>
      </w:pPr>
      <w:r>
        <w:t>5.1.2 一致性趋势与“两端极化”分布</w:t>
      </w:r>
    </w:p>
    <w:p w14:paraId="02E43BD4">
      <w:pPr>
        <w:rPr>
          <w:rFonts w:hint="eastAsia" w:eastAsiaTheme="minorEastAsia"/>
          <w:lang w:eastAsia="zh-CN"/>
        </w:rPr>
      </w:pPr>
      <w:r>
        <w:t>实验发现，在全样本中，两种方法判定一致的周数为 219 周（约 83.0%），产生分歧的周数为 45 周（约 17.0%）。分析显示，这种一致率在时间维度上呈现出显著的“U型”分布特征：</w:t>
      </w:r>
      <w:r>
        <w:br w:type="textWrapping"/>
      </w:r>
      <w:r>
        <w:rPr>
          <w:rFonts w:hint="eastAsia"/>
          <w:lang w:eastAsia="zh-CN"/>
        </w:rPr>
        <w:drawing>
          <wp:inline distT="0" distB="0" distL="114300" distR="114300">
            <wp:extent cx="5730240" cy="2546985"/>
            <wp:effectExtent l="0" t="0" r="0" b="13335"/>
            <wp:docPr id="16" name="图片 16" descr="fig_disagreement_weeks_by_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_disagreement_weeks_by_season"/>
                    <pic:cNvPicPr>
                      <a:picLocks noChangeAspect="1"/>
                    </pic:cNvPicPr>
                  </pic:nvPicPr>
                  <pic:blipFill>
                    <a:blip r:embed="rId10"/>
                    <a:stretch>
                      <a:fillRect/>
                    </a:stretch>
                  </pic:blipFill>
                  <pic:spPr>
                    <a:xfrm>
                      <a:off x="0" y="0"/>
                      <a:ext cx="5730240" cy="2546985"/>
                    </a:xfrm>
                    <a:prstGeom prst="rect">
                      <a:avLst/>
                    </a:prstGeom>
                  </pic:spPr>
                </pic:pic>
              </a:graphicData>
            </a:graphic>
          </wp:inline>
        </w:drawing>
      </w:r>
    </w:p>
    <w:p w14:paraId="02383AE1">
      <w:pPr>
        <w:rPr/>
      </w:pPr>
      <w:r>
        <w:t>中期稳定期 (S3-S26)：在第 3 至 26 季的绝大多数周次中，两种方法的一致率接近 100%。这说明在此阶段，选手的技术排名与人气排名具有较高的正相关性，算法的选择对结果影响较小。</w:t>
      </w:r>
    </w:p>
    <w:p w14:paraId="2B8A2AC3">
      <w:pPr>
        <w:rPr/>
      </w:pPr>
      <w:r>
        <w:t>两端分歧期 (S1-S2, S28-S34)：分歧周数高度集中在节目的初期与近期。特别是从第 28 季开始，一致率显著下降，第 31 季达到最低点（仅 22.22%）。</w:t>
      </w:r>
    </w:p>
    <w:p w14:paraId="283CC729">
      <w:pPr>
        <w:rPr/>
      </w:pPr>
      <w:r>
        <w:t>分歧本质：约 98.8% 的周次在概率分布层面表现出灵敏度差异。近期赛季分歧的加剧，揭示了评委评分结构与粉丝投票偏好之间出现了结构性的解耦。</w:t>
      </w:r>
    </w:p>
    <w:p w14:paraId="52124FCF">
      <w:pPr>
        <w:rPr>
          <w:rFonts w:hint="eastAsia" w:eastAsiaTheme="minorEastAsia"/>
          <w:lang w:eastAsia="zh-CN"/>
        </w:rPr>
      </w:pPr>
      <w:r>
        <w:br w:type="textWrapping"/>
      </w:r>
      <w:r>
        <w:rPr>
          <w:rFonts w:hint="eastAsia"/>
          <w:lang w:eastAsia="zh-CN"/>
        </w:rPr>
        <w:drawing>
          <wp:inline distT="0" distB="0" distL="114300" distR="114300">
            <wp:extent cx="5726430" cy="2546985"/>
            <wp:effectExtent l="0" t="0" r="3810" b="13335"/>
            <wp:docPr id="13" name="图片 13" descr="fig_agreement_rate_by_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_agreement_rate_by_season"/>
                    <pic:cNvPicPr>
                      <a:picLocks noChangeAspect="1"/>
                    </pic:cNvPicPr>
                  </pic:nvPicPr>
                  <pic:blipFill>
                    <a:blip r:embed="rId11"/>
                    <a:stretch>
                      <a:fillRect/>
                    </a:stretch>
                  </pic:blipFill>
                  <pic:spPr>
                    <a:xfrm>
                      <a:off x="0" y="0"/>
                      <a:ext cx="5726430" cy="2546985"/>
                    </a:xfrm>
                    <a:prstGeom prst="rect">
                      <a:avLst/>
                    </a:prstGeom>
                  </pic:spPr>
                </pic:pic>
              </a:graphicData>
            </a:graphic>
          </wp:inline>
        </w:drawing>
      </w:r>
    </w:p>
    <w:p w14:paraId="799130B8">
      <w:pPr>
        <w:rPr/>
      </w:pPr>
      <w:r>
        <w:t>5.2 机制特性对比：杠杆效应与技术保护</w:t>
      </w:r>
    </w:p>
    <w:p w14:paraId="2A8A72EE">
      <w:pPr>
        <w:rPr/>
      </w:pPr>
      <w:r>
        <w:t>针对题目关于“哪种方法更倾向于粉丝投票”的追问，我们的模型给出了明确定义：</w:t>
      </w:r>
    </w:p>
    <w:p w14:paraId="314A8320">
      <w:pPr>
        <w:rPr/>
      </w:pPr>
      <w:r>
        <w:t>排名制 (Rank) 的“粉丝杠杆”： 排名制将连续的分数离散化。由于其只看位次而不看分差，它赋予了粉丝投票极大的边际影响力。技术分中游的选手若获得粉丝前二的排名，产生的“生存杠杆”足以屏蔽其技术劣势。数据证明，在存在分歧的 45 周中，排名制表现出更强的“粉丝宽容度”。</w:t>
      </w:r>
    </w:p>
    <w:p w14:paraId="38FCE687">
      <w:pPr>
        <w:rPr/>
      </w:pPr>
      <w:r>
        <w:t>百分比制 (Percentage) 的“技术护城河”： 该机制保留了原始评分梯度。对于技术领先者，绝对百分比优势构建了“护城河”。只有当粉丝投票出现极端倾斜时，这种优势才会被撼动。</w:t>
      </w:r>
    </w:p>
    <w:p w14:paraId="4FA1EBD9">
      <w:pPr>
        <w:rPr/>
      </w:pPr>
    </w:p>
    <w:p w14:paraId="169FA8F4">
      <w:pPr>
        <w:rPr/>
      </w:pPr>
      <w:r>
        <w:t>5.3 争议案例深度反事实实验 (Counterfactual Analysis)</w:t>
      </w:r>
    </w:p>
    <w:p w14:paraId="5DE2EA9A">
      <w:pPr>
        <w:rPr/>
      </w:pPr>
      <w:r>
        <w:t>针对历史上著名的争议案例，我们利用 Model I 导出的粉丝得票数据进行了“去留重测”，回答机制选择是否改变了选手的命运。</w:t>
      </w:r>
    </w:p>
    <w:p w14:paraId="16FDB8DE">
      <w:pPr>
        <w:rPr/>
      </w:pPr>
      <w:r>
        <w:t>5.3.1 争议选手的量化肖像与存活分析</w:t>
      </w:r>
    </w:p>
    <w:p w14:paraId="4DA1491E">
      <w:pPr>
        <w:rPr/>
      </w:pPr>
      <w:r>
        <w:t>下表展示了四位典型选手的关键数据及机制敏感度：</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2"/>
        <w:gridCol w:w="1631"/>
        <w:gridCol w:w="1873"/>
        <w:gridCol w:w="1478"/>
        <w:gridCol w:w="2312"/>
      </w:tblGrid>
      <w:tr w14:paraId="591F2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FE1A72">
            <w:pPr>
              <w:rPr/>
            </w:pPr>
            <w:r>
              <w:t>选手 (赛季)</w:t>
            </w:r>
          </w:p>
        </w:tc>
        <w:tc>
          <w:tcPr>
            <w:tcW w:w="0" w:type="auto"/>
            <w:shd w:val="clear"/>
            <w:vAlign w:val="center"/>
          </w:tcPr>
          <w:p w14:paraId="77AE19FF">
            <w:pPr>
              <w:rPr/>
            </w:pPr>
            <w:r>
              <w:t>评委最低分次数</w:t>
            </w:r>
          </w:p>
        </w:tc>
        <w:tc>
          <w:tcPr>
            <w:tcW w:w="0" w:type="auto"/>
            <w:shd w:val="clear"/>
            <w:vAlign w:val="center"/>
          </w:tcPr>
          <w:p w14:paraId="604A9B2D">
            <w:pPr>
              <w:rPr/>
            </w:pPr>
            <w:r>
              <w:t>粉丝平均弥补程度</w:t>
            </w:r>
          </w:p>
        </w:tc>
        <w:tc>
          <w:tcPr>
            <w:tcW w:w="0" w:type="auto"/>
            <w:shd w:val="clear"/>
            <w:vAlign w:val="center"/>
          </w:tcPr>
          <w:p w14:paraId="3E2C69CF">
            <w:pPr>
              <w:rPr/>
            </w:pPr>
            <w:r>
              <w:t>确定性 $\Phi$</w:t>
            </w:r>
          </w:p>
        </w:tc>
        <w:tc>
          <w:tcPr>
            <w:tcW w:w="0" w:type="auto"/>
            <w:shd w:val="clear"/>
            <w:vAlign w:val="center"/>
          </w:tcPr>
          <w:p w14:paraId="00D740E0">
            <w:pPr>
              <w:rPr/>
            </w:pPr>
            <w:r>
              <w:t>机制切换是否改变结果</w:t>
            </w:r>
          </w:p>
        </w:tc>
      </w:tr>
      <w:tr w14:paraId="5278D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EB49BB">
            <w:pPr>
              <w:rPr/>
            </w:pPr>
            <w:r>
              <w:t>Jerry Rice (S2)</w:t>
            </w:r>
          </w:p>
        </w:tc>
        <w:tc>
          <w:tcPr>
            <w:tcW w:w="0" w:type="auto"/>
            <w:shd w:val="clear"/>
            <w:vAlign w:val="center"/>
          </w:tcPr>
          <w:p w14:paraId="72BA8FC9">
            <w:pPr>
              <w:rPr/>
            </w:pPr>
            <w:r>
              <w:t>1</w:t>
            </w:r>
          </w:p>
        </w:tc>
        <w:tc>
          <w:tcPr>
            <w:tcW w:w="0" w:type="auto"/>
            <w:shd w:val="clear"/>
            <w:vAlign w:val="center"/>
          </w:tcPr>
          <w:p w14:paraId="6A594C83">
            <w:pPr>
              <w:rPr/>
            </w:pPr>
            <w:r>
              <w:t>-1.86</w:t>
            </w:r>
          </w:p>
        </w:tc>
        <w:tc>
          <w:tcPr>
            <w:tcW w:w="0" w:type="auto"/>
            <w:shd w:val="clear"/>
            <w:vAlign w:val="center"/>
          </w:tcPr>
          <w:p w14:paraId="2541B4B1">
            <w:pPr>
              <w:rPr/>
            </w:pPr>
            <w:r>
              <w:t>12.0+</w:t>
            </w:r>
          </w:p>
        </w:tc>
        <w:tc>
          <w:tcPr>
            <w:tcW w:w="0" w:type="auto"/>
            <w:shd w:val="clear"/>
            <w:vAlign w:val="center"/>
          </w:tcPr>
          <w:p w14:paraId="5EF45715">
            <w:pPr>
              <w:rPr/>
            </w:pPr>
            <w:r>
              <w:t>是</w:t>
            </w:r>
          </w:p>
        </w:tc>
      </w:tr>
      <w:tr w14:paraId="5897B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C0E771">
            <w:pPr>
              <w:rPr/>
            </w:pPr>
            <w:r>
              <w:t>Billy Ray Cyrus (S4)</w:t>
            </w:r>
          </w:p>
        </w:tc>
        <w:tc>
          <w:tcPr>
            <w:tcW w:w="0" w:type="auto"/>
            <w:shd w:val="clear"/>
            <w:vAlign w:val="center"/>
          </w:tcPr>
          <w:p w14:paraId="09D0BDE3">
            <w:pPr>
              <w:rPr/>
            </w:pPr>
            <w:r>
              <w:t>2</w:t>
            </w:r>
          </w:p>
        </w:tc>
        <w:tc>
          <w:tcPr>
            <w:tcW w:w="0" w:type="auto"/>
            <w:shd w:val="clear"/>
            <w:vAlign w:val="center"/>
          </w:tcPr>
          <w:p w14:paraId="51C47449">
            <w:pPr>
              <w:rPr/>
            </w:pPr>
            <w:r>
              <w:t>-3.00</w:t>
            </w:r>
          </w:p>
        </w:tc>
        <w:tc>
          <w:tcPr>
            <w:tcW w:w="0" w:type="auto"/>
            <w:shd w:val="clear"/>
            <w:vAlign w:val="center"/>
          </w:tcPr>
          <w:p w14:paraId="6A83BD3D">
            <w:pPr>
              <w:rPr/>
            </w:pPr>
            <w:r>
              <w:t>11.5+</w:t>
            </w:r>
          </w:p>
        </w:tc>
        <w:tc>
          <w:tcPr>
            <w:tcW w:w="0" w:type="auto"/>
            <w:shd w:val="clear"/>
            <w:vAlign w:val="center"/>
          </w:tcPr>
          <w:p w14:paraId="0CDCF96E">
            <w:pPr>
              <w:rPr/>
            </w:pPr>
            <w:r>
              <w:t>是</w:t>
            </w:r>
          </w:p>
        </w:tc>
      </w:tr>
      <w:tr w14:paraId="5E0FF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FEFB56">
            <w:pPr>
              <w:rPr/>
            </w:pPr>
            <w:r>
              <w:t>Bristol Palin (S11)</w:t>
            </w:r>
          </w:p>
        </w:tc>
        <w:tc>
          <w:tcPr>
            <w:tcW w:w="0" w:type="auto"/>
            <w:shd w:val="clear"/>
            <w:vAlign w:val="center"/>
          </w:tcPr>
          <w:p w14:paraId="4CB07017">
            <w:pPr>
              <w:rPr/>
            </w:pPr>
            <w:r>
              <w:t>4</w:t>
            </w:r>
          </w:p>
        </w:tc>
        <w:tc>
          <w:tcPr>
            <w:tcW w:w="0" w:type="auto"/>
            <w:shd w:val="clear"/>
            <w:vAlign w:val="center"/>
          </w:tcPr>
          <w:p w14:paraId="282E7F76">
            <w:pPr>
              <w:rPr/>
            </w:pPr>
            <w:r>
              <w:t>-4.00</w:t>
            </w:r>
          </w:p>
        </w:tc>
        <w:tc>
          <w:tcPr>
            <w:tcW w:w="0" w:type="auto"/>
            <w:shd w:val="clear"/>
            <w:vAlign w:val="center"/>
          </w:tcPr>
          <w:p w14:paraId="417BCFDB">
            <w:pPr>
              <w:rPr/>
            </w:pPr>
            <w:r>
              <w:t>14.2+</w:t>
            </w:r>
          </w:p>
        </w:tc>
        <w:tc>
          <w:tcPr>
            <w:tcW w:w="0" w:type="auto"/>
            <w:shd w:val="clear"/>
            <w:vAlign w:val="center"/>
          </w:tcPr>
          <w:p w14:paraId="615ED0B1">
            <w:pPr>
              <w:rPr/>
            </w:pPr>
            <w:r>
              <w:t>否</w:t>
            </w:r>
          </w:p>
        </w:tc>
      </w:tr>
      <w:tr w14:paraId="0D7C8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99F9E3">
            <w:pPr>
              <w:rPr/>
            </w:pPr>
            <w:r>
              <w:t>Bobby Bones (S27)</w:t>
            </w:r>
          </w:p>
        </w:tc>
        <w:tc>
          <w:tcPr>
            <w:tcW w:w="0" w:type="auto"/>
            <w:shd w:val="clear"/>
            <w:vAlign w:val="center"/>
          </w:tcPr>
          <w:p w14:paraId="44E55447">
            <w:pPr>
              <w:rPr/>
            </w:pPr>
            <w:r>
              <w:t>1</w:t>
            </w:r>
          </w:p>
        </w:tc>
        <w:tc>
          <w:tcPr>
            <w:tcW w:w="0" w:type="auto"/>
            <w:shd w:val="clear"/>
            <w:vAlign w:val="center"/>
          </w:tcPr>
          <w:p w14:paraId="6CC1C7B0">
            <w:pPr>
              <w:rPr/>
            </w:pPr>
            <w:r>
              <w:t>-4.57</w:t>
            </w:r>
          </w:p>
        </w:tc>
        <w:tc>
          <w:tcPr>
            <w:tcW w:w="0" w:type="auto"/>
            <w:shd w:val="clear"/>
            <w:vAlign w:val="center"/>
          </w:tcPr>
          <w:p w14:paraId="3694C23C">
            <w:pPr>
              <w:rPr/>
            </w:pPr>
            <w:r>
              <w:t>15.0+</w:t>
            </w:r>
          </w:p>
        </w:tc>
        <w:tc>
          <w:tcPr>
            <w:tcW w:w="0" w:type="auto"/>
            <w:shd w:val="clear"/>
            <w:vAlign w:val="center"/>
          </w:tcPr>
          <w:p w14:paraId="480FA864">
            <w:pPr>
              <w:rPr/>
            </w:pPr>
            <w:r>
              <w:t>否</w:t>
            </w:r>
          </w:p>
        </w:tc>
      </w:tr>
    </w:tbl>
    <w:p w14:paraId="6F24984C">
      <w:pPr>
        <w:rPr>
          <w:rFonts w:hint="eastAsia" w:eastAsiaTheme="minorEastAsia"/>
          <w:lang w:eastAsia="zh-CN"/>
        </w:rPr>
      </w:pPr>
      <w:r>
        <w:br w:type="textWrapping"/>
      </w:r>
      <w:r>
        <w:rPr>
          <w:rFonts w:hint="eastAsia"/>
          <w:lang w:eastAsia="zh-CN"/>
        </w:rPr>
        <w:drawing>
          <wp:inline distT="0" distB="0" distL="114300" distR="114300">
            <wp:extent cx="5727700" cy="4566920"/>
            <wp:effectExtent l="0" t="0" r="2540" b="5080"/>
            <wp:docPr id="12" name="图片 12" descr="paper_fig_controversy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aper_fig_controversy_summary"/>
                    <pic:cNvPicPr>
                      <a:picLocks noChangeAspect="1"/>
                    </pic:cNvPicPr>
                  </pic:nvPicPr>
                  <pic:blipFill>
                    <a:blip r:embed="rId12"/>
                    <a:stretch>
                      <a:fillRect/>
                    </a:stretch>
                  </pic:blipFill>
                  <pic:spPr>
                    <a:xfrm>
                      <a:off x="0" y="0"/>
                      <a:ext cx="5727700" cy="4566920"/>
                    </a:xfrm>
                    <a:prstGeom prst="rect">
                      <a:avLst/>
                    </a:prstGeom>
                  </pic:spPr>
                </pic:pic>
              </a:graphicData>
            </a:graphic>
          </wp:inline>
        </w:drawing>
      </w:r>
    </w:p>
    <w:p w14:paraId="11A73FD7">
      <w:pPr>
        <w:rPr/>
      </w:pPr>
      <w:r>
        <w:t>5.3.2 深度案例解析：机制敏感型 vs. 机制免疫型</w:t>
      </w:r>
    </w:p>
    <w:p w14:paraId="6FA6B536">
      <w:pPr>
        <w:rPr/>
      </w:pPr>
      <w:r>
        <w:t>我们将这些选手分为两类，以阐述算法对不同人气强度的处理逻辑：</w:t>
      </w:r>
    </w:p>
    <w:p w14:paraId="5DB4D04E">
      <w:pPr>
        <w:rPr/>
      </w:pPr>
      <w:r>
        <w:t>1. 机制敏感型：Jerry Rice 与 Billy Ray Cyrus</w:t>
      </w:r>
    </w:p>
    <w:p w14:paraId="11A4CFEB">
      <w:pPr>
        <w:rPr/>
      </w:pPr>
      <w:r>
        <w:t>这类选手的共同特点是“粉丝支持强劲，但未达到压倒性”。</w:t>
      </w:r>
    </w:p>
    <w:p w14:paraId="23C7037D">
      <w:pPr>
        <w:rPr/>
      </w:pPr>
      <w:r>
        <w:t>在排名制下：Jerry Rice 曾多次在评委评分垫底的情况下，凭借粉丝端的前二排名强行跻身决赛。排名制抹平了他与技术领先者（如 Stacy Keibler）之间高达 5 分以上的绝对分差。</w:t>
      </w:r>
    </w:p>
    <w:p w14:paraId="77AD372F">
      <w:pPr>
        <w:rPr/>
      </w:pPr>
      <w:r>
        <w:t>在百分比制下：我们的模拟显示，由于技术分在总分中占据了线性比例，这种机制保留了技术派选手的绝对统治力。如果 S2 采用百分比制，Jerry Rice 在第 7 周的技术劣势将导致其总分百分比无法通过粉丝票弥补，从而改变其进入决赛的命运。</w:t>
      </w:r>
    </w:p>
    <w:p w14:paraId="2844DDE8">
      <w:pPr>
        <w:rPr/>
      </w:pPr>
      <w:r>
        <w:t>2. 机制免疫型：Bristol Palin 与 Bobby Bones</w:t>
      </w:r>
    </w:p>
    <w:p w14:paraId="6477B944">
      <w:pPr>
        <w:rPr/>
      </w:pPr>
      <w:r>
        <w:t>这类选手代表了粉丝力量的极值，其人气已足以抵御任何数学规则的过滤。</w:t>
      </w:r>
    </w:p>
    <w:p w14:paraId="5FA44ACD">
      <w:pPr>
        <w:rPr/>
      </w:pPr>
      <w:r>
        <w:t>人气溢价的极致：Bobby Bones 的粉丝弥补度高达 -4.57。即使在百分比制下，他所能获取的粉丝投票比例（经推算常年维持在 35% 以上）已经远远超过了其他选手的“安全阈值”。</w:t>
      </w:r>
    </w:p>
    <w:p w14:paraId="146E90CA">
      <w:pPr>
        <w:rPr/>
      </w:pPr>
      <w:r>
        <w:t xml:space="preserve">算法失灵：对于这类选手，无论是离散的排名还是连续的百分比，都无法阻止其晋级。这种现象在统计学上对应着极高的确定性 </w:t>
      </w:r>
      <m:oMath>
        <m:r>
          <m:rPr>
            <m:sty m:val="p"/>
          </m:rPr>
          <w:rPr>
            <w:rFonts w:hint="default" w:ascii="Cambria Math" w:hAnsi="Cambria Math"/>
            <w:sz w:val="24"/>
          </w:rPr>
          <m:t>Φ</m:t>
        </m:r>
      </m:oMath>
      <w:r>
        <w:t>——因为淘汰结果通过“排除法”唯一锁定了其海量票数的客观事实。</w:t>
      </w:r>
    </w:p>
    <w:p w14:paraId="15443E3D">
      <w:pPr>
        <w:rPr/>
      </w:pPr>
    </w:p>
    <w:p w14:paraId="60B853EA">
      <w:pPr>
        <w:rPr/>
      </w:pPr>
      <w:r>
        <w:br w:type="textWrapping"/>
      </w:r>
      <w:r>
        <w:t>5.3.</w:t>
      </w:r>
      <w:r>
        <w:rPr>
          <w:rFonts w:hint="eastAsia"/>
          <w:lang w:val="en-US" w:eastAsia="zh-CN"/>
        </w:rPr>
        <w:t>3</w:t>
      </w:r>
      <w:r>
        <w:t xml:space="preserve"> 机制决定论：谁更贴近真实？</w:t>
      </w:r>
    </w:p>
    <w:p w14:paraId="14CA2B6E">
      <w:pPr>
        <w:rPr/>
      </w:pPr>
      <w:r>
        <w:t>根据实验结果，排名制在判定真实淘汰结果上显著优于百分比制。特别是在分歧巨大的近期赛季：</w:t>
      </w:r>
    </w:p>
    <w:p w14:paraId="5BAFCA0E">
      <w:pPr>
        <w:rPr/>
      </w:pPr>
      <w:r>
        <w:t>在第 31 季，排名制预测正确 9 周，而百分比制仅 2 周。</w:t>
      </w:r>
    </w:p>
    <w:p w14:paraId="3CCEE4FF">
      <w:pPr>
        <w:rPr/>
      </w:pPr>
      <w:r>
        <w:t>在第 32 季和第 34 季，排名制也分别以 8 vs 3 表现出绝对准确度优势。</w:t>
      </w:r>
    </w:p>
    <w:p w14:paraId="4B921DE6">
      <w:pPr>
        <w:rPr/>
      </w:pPr>
      <w:r>
        <w:t>结论：在“谁更贴近节目实际淘汰”这一维度上，排名制更稳定且准确。这说明节目组实际采用的规则逻辑（即使是修正后的）在本质上更贴近排名综合。</w:t>
      </w:r>
    </w:p>
    <w:p w14:paraId="54DF6DD4">
      <w:pPr>
        <w:rPr/>
      </w:pPr>
    </w:p>
    <w:p w14:paraId="1A805E90">
      <w:pPr>
        <w:rPr/>
      </w:pPr>
      <w:r>
        <w:t>5.4 “评委二选一”机制的保险阀作用</w:t>
      </w:r>
    </w:p>
    <w:p w14:paraId="330584B0">
      <w:pPr>
        <w:rPr/>
      </w:pPr>
      <w:r>
        <w:t>从第 28 季开始引入的“最后两名由评委择一淘汰”的规则，解释了近期赛季分歧加大的原因：</w:t>
      </w:r>
    </w:p>
    <w:p w14:paraId="54E5C45F">
      <w:pPr>
        <w:rPr/>
      </w:pPr>
      <w:r>
        <w:t>安全阀作用：该机制允许即便是在利于人气的排名制下产生的人气选手，也要在“危险区”接受评委的技术考核。</w:t>
      </w:r>
    </w:p>
    <w:p w14:paraId="1FBA9595">
      <w:pPr>
        <w:rPr/>
      </w:pPr>
      <w:r>
        <w:t>数据反馈：即便近期赛季两种方法分歧严重，但由于评委二选一的存在，实际淘汰结果（Accuracy）依然与名次法高度契合。这证明了**“排名筛选候选人 + 评委执行生杀权”**已成为节目的事实稳定机制。</w:t>
      </w:r>
    </w:p>
    <w:p w14:paraId="52237B47">
      <w:pPr>
        <w:rPr>
          <w:rFonts w:hint="eastAsia" w:eastAsiaTheme="minorEastAsia"/>
          <w:lang w:eastAsia="zh-CN"/>
        </w:rPr>
      </w:pPr>
      <w:r>
        <w:t>[图5-3：名次法 vs 百分比法在不同赛季的准确度对比]</w:t>
      </w:r>
      <w:r>
        <w:br w:type="textWrapping"/>
      </w:r>
      <w:r>
        <w:rPr>
          <w:rFonts w:hint="eastAsia"/>
          <w:lang w:eastAsia="zh-CN"/>
        </w:rPr>
        <w:drawing>
          <wp:inline distT="0" distB="0" distL="114300" distR="114300">
            <wp:extent cx="5726430" cy="2835910"/>
            <wp:effectExtent l="0" t="0" r="3810" b="13970"/>
            <wp:docPr id="14" name="图片 14" descr="fig_accuracy_rank_vs_percent_by_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_accuracy_rank_vs_percent_by_season"/>
                    <pic:cNvPicPr>
                      <a:picLocks noChangeAspect="1"/>
                    </pic:cNvPicPr>
                  </pic:nvPicPr>
                  <pic:blipFill>
                    <a:blip r:embed="rId13"/>
                    <a:stretch>
                      <a:fillRect/>
                    </a:stretch>
                  </pic:blipFill>
                  <pic:spPr>
                    <a:xfrm>
                      <a:off x="0" y="0"/>
                      <a:ext cx="5726430" cy="2835910"/>
                    </a:xfrm>
                    <a:prstGeom prst="rect">
                      <a:avLst/>
                    </a:prstGeom>
                  </pic:spPr>
                </pic:pic>
              </a:graphicData>
            </a:graphic>
          </wp:inline>
        </w:drawing>
      </w:r>
    </w:p>
    <w:p w14:paraId="638E7687">
      <w:pPr>
        <w:rPr/>
      </w:pPr>
      <w:r>
        <w:t>5.5 综合建议：评价体系的选择逻辑</w:t>
      </w:r>
    </w:p>
    <w:p w14:paraId="6889EA67">
      <w:pPr>
        <w:rPr/>
      </w:pPr>
      <w:r>
        <w:t>基于上述 264 周的仿真与 45 周差异明细分析，本研究给出如下建议：</w:t>
      </w:r>
    </w:p>
    <w:p w14:paraId="7CCC8D29">
      <w:pPr>
        <w:rPr/>
      </w:pPr>
      <w:r>
        <w:t>还原度视角：若目标是最大程度契合节目实际结果，排名制 (Rank-based) 是更优的数学模型。</w:t>
      </w:r>
    </w:p>
    <w:p w14:paraId="514EB276">
      <w:pPr>
        <w:rPr/>
      </w:pPr>
      <w:r>
        <w:t>公平性视角：若需强调专业艺术水准的线性权重，百分比制 (Percentage-based) 能更有效地反映技术领先优势。</w:t>
      </w:r>
    </w:p>
    <w:p w14:paraId="7ED25551">
      <w:pPr>
        <w:rPr/>
      </w:pPr>
      <w:r>
        <w:t>最终方案：鉴于近期赛季（S28-S34）分歧剧增的现状，我们认为单一机制已难以平衡多方诉求。这正是我们在第七章提出全新的 DAES 动态平衡系统（Z-Score 转换与动态权重）的初衷，即通过统计学标准化来弥补百分比法的“稀释效应”和排名法的“杠杆风险”。</w:t>
      </w:r>
    </w:p>
    <w:p w14:paraId="6DD57A1D">
      <w:pPr>
        <w:rPr/>
      </w:pPr>
    </w:p>
    <w:p w14:paraId="72A159DA">
      <w:pPr>
        <w:rPr/>
      </w:pPr>
      <w:r>
        <w:br w:type="textWrapping"/>
      </w:r>
      <w:r>
        <w:br w:type="textWrapping"/>
      </w:r>
      <w:r>
        <w:t>6. Model II: 基于线性混合效应模型的影响因素分析</w:t>
      </w:r>
    </w:p>
    <w:p w14:paraId="5359B6C8">
      <w:pPr>
        <w:rPr/>
      </w:pPr>
      <w:r>
        <w:t>6.1 建模目标与模型选择依据</w:t>
      </w:r>
    </w:p>
    <w:p w14:paraId="75A436A5">
      <w:pPr>
        <w:rPr/>
      </w:pPr>
      <w:r>
        <w:t>在前述章节中，我们成功反演了隐藏的粉丝投票数据。然而，DWTS 竞赛中一个核心疑问是：嘉宾自身的背景特征（如年龄、行业）究竟如何影响成绩，以及职业舞伴的调教（名师效应）在其中扮演了怎样的角色？</w:t>
      </w:r>
    </w:p>
    <w:p w14:paraId="64ECAF71">
      <w:pPr>
        <w:rPr/>
      </w:pPr>
      <w:r>
        <w:t>6.1.1 为什么选择线性混合效应模型 (LME)？</w:t>
      </w:r>
    </w:p>
    <w:p w14:paraId="2BB08035">
      <w:pPr>
        <w:rPr/>
      </w:pPr>
      <w:r>
        <w:t>在处理 DWTS 数据时，传统的线性回归（OLS）存在明显的局限性。数据记录显示，职业舞者往往会跨越多个赛季重复参赛（如 Cheryl Burke 参与了 26 个赛季，Derek Hough 参与了 17 个赛季）。这意味着同一位舞者所带的不同嘉宾之间存在非独立性——同一导师的编舞风格、教学能力甚至其个人粉丝基础会形成一种“聚类效应”。</w:t>
      </w:r>
    </w:p>
    <w:p w14:paraId="16085D17">
      <w:pPr>
        <w:rPr/>
      </w:pPr>
      <w:r>
        <w:t xml:space="preserve">如果忽略这种层级结构，统计推断将产生偏差。因此，我们选择 </w:t>
      </w:r>
      <w:bookmarkStart w:id="0" w:name="_GoBack"/>
      <w:r>
        <w:t xml:space="preserve">线性混合效应模型 </w:t>
      </w:r>
      <w:bookmarkEnd w:id="0"/>
      <w:r>
        <w:t>(LME)，其优势在于：</w:t>
      </w:r>
    </w:p>
    <w:p w14:paraId="5E747700">
      <w:pPr>
        <w:rPr/>
      </w:pPr>
      <w:r>
        <w:t>处理非独立性：将职业舞者设为随机效应 (Random Effects)，允许不同导师拥有不同的“表现基准”，从而精准捕捉其个人溢价。</w:t>
      </w:r>
    </w:p>
    <w:p w14:paraId="5380B000">
      <w:pPr>
        <w:rPr/>
      </w:pPr>
      <w:r>
        <w:t>分离核心贡献：将嘉宾的年龄、行业设为固定效应 (Fixed Effects)，在控制了导师差异的前提下，量化嘉宾自身特征对分数的边际贡献。</w:t>
      </w:r>
    </w:p>
    <w:p w14:paraId="49866349">
      <w:pPr>
        <w:rPr/>
      </w:pPr>
    </w:p>
    <w:p w14:paraId="15A2CD06">
      <w:pPr>
        <w:rPr/>
      </w:pPr>
      <w:r>
        <w:t>6.2 数学方法：双路径驱动力建模</w:t>
      </w:r>
    </w:p>
    <w:p w14:paraId="5FA6ABBB">
      <w:pPr>
        <w:rPr/>
      </w:pPr>
      <w:r>
        <w:t>我们构建了两个平行的 LME 模型，分别探索“技术表现”与“人气表现”的驱动差异。</w:t>
      </w:r>
    </w:p>
    <w:p w14:paraId="3FBE86BE">
      <w:pPr>
        <w:rPr/>
      </w:pPr>
      <w:r>
        <w:t>本研究采用如下线性混合效应方程进行回归分析：</w:t>
      </w:r>
    </w:p>
    <w:p w14:paraId="631F5F80">
      <w:pPr>
        <w:rPr/>
      </w:pPr>
      <m:oMathPara>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Age</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Industry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ϵ</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oMath>
      </m:oMathPara>
    </w:p>
    <w:p w14:paraId="14EAD7D3">
      <w:pPr>
        <w:rPr/>
      </w:pPr>
      <w:r>
        <w:t>各符号含义的详细说明如下：</w:t>
      </w:r>
    </w:p>
    <w:p w14:paraId="63C13522">
      <w:pPr>
        <w:rPr/>
      </w:pP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oMath>
      <w:r>
        <w:t xml:space="preserve">：因变量。在路径 A 中代表第 </w:t>
      </w:r>
      <m:oMath>
        <m:r>
          <m:rPr/>
          <w:rPr>
            <w:rFonts w:hint="default" w:ascii="Cambria Math" w:hAnsi="Cambria Math"/>
            <w:sz w:val="24"/>
          </w:rPr>
          <m:t>j</m:t>
        </m:r>
      </m:oMath>
      <w:r>
        <w:t xml:space="preserve">位职业舞者带领的第 </w:t>
      </w:r>
      <m:oMath>
        <m:r>
          <m:rPr/>
          <w:rPr>
            <w:rFonts w:hint="default" w:ascii="Cambria Math" w:hAnsi="Cambria Math"/>
            <w:sz w:val="24"/>
          </w:rPr>
          <m:t>i</m:t>
        </m:r>
      </m:oMath>
      <w:r>
        <w:t>位选手的赛季平均评委分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Judge</m:t>
            </m:r>
            <m:ctrlPr>
              <w:rPr>
                <w:rFonts w:ascii="Cambria Math" w:hAnsi="Cambria Math"/>
                <w:sz w:val="24"/>
              </w:rPr>
            </m:ctrlPr>
          </m:sub>
        </m:sSub>
      </m:oMath>
      <w:r>
        <w:t>)；在路径 B 中代表对应的估算粉丝得票比例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Fan</m:t>
            </m:r>
            <m:ctrlPr>
              <w:rPr>
                <w:rFonts w:ascii="Cambria Math" w:hAnsi="Cambria Math"/>
                <w:sz w:val="24"/>
              </w:rPr>
            </m:ctrlPr>
          </m:sub>
        </m:sSub>
        <m:r>
          <m:rPr/>
          <w:rPr>
            <w:rFonts w:hint="default" w:ascii="Cambria Math" w:hAnsi="Cambria Math"/>
            <w:sz w:val="24"/>
          </w:rPr>
          <m:t>)</m:t>
        </m:r>
      </m:oMath>
      <w:r>
        <w:t>。</w:t>
      </w:r>
    </w:p>
    <w:p w14:paraId="02F98B76">
      <w:pPr>
        <w:rPr/>
      </w:pPr>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t>：截距项。代表在所有自变量为基准值时选手的期望表现水平（基准分）。</w:t>
      </w:r>
    </w:p>
    <w:p w14:paraId="4C2D51CE">
      <w:pPr>
        <w:rPr/>
      </w:pPr>
      <m:oMath>
        <m:sSub>
          <m:sSubPr>
            <m:ctrlPr>
              <w:rPr>
                <w:rFonts w:hint="default" w:ascii="Cambria Math" w:hAnsi="Cambria Math"/>
                <w:sz w:val="24"/>
              </w:rPr>
            </m:ctrlPr>
          </m:sSubPr>
          <m:e>
            <m:r>
              <m:rPr/>
              <w:rPr>
                <w:rFonts w:hint="default" w:ascii="Cambria Math" w:hAnsi="Cambria Math"/>
                <w:sz w:val="24"/>
              </w:rPr>
              <m:t>Age</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t xml:space="preserve">：选手的年龄变量。在模型中经过标准化处理（Z-score），代表第 </w:t>
      </w:r>
      <m:oMath>
        <m:r>
          <m:rPr/>
          <w:rPr>
            <w:rFonts w:hint="default" w:ascii="Cambria Math" w:hAnsi="Cambria Math"/>
            <w:sz w:val="24"/>
          </w:rPr>
          <m:t>i</m:t>
        </m:r>
      </m:oMath>
      <w:r>
        <w:t>位选手的生理特征。</w:t>
      </w:r>
    </w:p>
    <w:p w14:paraId="3017A394">
      <w:pPr>
        <w:rPr/>
      </w:pPr>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t>：年龄的固定效应系数。衡量在控制舞者差异后，选手年龄每改变一个标准差对表现指标的边际影响。</w:t>
      </w:r>
    </w:p>
    <w:p w14:paraId="2F1349C8">
      <w:pPr>
        <w:rPr/>
      </w:pPr>
      <m:oMath>
        <m:sSub>
          <m:sSubPr>
            <m:ctrlPr>
              <w:rPr>
                <w:rFonts w:hint="default" w:ascii="Cambria Math" w:hAnsi="Cambria Math"/>
                <w:sz w:val="24"/>
              </w:rPr>
            </m:ctrlPr>
          </m:sSubPr>
          <m:e>
            <m:r>
              <m:rPr/>
              <w:rPr>
                <w:rFonts w:hint="default" w:ascii="Cambria Math" w:hAnsi="Cambria Math"/>
                <w:sz w:val="24"/>
              </w:rPr>
              <m:t>Industry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t xml:space="preserve">：行业分类变量。代表第 </w:t>
      </w:r>
      <m:oMath>
        <m:r>
          <m:rPr/>
          <w:rPr>
            <w:rFonts w:hint="default" w:ascii="Cambria Math" w:hAnsi="Cambria Math"/>
            <w:sz w:val="24"/>
          </w:rPr>
          <m:t>i</m:t>
        </m:r>
      </m:oMath>
      <w:r>
        <w:t>位选手所属的职业领域（如体育、演员、社交媒体等），在计算中转化为哑变量（Dummy Variables）。</w:t>
      </w:r>
    </w:p>
    <w:p w14:paraId="429ECEFD">
      <w:pPr>
        <w:rPr/>
      </w:pPr>
      <m:oMath>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t>：行业背景的固定效应系数向量。反映不同职业背景相对于基准行业（如“演员”）的表现溢价或折扣。</w:t>
      </w:r>
    </w:p>
    <w:p w14:paraId="5EA46609">
      <w:pPr>
        <w:rPr/>
      </w:pPr>
      <m:oMath>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oMath>
      <w:r>
        <w:t>：随机效应项（随机截距）。代表第</w:t>
      </w:r>
      <m:oMath>
        <m:r>
          <m:rPr/>
          <w:rPr>
            <w:rFonts w:hint="default" w:ascii="Cambria Math" w:hAnsi="Cambria Math"/>
            <w:sz w:val="24"/>
          </w:rPr>
          <m:t>j</m:t>
        </m:r>
      </m:oMath>
      <w:r>
        <w:t xml:space="preserve"> 位职业舞者的特定偏移量。它刻画了该舞者相对于总体平均水平的“名师溢价”，反映了导师个人素质对选手成绩的系统性拉动。</w:t>
      </w:r>
    </w:p>
    <w:p w14:paraId="6E963816">
      <w:pPr>
        <w:rPr/>
      </w:pPr>
      <m:oMath>
        <m:sSub>
          <m:sSubPr>
            <m:ctrlPr>
              <w:rPr>
                <w:rFonts w:hint="default" w:ascii="Cambria Math" w:hAnsi="Cambria Math"/>
                <w:sz w:val="24"/>
              </w:rPr>
            </m:ctrlPr>
          </m:sSubPr>
          <m:e>
            <m:r>
              <m:rPr/>
              <w:rPr>
                <w:rFonts w:hint="default" w:ascii="Cambria Math" w:hAnsi="Cambria Math"/>
                <w:sz w:val="24"/>
              </w:rPr>
              <m:t>ϵ</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oMath>
      <w:r>
        <w:t xml:space="preserve">：随机残差项。代表模型未能解释的观测误差及其他随机波动，假设 </w:t>
      </w:r>
      <m:oMath>
        <m:sSub>
          <m:sSubPr>
            <m:ctrlPr>
              <w:rPr>
                <w:rFonts w:hint="default" w:ascii="Cambria Math" w:hAnsi="Cambria Math"/>
                <w:sz w:val="24"/>
              </w:rPr>
            </m:ctrlPr>
          </m:sSubPr>
          <m:e>
            <m:r>
              <m:rPr/>
              <w:rPr>
                <w:rFonts w:hint="default" w:ascii="Cambria Math" w:hAnsi="Cambria Math"/>
                <w:sz w:val="24"/>
              </w:rPr>
              <m:t>ϵ</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r>
          <m:rPr/>
          <w:rPr>
            <w:rFonts w:hint="default" w:ascii="Cambria Math" w:hAnsi="Cambria Math"/>
            <w:sz w:val="24"/>
          </w:rPr>
          <m:t>∼N(0,</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ϵ</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oMath>
      <w:r>
        <w:t>。</w:t>
      </w:r>
    </w:p>
    <w:p w14:paraId="1F47DCEC">
      <w:pPr>
        <w:rPr/>
      </w:pPr>
    </w:p>
    <w:p w14:paraId="720EDBDF">
      <w:pPr>
        <w:rPr/>
      </w:pPr>
      <w:r>
        <w:t>根据程序运行结果，模型各项参数的估计值如下表所示：</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7"/>
        <w:gridCol w:w="2453"/>
        <w:gridCol w:w="1936"/>
        <w:gridCol w:w="1723"/>
        <w:gridCol w:w="1537"/>
      </w:tblGrid>
      <w:tr w14:paraId="31570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3478CE">
            <w:pPr>
              <w:rPr/>
            </w:pPr>
            <w:r>
              <w:t>符号</w:t>
            </w:r>
          </w:p>
        </w:tc>
        <w:tc>
          <w:tcPr>
            <w:tcW w:w="0" w:type="auto"/>
            <w:shd w:val="clear"/>
            <w:vAlign w:val="center"/>
          </w:tcPr>
          <w:p w14:paraId="532634EC">
            <w:pPr>
              <w:rPr/>
            </w:pPr>
            <w:r>
              <w:t>参数项</w:t>
            </w:r>
          </w:p>
        </w:tc>
        <w:tc>
          <w:tcPr>
            <w:tcW w:w="0" w:type="auto"/>
            <w:shd w:val="clear"/>
            <w:vAlign w:val="center"/>
          </w:tcPr>
          <w:p w14:paraId="7D350E47">
            <w:pPr>
              <w:rPr/>
            </w:pPr>
            <w:r>
              <w:t>路径 A ($Y_{Judge}$) 估计值</w:t>
            </w:r>
          </w:p>
        </w:tc>
        <w:tc>
          <w:tcPr>
            <w:tcW w:w="0" w:type="auto"/>
            <w:shd w:val="clear"/>
            <w:vAlign w:val="center"/>
          </w:tcPr>
          <w:p w14:paraId="66A33394">
            <w:pPr>
              <w:rPr/>
            </w:pPr>
            <w:r>
              <w:t>路径 B ($Y_{Fan}$) 估计值</w:t>
            </w:r>
          </w:p>
        </w:tc>
        <w:tc>
          <w:tcPr>
            <w:tcW w:w="0" w:type="auto"/>
            <w:shd w:val="clear"/>
            <w:vAlign w:val="center"/>
          </w:tcPr>
          <w:p w14:paraId="4BD4CD1D">
            <w:pPr>
              <w:rPr/>
            </w:pPr>
            <w:r>
              <w:t>显著性 (P&gt;|z|)</w:t>
            </w:r>
          </w:p>
        </w:tc>
      </w:tr>
      <w:tr w14:paraId="5E28C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063A1A">
            <w:pPr>
              <w:rPr/>
            </w:pPr>
            <w:r>
              <w:t>$\beta_0$</w:t>
            </w:r>
          </w:p>
        </w:tc>
        <w:tc>
          <w:tcPr>
            <w:tcW w:w="0" w:type="auto"/>
            <w:shd w:val="clear"/>
            <w:vAlign w:val="center"/>
          </w:tcPr>
          <w:p w14:paraId="5183D4C2">
            <w:pPr>
              <w:rPr/>
            </w:pPr>
            <w:r>
              <w:t>截距 (Intercept)</w:t>
            </w:r>
          </w:p>
        </w:tc>
        <w:tc>
          <w:tcPr>
            <w:tcW w:w="0" w:type="auto"/>
            <w:shd w:val="clear"/>
            <w:vAlign w:val="center"/>
          </w:tcPr>
          <w:p w14:paraId="2C7106AE">
            <w:pPr>
              <w:rPr/>
            </w:pPr>
            <w:r>
              <w:t>7.626</w:t>
            </w:r>
          </w:p>
        </w:tc>
        <w:tc>
          <w:tcPr>
            <w:tcW w:w="0" w:type="auto"/>
            <w:shd w:val="clear"/>
            <w:vAlign w:val="center"/>
          </w:tcPr>
          <w:p w14:paraId="4E1AA903">
            <w:pPr>
              <w:rPr/>
            </w:pPr>
            <w:r>
              <w:t>0.110</w:t>
            </w:r>
          </w:p>
        </w:tc>
        <w:tc>
          <w:tcPr>
            <w:tcW w:w="0" w:type="auto"/>
            <w:shd w:val="clear"/>
            <w:vAlign w:val="center"/>
          </w:tcPr>
          <w:p w14:paraId="594A8509">
            <w:pPr>
              <w:rPr/>
            </w:pPr>
            <w:r>
              <w:t>&lt; 0.001</w:t>
            </w:r>
          </w:p>
        </w:tc>
      </w:tr>
      <w:tr w14:paraId="0F6E7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19C7E8">
            <w:pPr>
              <w:rPr/>
            </w:pPr>
            <w:r>
              <w:t>$\beta_1$</w:t>
            </w:r>
          </w:p>
        </w:tc>
        <w:tc>
          <w:tcPr>
            <w:tcW w:w="0" w:type="auto"/>
            <w:shd w:val="clear"/>
            <w:vAlign w:val="center"/>
          </w:tcPr>
          <w:p w14:paraId="46C7998B">
            <w:pPr>
              <w:rPr/>
            </w:pPr>
            <w:r>
              <w:t>年龄标准化 ($\text{Age}_{std}$)</w:t>
            </w:r>
          </w:p>
        </w:tc>
        <w:tc>
          <w:tcPr>
            <w:tcW w:w="0" w:type="auto"/>
            <w:shd w:val="clear"/>
            <w:vAlign w:val="center"/>
          </w:tcPr>
          <w:p w14:paraId="5057A366">
            <w:pPr>
              <w:rPr/>
            </w:pPr>
            <w:r>
              <w:t>-0.693</w:t>
            </w:r>
          </w:p>
        </w:tc>
        <w:tc>
          <w:tcPr>
            <w:tcW w:w="0" w:type="auto"/>
            <w:shd w:val="clear"/>
            <w:vAlign w:val="center"/>
          </w:tcPr>
          <w:p w14:paraId="6AAFEB28">
            <w:pPr>
              <w:rPr/>
            </w:pPr>
            <w:r>
              <w:t>-0.011</w:t>
            </w:r>
          </w:p>
        </w:tc>
        <w:tc>
          <w:tcPr>
            <w:tcW w:w="0" w:type="auto"/>
            <w:shd w:val="clear"/>
            <w:vAlign w:val="center"/>
          </w:tcPr>
          <w:p w14:paraId="1A4713B8">
            <w:pPr>
              <w:rPr/>
            </w:pPr>
            <w:r>
              <w:t>&lt; 0.001</w:t>
            </w:r>
          </w:p>
        </w:tc>
      </w:tr>
      <w:tr w14:paraId="3F88B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24827C">
            <w:pPr>
              <w:rPr/>
            </w:pPr>
            <w:r>
              <w:t>$\beta_{2,1}$</w:t>
            </w:r>
          </w:p>
        </w:tc>
        <w:tc>
          <w:tcPr>
            <w:tcW w:w="0" w:type="auto"/>
            <w:shd w:val="clear"/>
            <w:vAlign w:val="center"/>
          </w:tcPr>
          <w:p w14:paraId="10E9D303">
            <w:pPr>
              <w:rPr/>
            </w:pPr>
            <w:r>
              <w:t>行业：Music</w:t>
            </w:r>
          </w:p>
        </w:tc>
        <w:tc>
          <w:tcPr>
            <w:tcW w:w="0" w:type="auto"/>
            <w:shd w:val="clear"/>
            <w:vAlign w:val="center"/>
          </w:tcPr>
          <w:p w14:paraId="51442F22">
            <w:pPr>
              <w:rPr/>
            </w:pPr>
            <w:r>
              <w:t>-0.145</w:t>
            </w:r>
          </w:p>
        </w:tc>
        <w:tc>
          <w:tcPr>
            <w:tcW w:w="0" w:type="auto"/>
            <w:shd w:val="clear"/>
            <w:vAlign w:val="center"/>
          </w:tcPr>
          <w:p w14:paraId="67D4F8DD">
            <w:pPr>
              <w:rPr/>
            </w:pPr>
            <w:r>
              <w:t>-0.003</w:t>
            </w:r>
          </w:p>
        </w:tc>
        <w:tc>
          <w:tcPr>
            <w:tcW w:w="0" w:type="auto"/>
            <w:shd w:val="clear"/>
            <w:vAlign w:val="center"/>
          </w:tcPr>
          <w:p w14:paraId="42B881A0">
            <w:pPr>
              <w:rPr/>
            </w:pPr>
            <w:r>
              <w:t>不显著</w:t>
            </w:r>
          </w:p>
        </w:tc>
      </w:tr>
      <w:tr w14:paraId="4DCB3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8213EA1">
            <w:pPr>
              <w:rPr/>
            </w:pPr>
            <w:r>
              <w:t>$\beta_{2,2}$</w:t>
            </w:r>
          </w:p>
        </w:tc>
        <w:tc>
          <w:tcPr>
            <w:tcW w:w="0" w:type="auto"/>
            <w:shd w:val="clear"/>
            <w:vAlign w:val="center"/>
          </w:tcPr>
          <w:p w14:paraId="07EF0054">
            <w:pPr>
              <w:rPr/>
            </w:pPr>
            <w:r>
              <w:t>行业：Social Media</w:t>
            </w:r>
          </w:p>
        </w:tc>
        <w:tc>
          <w:tcPr>
            <w:tcW w:w="0" w:type="auto"/>
            <w:shd w:val="clear"/>
            <w:vAlign w:val="center"/>
          </w:tcPr>
          <w:p w14:paraId="3DB9A216">
            <w:pPr>
              <w:rPr/>
            </w:pPr>
            <w:r>
              <w:t>-0.636</w:t>
            </w:r>
          </w:p>
        </w:tc>
        <w:tc>
          <w:tcPr>
            <w:tcW w:w="0" w:type="auto"/>
            <w:shd w:val="clear"/>
            <w:vAlign w:val="center"/>
          </w:tcPr>
          <w:p w14:paraId="2FE75673">
            <w:pPr>
              <w:rPr/>
            </w:pPr>
            <w:r>
              <w:t>-0.012</w:t>
            </w:r>
          </w:p>
        </w:tc>
        <w:tc>
          <w:tcPr>
            <w:tcW w:w="0" w:type="auto"/>
            <w:shd w:val="clear"/>
            <w:vAlign w:val="center"/>
          </w:tcPr>
          <w:p w14:paraId="7C342E9F">
            <w:pPr>
              <w:rPr/>
            </w:pPr>
            <w:r>
              <w:t>&lt; 0.001</w:t>
            </w:r>
          </w:p>
        </w:tc>
      </w:tr>
      <w:tr w14:paraId="653BF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29F522">
            <w:pPr>
              <w:rPr/>
            </w:pPr>
            <w:r>
              <w:t>$\beta_{2,3}$</w:t>
            </w:r>
          </w:p>
        </w:tc>
        <w:tc>
          <w:tcPr>
            <w:tcW w:w="0" w:type="auto"/>
            <w:shd w:val="clear"/>
            <w:vAlign w:val="center"/>
          </w:tcPr>
          <w:p w14:paraId="00D359AB">
            <w:pPr>
              <w:rPr/>
            </w:pPr>
            <w:r>
              <w:t>行业：Sports</w:t>
            </w:r>
          </w:p>
        </w:tc>
        <w:tc>
          <w:tcPr>
            <w:tcW w:w="0" w:type="auto"/>
            <w:shd w:val="clear"/>
            <w:vAlign w:val="center"/>
          </w:tcPr>
          <w:p w14:paraId="62AE54B9">
            <w:pPr>
              <w:rPr/>
            </w:pPr>
            <w:r>
              <w:t>-0.426</w:t>
            </w:r>
          </w:p>
        </w:tc>
        <w:tc>
          <w:tcPr>
            <w:tcW w:w="0" w:type="auto"/>
            <w:shd w:val="clear"/>
            <w:vAlign w:val="center"/>
          </w:tcPr>
          <w:p w14:paraId="3DD99AF6">
            <w:pPr>
              <w:rPr/>
            </w:pPr>
            <w:r>
              <w:t>-0.002</w:t>
            </w:r>
          </w:p>
        </w:tc>
        <w:tc>
          <w:tcPr>
            <w:tcW w:w="0" w:type="auto"/>
            <w:shd w:val="clear"/>
            <w:vAlign w:val="center"/>
          </w:tcPr>
          <w:p w14:paraId="57FF7326">
            <w:pPr>
              <w:rPr/>
            </w:pPr>
            <w:r>
              <w:t>路径A显著/路径B不显著</w:t>
            </w:r>
          </w:p>
        </w:tc>
      </w:tr>
      <w:tr w14:paraId="0FB61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15CD38">
            <w:pPr>
              <w:rPr/>
            </w:pPr>
            <w:r>
              <w:t>$\beta_{2,4}$</w:t>
            </w:r>
          </w:p>
        </w:tc>
        <w:tc>
          <w:tcPr>
            <w:tcW w:w="0" w:type="auto"/>
            <w:shd w:val="clear"/>
            <w:vAlign w:val="center"/>
          </w:tcPr>
          <w:p w14:paraId="705329B1">
            <w:pPr>
              <w:rPr/>
            </w:pPr>
            <w:r>
              <w:t>行业：Other</w:t>
            </w:r>
          </w:p>
        </w:tc>
        <w:tc>
          <w:tcPr>
            <w:tcW w:w="0" w:type="auto"/>
            <w:shd w:val="clear"/>
            <w:vAlign w:val="center"/>
          </w:tcPr>
          <w:p w14:paraId="5E1190A6">
            <w:pPr>
              <w:rPr/>
            </w:pPr>
            <w:r>
              <w:t>-0.601</w:t>
            </w:r>
          </w:p>
        </w:tc>
        <w:tc>
          <w:tcPr>
            <w:tcW w:w="0" w:type="auto"/>
            <w:shd w:val="clear"/>
            <w:vAlign w:val="center"/>
          </w:tcPr>
          <w:p w14:paraId="69E24F9F">
            <w:pPr>
              <w:rPr/>
            </w:pPr>
            <w:r>
              <w:t>-0.010</w:t>
            </w:r>
          </w:p>
        </w:tc>
        <w:tc>
          <w:tcPr>
            <w:tcW w:w="0" w:type="auto"/>
            <w:shd w:val="clear"/>
            <w:vAlign w:val="center"/>
          </w:tcPr>
          <w:p w14:paraId="5A5CEA3C">
            <w:pPr>
              <w:rPr/>
            </w:pPr>
            <w:r>
              <w:t>路径A显著/路径B边缘显著</w:t>
            </w:r>
          </w:p>
        </w:tc>
      </w:tr>
      <w:tr w14:paraId="75BDF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8043D9">
            <w:pPr>
              <w:rPr/>
            </w:pPr>
            <w:r>
              <w:t>$\sigma^2_u$</w:t>
            </w:r>
          </w:p>
        </w:tc>
        <w:tc>
          <w:tcPr>
            <w:tcW w:w="0" w:type="auto"/>
            <w:shd w:val="clear"/>
            <w:vAlign w:val="center"/>
          </w:tcPr>
          <w:p w14:paraId="534FB61E">
            <w:pPr>
              <w:rPr/>
            </w:pPr>
            <w:r>
              <w:t>职业舞者方差 (Group Var)</w:t>
            </w:r>
          </w:p>
        </w:tc>
        <w:tc>
          <w:tcPr>
            <w:tcW w:w="0" w:type="auto"/>
            <w:shd w:val="clear"/>
            <w:vAlign w:val="center"/>
          </w:tcPr>
          <w:p w14:paraId="78AB38D8">
            <w:pPr>
              <w:rPr/>
            </w:pPr>
            <w:r>
              <w:t>0.142</w:t>
            </w:r>
          </w:p>
        </w:tc>
        <w:tc>
          <w:tcPr>
            <w:tcW w:w="0" w:type="auto"/>
            <w:shd w:val="clear"/>
            <w:vAlign w:val="center"/>
          </w:tcPr>
          <w:p w14:paraId="41B98585">
            <w:pPr>
              <w:rPr/>
            </w:pPr>
            <w:r>
              <w:t>0.00005</w:t>
            </w:r>
          </w:p>
        </w:tc>
        <w:tc>
          <w:tcPr>
            <w:tcW w:w="0" w:type="auto"/>
            <w:shd w:val="clear"/>
            <w:vAlign w:val="center"/>
          </w:tcPr>
          <w:p w14:paraId="58D545B5">
            <w:pPr>
              <w:rPr/>
            </w:pPr>
            <w:r>
              <w:t>-</w:t>
            </w:r>
          </w:p>
        </w:tc>
      </w:tr>
    </w:tbl>
    <w:p w14:paraId="588569A9">
      <w:pPr>
        <w:rPr/>
      </w:pPr>
    </w:p>
    <w:p w14:paraId="0F6D2C32">
      <w:pPr>
        <w:rPr/>
      </w:pPr>
      <w:r>
        <w:t>6.3 职业舞者的贡献：组内相关系数 (ICC) 分析</w:t>
      </w:r>
    </w:p>
    <w:p w14:paraId="0123DCC9">
      <w:pPr>
        <w:rPr/>
      </w:pPr>
      <w:r>
        <w:t xml:space="preserve">通过模型估计的方差分量，我们利用 组内相关系数 (Intraclass Correlation Coefficient, ICC) 来量化“导师因素”对比赛走向的贡献程度： </w:t>
      </w:r>
    </w:p>
    <w:p w14:paraId="2D09545B">
      <w:pPr>
        <w:rPr/>
      </w:pPr>
      <m:oMathPara>
        <m:oMath>
          <m:r>
            <m:rPr/>
            <w:rPr>
              <w:rFonts w:hint="default" w:ascii="Cambria Math" w:hAnsi="Cambria Math"/>
              <w:sz w:val="24"/>
            </w:rPr>
            <m:t>ICC=</m:t>
          </m:r>
          <m:f>
            <m:fPr>
              <m:ctrlPr>
                <w:rPr>
                  <w:rFonts w:hint="default" w:ascii="Cambria Math" w:hAnsi="Cambria Math"/>
                  <w:i/>
                  <w:sz w:val="24"/>
                </w:rPr>
              </m:ctrlPr>
            </m:fPr>
            <m:num>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u</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num>
            <m:den>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u</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ϵ</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den>
          </m:f>
        </m:oMath>
      </m:oMathPara>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21"/>
        <w:gridCol w:w="2098"/>
        <w:gridCol w:w="1600"/>
        <w:gridCol w:w="2032"/>
      </w:tblGrid>
      <w:tr w14:paraId="7A343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A65813">
            <w:pPr>
              <w:rPr/>
            </w:pPr>
            <w:r>
              <w:t>评估指标</w:t>
            </w:r>
          </w:p>
        </w:tc>
        <w:tc>
          <w:tcPr>
            <w:tcW w:w="0" w:type="auto"/>
            <w:shd w:val="clear"/>
            <w:vAlign w:val="center"/>
          </w:tcPr>
          <w:p w14:paraId="52B267ED">
            <w:pPr>
              <w:rPr/>
            </w:pPr>
            <w:r>
              <w:t>随机效应方差 (</w:t>
            </w:r>
            <m:oMath>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u</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oMath>
            <w:r>
              <w:t>)</w:t>
            </w:r>
          </w:p>
        </w:tc>
        <w:tc>
          <w:tcPr>
            <w:tcW w:w="0" w:type="auto"/>
            <w:shd w:val="clear"/>
            <w:vAlign w:val="center"/>
          </w:tcPr>
          <w:p w14:paraId="7A2A074C">
            <w:pPr>
              <w:rPr/>
            </w:pPr>
            <w:r>
              <w:t>残差方差 (</w:t>
            </w:r>
            <m:oMath>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ϵ</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oMath>
            <w:r>
              <w:t>)</w:t>
            </w:r>
          </w:p>
        </w:tc>
        <w:tc>
          <w:tcPr>
            <w:tcW w:w="0" w:type="auto"/>
            <w:shd w:val="clear"/>
            <w:vAlign w:val="center"/>
          </w:tcPr>
          <w:p w14:paraId="761068A8">
            <w:pPr>
              <w:rPr/>
            </w:pPr>
            <w:r>
              <w:t>ICC (导师贡献占比)</w:t>
            </w:r>
          </w:p>
        </w:tc>
      </w:tr>
      <w:tr w14:paraId="0F206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67FCFD">
            <w:pPr>
              <w:rPr/>
            </w:pPr>
            <w:r>
              <w:t>评委分 (技术路径)</w:t>
            </w:r>
          </w:p>
        </w:tc>
        <w:tc>
          <w:tcPr>
            <w:tcW w:w="0" w:type="auto"/>
            <w:shd w:val="clear"/>
            <w:vAlign w:val="center"/>
          </w:tcPr>
          <w:p w14:paraId="63199D8E">
            <w:pPr>
              <w:rPr/>
            </w:pPr>
            <w:r>
              <w:t>0.142</w:t>
            </w:r>
          </w:p>
        </w:tc>
        <w:tc>
          <w:tcPr>
            <w:tcW w:w="0" w:type="auto"/>
            <w:shd w:val="clear"/>
            <w:vAlign w:val="center"/>
          </w:tcPr>
          <w:p w14:paraId="4D0B51FD">
            <w:pPr>
              <w:rPr/>
            </w:pPr>
            <w:r>
              <w:t>1.098</w:t>
            </w:r>
          </w:p>
        </w:tc>
        <w:tc>
          <w:tcPr>
            <w:tcW w:w="0" w:type="auto"/>
            <w:shd w:val="clear"/>
            <w:vAlign w:val="center"/>
          </w:tcPr>
          <w:p w14:paraId="61514FB3">
            <w:pPr>
              <w:rPr/>
            </w:pPr>
            <w:r>
              <w:t>11.46%</w:t>
            </w:r>
          </w:p>
        </w:tc>
      </w:tr>
      <w:tr w14:paraId="59122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296D18">
            <w:pPr>
              <w:rPr/>
            </w:pPr>
            <w:r>
              <w:t>粉丝票 (人气路径)</w:t>
            </w:r>
          </w:p>
        </w:tc>
        <w:tc>
          <w:tcPr>
            <w:tcW w:w="0" w:type="auto"/>
            <w:shd w:val="clear"/>
            <w:vAlign w:val="center"/>
          </w:tcPr>
          <w:p w14:paraId="3D50215A">
            <w:pPr>
              <w:rPr/>
            </w:pPr>
            <w:r>
              <w:t>0.00005</w:t>
            </w:r>
          </w:p>
        </w:tc>
        <w:tc>
          <w:tcPr>
            <w:tcW w:w="0" w:type="auto"/>
            <w:shd w:val="clear"/>
            <w:vAlign w:val="center"/>
          </w:tcPr>
          <w:p w14:paraId="2BB3C56F">
            <w:pPr>
              <w:rPr/>
            </w:pPr>
            <w:r>
              <w:t>0.0009</w:t>
            </w:r>
          </w:p>
        </w:tc>
        <w:tc>
          <w:tcPr>
            <w:tcW w:w="0" w:type="auto"/>
            <w:shd w:val="clear"/>
            <w:vAlign w:val="center"/>
          </w:tcPr>
          <w:p w14:paraId="6E4B8CA3">
            <w:pPr>
              <w:rPr/>
            </w:pPr>
            <w:r>
              <w:t>5.54%</w:t>
            </w:r>
          </w:p>
        </w:tc>
      </w:tr>
    </w:tbl>
    <w:p w14:paraId="1B583B6B">
      <w:pPr>
        <w:rPr/>
      </w:pPr>
      <w:r>
        <w:t>结论与作用： ICC 结果揭示了一个关键洞察：职业舞者对技术表现的提升（约 11.5%）显著高于其对人气的拉动（约 5.5%）。这说明优秀的导师通过卓越的编舞确实能大幅提升嘉宾的技术上限，但选手的“群众魅力”很大程度上是其私有属性，难以通过外部导师直接“赋能”。</w:t>
      </w:r>
    </w:p>
    <w:p w14:paraId="79FCB8C7">
      <w:pPr>
        <w:rPr/>
      </w:pPr>
      <w:r>
        <w:t>6.4 嘉宾特征影响的异质性分析 (Consistency Analysis)</w:t>
      </w:r>
    </w:p>
    <w:p w14:paraId="090EC3D0">
      <w:pPr>
        <w:rPr/>
      </w:pPr>
      <w:r>
        <w:t xml:space="preserve">通过对比两条路径的固定效应系数 </w:t>
      </w:r>
      <m:oMath>
        <m:r>
          <m:rPr/>
          <w:rPr>
            <w:rFonts w:hint="default" w:ascii="Cambria Math" w:hAnsi="Cambria Math"/>
            <w:sz w:val="24"/>
          </w:rPr>
          <m:t>β</m:t>
        </m:r>
      </m:oMath>
      <w:r>
        <w:t>，我们识别出评委与粉丝在评价标准上的结构性冲突。</w:t>
      </w:r>
    </w:p>
    <w:p w14:paraId="52F5458A">
      <w:pPr>
        <w:rPr/>
      </w:pPr>
      <w:r>
        <w:t>6.4.1 年龄 (Age) 的双重效应</w:t>
      </w:r>
    </w:p>
    <w:p w14:paraId="1E50FC9C">
      <w:pPr>
        <w:rPr/>
      </w:pPr>
      <w:r>
        <w:t>评委模型（技术重税）：呈现显著的线性负相关 (</w:t>
      </w:r>
      <m:oMath>
        <m:r>
          <m:rPr/>
          <w:rPr>
            <w:rFonts w:hint="default" w:ascii="Cambria Math" w:hAnsi="Cambria Math"/>
            <w:sz w:val="24"/>
          </w:rPr>
          <m:t>−0.693</m:t>
        </m:r>
      </m:oMath>
      <w:r>
        <w:t>,</w:t>
      </w:r>
      <m:oMath>
        <m:r>
          <m:rPr/>
          <w:rPr>
            <w:rFonts w:hint="default" w:ascii="Cambria Math" w:hAnsi="Cambria Math"/>
            <w:sz w:val="24"/>
          </w:rPr>
          <m:t>p&lt;0.001</m:t>
        </m:r>
      </m:oMath>
      <w:r>
        <w:t>)。评委对高龄选手的机能局限性极度敏感，年龄每增加一个标准差，评分显著下降。</w:t>
      </w:r>
    </w:p>
    <w:p w14:paraId="0BF34082">
      <w:pPr>
        <w:rPr/>
      </w:pPr>
      <w:r>
        <w:t>粉丝模型（情怀认可）：虽然总体系数为负 (</w:t>
      </w:r>
      <m:oMath>
        <m:r>
          <m:rPr/>
          <w:rPr>
            <w:rFonts w:hint="default" w:ascii="Cambria Math" w:hAnsi="Cambria Math"/>
            <w:sz w:val="24"/>
          </w:rPr>
          <m:t>−0.011</m:t>
        </m:r>
      </m:oMath>
      <w:r>
        <w:t>)，但量级极小。数据残差分析显示，对于 60 岁以上的选手的粉丝投票往往出现正向偏移。这证明了观众在评价时包含了对高龄选手“努力与蜕变”的情感认可。</w:t>
      </w:r>
    </w:p>
    <w:p w14:paraId="56F511F9">
      <w:pPr>
        <w:rPr/>
      </w:pPr>
    </w:p>
    <w:p w14:paraId="26303EDB">
      <w:pPr>
        <w:rPr/>
      </w:pPr>
      <w:r>
        <w:t>6.4.2 行业 (Industry) 的权重失衡</w:t>
      </w:r>
    </w:p>
    <w:p w14:paraId="4A7A40F6">
      <w:pPr>
        <w:rPr/>
      </w:pPr>
      <w:r>
        <w:t xml:space="preserve">运动员 (Athletes)：在评委端表现出显著的技术溢价。相比之下，其他行业在技术端均面临不同程度的折扣（如社交红人为 </w:t>
      </w:r>
      <m:oMath>
        <m:r>
          <m:rPr/>
          <w:rPr>
            <w:rFonts w:hint="default" w:ascii="Cambria Math" w:hAnsi="Cambria Math"/>
            <w:sz w:val="24"/>
          </w:rPr>
          <m:t>−0.636</m:t>
        </m:r>
      </m:oMath>
      <w:r>
        <w:t>）。</w:t>
      </w:r>
    </w:p>
    <w:p w14:paraId="00571535">
      <w:pPr>
        <w:rPr/>
      </w:pPr>
      <w:r>
        <w:t>社交红人 (Social Media)：即便其技术得分处于劣势，但在粉丝端（</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Fan</m:t>
            </m:r>
            <m:ctrlPr>
              <w:rPr>
                <w:rFonts w:ascii="Cambria Math" w:hAnsi="Cambria Math"/>
                <w:sz w:val="24"/>
              </w:rPr>
            </m:ctrlPr>
          </m:sub>
        </m:sSub>
      </m:oMath>
      <w:r>
        <w:t>）拥有极高的权重。模型显示，在粉丝评价逻辑中，行业属性和性格魅力的权重比评委逻辑高出约 30%-50%。</w:t>
      </w:r>
    </w:p>
    <w:p w14:paraId="2FE72370">
      <w:pPr>
        <w:rPr>
          <w:rFonts w:hint="eastAsia" w:eastAsiaTheme="minorEastAsia"/>
          <w:lang w:eastAsia="zh-CN"/>
        </w:rPr>
      </w:pPr>
      <w:r>
        <w:rPr>
          <w:rFonts w:hint="eastAsia"/>
          <w:lang w:eastAsia="zh-CN"/>
        </w:rPr>
        <w:drawing>
          <wp:inline distT="0" distB="0" distL="114300" distR="114300">
            <wp:extent cx="5726430" cy="2832100"/>
            <wp:effectExtent l="0" t="0" r="3810" b="2540"/>
            <wp:docPr id="17" name="图片 17" descr="lme_coefficient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lme_coefficient_comparison"/>
                    <pic:cNvPicPr>
                      <a:picLocks noChangeAspect="1"/>
                    </pic:cNvPicPr>
                  </pic:nvPicPr>
                  <pic:blipFill>
                    <a:blip r:embed="rId14"/>
                    <a:stretch>
                      <a:fillRect/>
                    </a:stretch>
                  </pic:blipFill>
                  <pic:spPr>
                    <a:xfrm>
                      <a:off x="0" y="0"/>
                      <a:ext cx="5726430" cy="2832100"/>
                    </a:xfrm>
                    <a:prstGeom prst="rect">
                      <a:avLst/>
                    </a:prstGeom>
                  </pic:spPr>
                </pic:pic>
              </a:graphicData>
            </a:graphic>
          </wp:inline>
        </w:drawing>
      </w:r>
    </w:p>
    <w:p w14:paraId="0A2DD6E8">
      <w:pPr>
        <w:rPr/>
      </w:pPr>
      <w:r>
        <w:t>6.5 结论与洞察：背景特征与导师效应的交互影响</w:t>
      </w:r>
    </w:p>
    <w:p w14:paraId="6A4B3571">
      <w:pPr>
        <w:rPr/>
      </w:pPr>
      <w:r>
        <w:t>通过 LME 模型的解构，我们可以清晰地总结出各因素对选手竞赛表现的影响逻辑：</w:t>
      </w:r>
    </w:p>
    <w:p w14:paraId="67DD772E">
      <w:pPr>
        <w:rPr/>
      </w:pPr>
      <w:r>
        <w:t>背景特征的非对称冲击：</w:t>
      </w:r>
    </w:p>
    <w:p w14:paraId="1B52213D">
      <w:pPr>
        <w:rPr/>
      </w:pPr>
      <w:r>
        <w:t>年龄的“分歧器”作用：年龄对成绩的影响在两条路径上表现出巨大的“温差”。评委将高龄视为技术劣势的硬指标（</w:t>
      </w:r>
      <m:oMath>
        <m:r>
          <m:rPr/>
          <w:rPr>
            <w:rFonts w:hint="default" w:ascii="Cambria Math" w:hAnsi="Cambria Math"/>
            <w:sz w:val="24"/>
          </w:rPr>
          <m:t>−0.693</m:t>
        </m:r>
      </m:oMath>
      <w:r>
        <w:t>），而粉丝则倾向于将其解读为“挑战自我的勇气”。这种评价标准的错位是产生技术排名与人气排名倒挂的主要原因。</w:t>
      </w:r>
    </w:p>
    <w:p w14:paraId="6F6B663B">
      <w:pPr>
        <w:rPr/>
      </w:pPr>
      <w:r>
        <w:t>行业的“身份壁垒”：运动员和演员在技术评价中拥有天然的“信用红利”；相比之下，社交媒体明星即便投入同等的训练时间，其在评委端的起步分通常更低。然而，他们在粉丝端（</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Fan</m:t>
            </m:r>
            <m:ctrlPr>
              <w:rPr>
                <w:rFonts w:ascii="Cambria Math" w:hAnsi="Cambria Math"/>
                <w:sz w:val="24"/>
              </w:rPr>
            </m:ctrlPr>
          </m:sub>
        </m:sSub>
      </m:oMath>
      <w:r>
        <w:t>）的加成系数往往能大幅对冲这一劣势。</w:t>
      </w:r>
    </w:p>
    <w:p w14:paraId="5A7F9DE0">
      <w:pPr>
        <w:rPr/>
      </w:pPr>
      <w:r>
        <w:t>导师效应的“天花板”与“底线”：</w:t>
      </w:r>
    </w:p>
    <w:p w14:paraId="11D9E23B">
      <w:pPr>
        <w:rPr/>
      </w:pPr>
      <w:r>
        <w:t>优秀的职业舞者（随机效应排名前列者）是嘉宾技术得分的“保底器”，贡献了约 11.5% 的变异。</w:t>
      </w:r>
    </w:p>
    <w:p w14:paraId="05B626E3">
      <w:pPr>
        <w:rPr/>
      </w:pPr>
      <w:r>
        <w:t>尽管导师无法直接决定人气，但他们可以通过优化编舞掩盖嘉宾的背景短板（如为高龄选手设计更多叙事性动作而非机能性动作），从而间接通过提升技术评价来保护选手的总排名。</w:t>
      </w:r>
    </w:p>
    <w:p w14:paraId="75BCD00F">
      <w:pPr>
        <w:rPr/>
      </w:pPr>
      <w:r>
        <w:t>争议案例的统计本质（如 Bobby Bones）： Bobby Bones 的夺冠并非偶然，而是其行业特征带来的粉丝溢价（Social Media 系数在粉丝端的高权重）与评委端对技术惩罚之间的博弈。模型显示，当技术分的领先无法跨越行业属性带来的粉丝权重鸿沟时，评价体系的裂痕便产生了。</w:t>
      </w:r>
    </w:p>
    <w:p w14:paraId="34C147CB">
      <w:pPr>
        <w:rPr/>
      </w:pPr>
    </w:p>
    <w:p w14:paraId="01207DE1">
      <w:pPr>
        <w:rPr/>
      </w:pPr>
    </w:p>
    <w:p w14:paraId="229476FA">
      <w:pPr>
        <w:rPr/>
      </w:pPr>
    </w:p>
    <w:p w14:paraId="152C7C12">
      <w:pPr>
        <w:rPr/>
      </w:pPr>
      <w:r>
        <w:t>7. Model III: 评价体系创新——双轴均衡度量系统 (DAES)</w:t>
      </w:r>
    </w:p>
    <w:p w14:paraId="7F6DBA4C">
      <w:pPr>
        <w:rPr/>
      </w:pPr>
      <w:r>
        <w:t>7.1 设计动机与理论基础：基于动态均衡的“技术—参与”统一框架</w:t>
      </w:r>
    </w:p>
    <w:p w14:paraId="7DAB06F0">
      <w:pPr>
        <w:rPr/>
      </w:pPr>
      <w:r>
        <w:t>DWTS 的评分与淘汰机制长期存在争议，其根源并非单一规则的好坏，而是“专业质量（Technical Quality）”与“社交参与（Social Participation）”两类价值目标之间的结构性张力。基于前文 Model II 的线性混合效应模型（LME）分析，我们识别出三类可量化的不公平来源：</w:t>
      </w:r>
    </w:p>
    <w:p w14:paraId="0A93C0D8">
      <w:pPr>
        <w:rPr/>
      </w:pPr>
    </w:p>
    <w:p w14:paraId="41353394">
      <w:pPr>
        <w:rPr/>
      </w:pPr>
      <w:r>
        <w:t>名师效应 (Mentor Effect)：职业舞者随机效应贡献约 11.46% ($ICC \approx 0.1146$)，表明选手的配对运气系统性地影响了最终结果。</w:t>
      </w:r>
    </w:p>
    <w:p w14:paraId="547FD79C">
      <w:pPr>
        <w:rPr/>
      </w:pPr>
    </w:p>
    <w:p w14:paraId="4FB6CEB1">
      <w:pPr>
        <w:rPr/>
      </w:pPr>
    </w:p>
    <w:p w14:paraId="50846B33">
      <w:pPr>
        <w:rPr/>
      </w:pPr>
      <w:r>
        <w:t>年龄偏见 (Age Bias)：年龄对评委分存在显著负效应（系数约 -0.693），意味着高龄选手在纯技术评价中面临结构性不利。</w:t>
      </w:r>
    </w:p>
    <w:p w14:paraId="61AD95FF">
      <w:pPr>
        <w:rPr/>
      </w:pPr>
    </w:p>
    <w:p w14:paraId="706D8D40">
      <w:pPr>
        <w:rPr/>
      </w:pPr>
    </w:p>
    <w:p w14:paraId="3255A437">
      <w:pPr>
        <w:rPr/>
      </w:pPr>
      <w:r>
        <w:t>评分尺度差异与稀释 (Scale Inconsistency)：不同评委的打分习惯差异以及后期“评分通胀”现象，导致技术优势在某些阶段被线性加权机制稀释。</w:t>
      </w:r>
    </w:p>
    <w:p w14:paraId="625D0446">
      <w:pPr>
        <w:rPr/>
      </w:pPr>
    </w:p>
    <w:p w14:paraId="57086FA0">
      <w:pPr>
        <w:rPr/>
      </w:pPr>
      <w:r>
        <w:t>因此，我们提出 双轴均衡度量系统 (Dual-Axis Equilibrium System, DAES)。该系统将“评委轴（技术把关）”与“粉丝轴（参与热度）”分工建模，通过标准化与纠偏模块削弱结构性偏差。</w:t>
      </w:r>
    </w:p>
    <w:p w14:paraId="40974EAE">
      <w:pPr>
        <w:rPr/>
      </w:pPr>
      <w:r>
        <w:t>7.2 DAES 核心模块设计</w:t>
      </w:r>
    </w:p>
    <w:p w14:paraId="6B7F92C8">
      <w:pPr>
        <w:rPr/>
      </w:pPr>
      <w:r>
        <w:t>设第 $t$ 周选手 $i$ 的评委总分为 $J_{i,t}$，粉丝票占比为 $V_{i,t}$。</w:t>
      </w:r>
    </w:p>
    <w:p w14:paraId="78643C7A">
      <w:pPr>
        <w:rPr/>
      </w:pPr>
      <w:r>
        <w:t>7.2.1 模块 1：Z-Score 技术分标准化 (Score De-biasing)</w:t>
      </w:r>
    </w:p>
    <w:p w14:paraId="458A6621">
      <w:pPr>
        <w:rPr/>
      </w:pPr>
      <w:r>
        <w:t xml:space="preserve">为解决评委评分尺度不一及后期评分同质化问题，DAES 对每周评委分进行标准化： </w:t>
      </w:r>
    </w:p>
    <w:p w14:paraId="1EAAC1F8">
      <w:pPr>
        <w:rPr/>
      </w:pPr>
      <w:r>
        <w:rPr>
          <w:lang w:val="en-US" w:eastAsia="zh-CN"/>
        </w:rPr>
        <w:t>$$Z_{i,t} = \frac{J_{i,t} - \mu_{J,t}}{\sigma_{J,t}}$$</w:t>
      </w:r>
    </w:p>
    <w:p w14:paraId="0A3616A4">
      <w:pPr>
        <w:rPr/>
      </w:pPr>
      <w:r>
        <w:t>其中 $\mu_{J,t}$ 与 $\sigma_{J,t}$ 分别为当周选手评委分的均值与标准差。 作用：即使在决赛阶段“普遍高分”的情况下，模型仍能通过 Z-Score 放大细微技术梯度，防止技术优势被高额人气票数稀释。</w:t>
      </w:r>
    </w:p>
    <w:p w14:paraId="597082C7">
      <w:pPr>
        <w:rPr/>
      </w:pPr>
      <w:r>
        <w:t>7.2.2 模块 2：年龄与行业背景修正 (ABC: Age-Bias Compensation)</w:t>
      </w:r>
    </w:p>
    <w:p w14:paraId="20BF217A">
      <w:pPr>
        <w:rPr/>
      </w:pPr>
      <w:r>
        <w:t xml:space="preserve">LME 结果显示年龄对评委分存在显著负向结构效应 ($\beta_{age} \approx -0.693$)。DAES 采用“年龄分级（Age Grading）”思想进行补偿： </w:t>
      </w:r>
    </w:p>
    <w:p w14:paraId="66B68263">
      <w:pPr>
        <w:rPr/>
      </w:pPr>
      <w:r>
        <w:rPr>
          <w:lang w:val="en-US" w:eastAsia="zh-CN"/>
        </w:rPr>
        <w:t>$$Z_{i,t}^{adj} = Z_{i,t} + \lambda \cdot \text{Age}_{i}^{std}$$</w:t>
      </w:r>
    </w:p>
    <w:p w14:paraId="253D1F86">
      <w:pPr>
        <w:rPr/>
      </w:pPr>
      <w:r>
        <w:t>其中 $\lambda &gt; 0$ 为补偿系数（取值与 Model II 系数一致）。 作用：降低高龄选手因生理限制导致的系统性扣分，使评价更关注选手相对于自身潜能的表现。</w:t>
      </w:r>
    </w:p>
    <w:p w14:paraId="3922FE3F">
      <w:pPr>
        <w:rPr/>
      </w:pPr>
      <w:r>
        <w:t>7.2.3 模块 3：导师价值贡献修正 (MVA: Mentor Value-Added)</w:t>
      </w:r>
    </w:p>
    <w:p w14:paraId="4159AB54">
      <w:pPr>
        <w:rPr/>
      </w:pPr>
      <w:r>
        <w:t xml:space="preserve">为降低“配对运气”带来的不公平，DAES 引入导师红利削弱项。记职业舞者强度为 $\alpha_{pro} \in [0,1]$（根据历史表现归一化得到）： </w:t>
      </w:r>
    </w:p>
    <w:p w14:paraId="67C5D8E8">
      <w:pPr>
        <w:rPr/>
      </w:pPr>
      <w:r>
        <w:rPr>
          <w:lang w:val="en-US" w:eastAsia="zh-CN"/>
        </w:rPr>
        <w:t>$$Z_{i,t}^{final} = Z_{i,t}^{adj} \cdot (1 - ICC \cdot \alpha_{pro})$$</w:t>
      </w:r>
    </w:p>
    <w:p w14:paraId="15B29140">
      <w:pPr>
        <w:rPr/>
      </w:pPr>
      <w:r>
        <w:t>作用：抑制名师组合的系统性优势，使竞争回归嘉宾的成长曲线（Growth Arc）。</w:t>
      </w:r>
    </w:p>
    <w:p w14:paraId="15BD9923">
      <w:pPr>
        <w:rPr/>
      </w:pPr>
      <w:r>
        <w:t>7.2.4 模块 4：三阶段动态加权与粉丝轴修正</w:t>
      </w:r>
    </w:p>
    <w:p w14:paraId="46315298">
      <w:pPr>
        <w:rPr/>
      </w:pPr>
      <w:r>
        <w:t xml:space="preserve">为避免极端动员造成的“票数独裁”，我们对票占比进行温和压缩（取 $\gamma = 0.7$）后再标准化： </w:t>
      </w:r>
    </w:p>
    <w:p w14:paraId="4A710819">
      <w:pPr>
        <w:rPr/>
      </w:pPr>
      <w:r>
        <w:rPr>
          <w:lang w:val="en-US" w:eastAsia="zh-CN"/>
        </w:rPr>
        <w:t>$$\tilde{V}_{i,t} = \frac{V_{i,t}^{\gamma}}{\sum_{k} V_{k,t}^{\gamma}}, \quad Z_{i,t}^V = \frac{\tilde{V}_{i,t} - \mu_{\tilde{V},t}}{\sigma_{\tilde{V},t}}$$</w:t>
      </w:r>
    </w:p>
    <w:p w14:paraId="10828DCE">
      <w:pPr>
        <w:rPr/>
      </w:pPr>
      <w:r>
        <w:t xml:space="preserve">最终 DAES 综合得分采用随赛程演进的权重系数 $W(t)$： </w:t>
      </w:r>
    </w:p>
    <w:p w14:paraId="23D33EE6">
      <w:pPr>
        <w:rPr/>
      </w:pPr>
      <w:r>
        <w:rPr>
          <w:lang w:val="en-US" w:eastAsia="zh-CN"/>
        </w:rPr>
        <w:t>$$S_{i,t} = W_J(t) \cdot Z_{i,t}^{final} + W_F(t) \cdot Z_{i,t}^V$$</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5"/>
        <w:gridCol w:w="1744"/>
        <w:gridCol w:w="1710"/>
        <w:gridCol w:w="3877"/>
      </w:tblGrid>
      <w:tr w14:paraId="2AEE4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BDABF2">
            <w:pPr>
              <w:rPr/>
            </w:pPr>
            <w:r>
              <w:t>比赛阶段</w:t>
            </w:r>
          </w:p>
        </w:tc>
        <w:tc>
          <w:tcPr>
            <w:tcW w:w="0" w:type="auto"/>
            <w:shd w:val="clear"/>
            <w:vAlign w:val="center"/>
          </w:tcPr>
          <w:p w14:paraId="7030B98A">
            <w:pPr>
              <w:rPr/>
            </w:pPr>
            <w:r>
              <w:t>粉丝权重 $W_F$</w:t>
            </w:r>
          </w:p>
        </w:tc>
        <w:tc>
          <w:tcPr>
            <w:tcW w:w="0" w:type="auto"/>
            <w:shd w:val="clear"/>
            <w:vAlign w:val="center"/>
          </w:tcPr>
          <w:p w14:paraId="4ACDC929">
            <w:pPr>
              <w:rPr/>
            </w:pPr>
            <w:r>
              <w:t>评委权重 $W_J$</w:t>
            </w:r>
          </w:p>
        </w:tc>
        <w:tc>
          <w:tcPr>
            <w:tcW w:w="0" w:type="auto"/>
            <w:shd w:val="clear"/>
            <w:vAlign w:val="center"/>
          </w:tcPr>
          <w:p w14:paraId="5F435BC9">
            <w:pPr>
              <w:rPr/>
            </w:pPr>
            <w:r>
              <w:t>理论意图</w:t>
            </w:r>
          </w:p>
        </w:tc>
      </w:tr>
      <w:tr w14:paraId="2B94D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48BF8A">
            <w:pPr>
              <w:rPr/>
            </w:pPr>
            <w:r>
              <w:t>海选期 (W1–W4)</w:t>
            </w:r>
          </w:p>
        </w:tc>
        <w:tc>
          <w:tcPr>
            <w:tcW w:w="0" w:type="auto"/>
            <w:shd w:val="clear"/>
            <w:vAlign w:val="center"/>
          </w:tcPr>
          <w:p w14:paraId="6CA4AAA1">
            <w:pPr>
              <w:rPr/>
            </w:pPr>
            <w:r>
              <w:t>0.60</w:t>
            </w:r>
          </w:p>
        </w:tc>
        <w:tc>
          <w:tcPr>
            <w:tcW w:w="0" w:type="auto"/>
            <w:shd w:val="clear"/>
            <w:vAlign w:val="center"/>
          </w:tcPr>
          <w:p w14:paraId="2231DDAE">
            <w:pPr>
              <w:rPr/>
            </w:pPr>
            <w:r>
              <w:t>0.40</w:t>
            </w:r>
          </w:p>
        </w:tc>
        <w:tc>
          <w:tcPr>
            <w:tcW w:w="0" w:type="auto"/>
            <w:shd w:val="clear"/>
            <w:vAlign w:val="center"/>
          </w:tcPr>
          <w:p w14:paraId="59FDDA91">
            <w:pPr>
              <w:rPr/>
            </w:pPr>
            <w:r>
              <w:t>放大参与感，提升社交媒体讨论度</w:t>
            </w:r>
          </w:p>
        </w:tc>
      </w:tr>
      <w:tr w14:paraId="62621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02368D">
            <w:pPr>
              <w:rPr/>
            </w:pPr>
            <w:r>
              <w:t>磨合期 (W5–W8)</w:t>
            </w:r>
          </w:p>
        </w:tc>
        <w:tc>
          <w:tcPr>
            <w:tcW w:w="0" w:type="auto"/>
            <w:shd w:val="clear"/>
            <w:vAlign w:val="center"/>
          </w:tcPr>
          <w:p w14:paraId="41F6908C">
            <w:pPr>
              <w:rPr/>
            </w:pPr>
            <w:r>
              <w:t>0.50</w:t>
            </w:r>
          </w:p>
        </w:tc>
        <w:tc>
          <w:tcPr>
            <w:tcW w:w="0" w:type="auto"/>
            <w:shd w:val="clear"/>
            <w:vAlign w:val="center"/>
          </w:tcPr>
          <w:p w14:paraId="5A8DEB94">
            <w:pPr>
              <w:rPr/>
            </w:pPr>
            <w:r>
              <w:t>0.50</w:t>
            </w:r>
          </w:p>
        </w:tc>
        <w:tc>
          <w:tcPr>
            <w:tcW w:w="0" w:type="auto"/>
            <w:shd w:val="clear"/>
            <w:vAlign w:val="center"/>
          </w:tcPr>
          <w:p w14:paraId="391B1B3E">
            <w:pPr>
              <w:rPr/>
            </w:pPr>
            <w:r>
              <w:t>进入均衡区间，筛选技术与人气的交集</w:t>
            </w:r>
          </w:p>
        </w:tc>
      </w:tr>
      <w:tr w14:paraId="2D8FA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FDCEA6">
            <w:pPr>
              <w:rPr/>
            </w:pPr>
            <w:r>
              <w:t>决赛圈 (W9+)</w:t>
            </w:r>
          </w:p>
        </w:tc>
        <w:tc>
          <w:tcPr>
            <w:tcW w:w="0" w:type="auto"/>
            <w:shd w:val="clear"/>
            <w:vAlign w:val="center"/>
          </w:tcPr>
          <w:p w14:paraId="68212E16">
            <w:pPr>
              <w:rPr/>
            </w:pPr>
            <w:r>
              <w:t>0.40</w:t>
            </w:r>
          </w:p>
        </w:tc>
        <w:tc>
          <w:tcPr>
            <w:tcW w:w="0" w:type="auto"/>
            <w:shd w:val="clear"/>
            <w:vAlign w:val="center"/>
          </w:tcPr>
          <w:p w14:paraId="6435F274">
            <w:pPr>
              <w:rPr/>
            </w:pPr>
            <w:r>
              <w:t>0.60</w:t>
            </w:r>
          </w:p>
        </w:tc>
        <w:tc>
          <w:tcPr>
            <w:tcW w:w="0" w:type="auto"/>
            <w:shd w:val="clear"/>
            <w:vAlign w:val="center"/>
          </w:tcPr>
          <w:p w14:paraId="5FAB8E9B">
            <w:pPr>
              <w:rPr/>
            </w:pPr>
            <w:r>
              <w:t>回归专业权威，保证冠军的艺术公信力</w:t>
            </w:r>
          </w:p>
        </w:tc>
      </w:tr>
    </w:tbl>
    <w:p w14:paraId="2DAE84BE">
      <w:pPr>
        <w:rPr/>
      </w:pPr>
      <w:r>
        <w:t>7.3 系统优越性论证</w:t>
      </w:r>
    </w:p>
    <w:p w14:paraId="77E9D3B8">
      <w:pPr>
        <w:rPr/>
      </w:pPr>
      <w:r>
        <w:t>7.3.1 对制作人的决策吸引力</w:t>
      </w:r>
    </w:p>
    <w:p w14:paraId="4EFE36A9">
      <w:pPr>
        <w:rPr/>
      </w:pPr>
    </w:p>
    <w:p w14:paraId="08F56596">
      <w:pPr>
        <w:rPr/>
      </w:pPr>
      <w:r>
        <w:t>数据驱动的公平性：ABC 与 MVA 模块针对性地纠正了年龄偏见与名师红利，为节目提供了可解释的科学背书。</w:t>
      </w:r>
    </w:p>
    <w:p w14:paraId="46B014E6">
      <w:pPr>
        <w:rPr/>
      </w:pPr>
    </w:p>
    <w:p w14:paraId="2347DA48">
      <w:pPr>
        <w:rPr/>
      </w:pPr>
    </w:p>
    <w:p w14:paraId="5E53BBB1">
      <w:pPr>
        <w:rPr/>
      </w:pPr>
      <w:r>
        <w:t>强化叙事资产：将“成长曲线”制度化。名师红利被抑制后，选手的个人进步更具可见性与传播性，利于观众的情感投入。</w:t>
      </w:r>
    </w:p>
    <w:p w14:paraId="7C7123D4">
      <w:pPr>
        <w:rPr/>
      </w:pPr>
    </w:p>
    <w:p w14:paraId="27D3481B">
      <w:pPr>
        <w:rPr/>
      </w:pPr>
      <w:r>
        <w:t>7.3.2 离线验证 (Empirical Validation)</w:t>
      </w:r>
    </w:p>
    <w:p w14:paraId="06BCA916">
      <w:pPr>
        <w:rPr/>
      </w:pPr>
      <w:r>
        <w:t>我们基于 34 个赛季的历史数据开展离线测试，对比名次法 (Rank)、百分比法 (Percent) 与 DAES。</w:t>
      </w:r>
    </w:p>
    <w:p w14:paraId="72830710">
      <w:pPr>
        <w:rPr/>
      </w:pPr>
      <w:r>
        <w:t>(1) 年龄公平性提升 利用淘汰概率对标准化年龄的线性敏感度（Slope）衡量偏见强度（绝对值越小越公平）：</w:t>
      </w:r>
    </w:p>
    <w:p w14:paraId="727FD68F">
      <w:pPr>
        <w:rPr/>
      </w:pPr>
    </w:p>
    <w:p w14:paraId="0B4F4C64">
      <w:pPr>
        <w:rPr/>
      </w:pPr>
      <w:r>
        <w:t>Rank: $Slope_{age} = +0.0528$</w:t>
      </w:r>
    </w:p>
    <w:p w14:paraId="360017B9">
      <w:pPr>
        <w:rPr/>
      </w:pPr>
    </w:p>
    <w:p w14:paraId="3CD3A926">
      <w:pPr>
        <w:rPr/>
      </w:pPr>
    </w:p>
    <w:p w14:paraId="5F17C158">
      <w:pPr>
        <w:rPr/>
      </w:pPr>
      <w:r>
        <w:t>Percent: $Slope_{age} = +0.0544$</w:t>
      </w:r>
    </w:p>
    <w:p w14:paraId="223324AB">
      <w:pPr>
        <w:rPr/>
      </w:pPr>
    </w:p>
    <w:p w14:paraId="627AF49B">
      <w:pPr>
        <w:rPr/>
      </w:pPr>
    </w:p>
    <w:p w14:paraId="7B7131B7">
      <w:pPr>
        <w:rPr/>
      </w:pPr>
      <w:r>
        <w:t>DAES: $Slope_{age} = \mathbf{+0.0366}$ 实验显示，DAES 将年龄结构性依赖降低了约 31%–33%，显著削减了高龄选手被系统性淘汰的风险。</w:t>
      </w:r>
    </w:p>
    <w:p w14:paraId="5DEA7F57">
      <w:pPr>
        <w:rPr>
          <w:rFonts w:hint="eastAsia" w:eastAsiaTheme="minorEastAsia"/>
          <w:lang w:eastAsia="zh-CN"/>
        </w:rPr>
      </w:pPr>
      <w:r>
        <w:rPr>
          <w:rFonts w:hint="eastAsia"/>
          <w:lang w:eastAsia="zh-CN"/>
        </w:rPr>
        <w:drawing>
          <wp:inline distT="0" distB="0" distL="114300" distR="114300">
            <wp:extent cx="5727700" cy="3102610"/>
            <wp:effectExtent l="0" t="0" r="2540" b="6350"/>
            <wp:docPr id="18" name="图片 18" descr="fig_age_fair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_age_fairness"/>
                    <pic:cNvPicPr>
                      <a:picLocks noChangeAspect="1"/>
                    </pic:cNvPicPr>
                  </pic:nvPicPr>
                  <pic:blipFill>
                    <a:blip r:embed="rId15"/>
                    <a:stretch>
                      <a:fillRect/>
                    </a:stretch>
                  </pic:blipFill>
                  <pic:spPr>
                    <a:xfrm>
                      <a:off x="0" y="0"/>
                      <a:ext cx="5727700" cy="3102610"/>
                    </a:xfrm>
                    <a:prstGeom prst="rect">
                      <a:avLst/>
                    </a:prstGeom>
                  </pic:spPr>
                </pic:pic>
              </a:graphicData>
            </a:graphic>
          </wp:inline>
        </w:drawing>
      </w:r>
    </w:p>
    <w:p w14:paraId="67E63EFC">
      <w:pPr>
        <w:rPr/>
      </w:pPr>
      <w:r>
        <w:t>(2) 导师公平性提升 (名师红利抑制) 衡量淘汰概率对导师强度 $\alpha_{pro}$ 的敏感度：</w:t>
      </w:r>
    </w:p>
    <w:p w14:paraId="1E4D4E9D">
      <w:pPr>
        <w:rPr/>
      </w:pPr>
    </w:p>
    <w:p w14:paraId="5124610B">
      <w:pPr>
        <w:rPr/>
      </w:pPr>
      <w:r>
        <w:t>Rank: $Slope_{pro} = -0.252$</w:t>
      </w:r>
    </w:p>
    <w:p w14:paraId="09B0C509">
      <w:pPr>
        <w:rPr/>
      </w:pPr>
    </w:p>
    <w:p w14:paraId="58CDA96A">
      <w:pPr>
        <w:rPr/>
      </w:pPr>
    </w:p>
    <w:p w14:paraId="278F5DC4">
      <w:pPr>
        <w:rPr/>
      </w:pPr>
      <w:r>
        <w:t>Percent: $Slope_{pro} = -0.422$</w:t>
      </w:r>
    </w:p>
    <w:p w14:paraId="68FC7DD3">
      <w:pPr>
        <w:rPr/>
      </w:pPr>
    </w:p>
    <w:p w14:paraId="6AAC9856">
      <w:pPr>
        <w:rPr/>
      </w:pPr>
    </w:p>
    <w:p w14:paraId="2FB0A7DD">
      <w:pPr>
        <w:rPr/>
      </w:pPr>
      <w:r>
        <w:t>DAES: $Slope_{pro} = \mathbf{-0.239}$ DAES 相比百分比法显著降低了名师依赖（约 44% 的改善），弱化了“强导师组合更不易淘汰”的结构性优势。</w:t>
      </w:r>
    </w:p>
    <w:p w14:paraId="51E09637">
      <w:pPr>
        <w:rPr>
          <w:rFonts w:hint="eastAsia" w:eastAsiaTheme="minorEastAsia"/>
          <w:lang w:eastAsia="zh-CN"/>
        </w:rPr>
      </w:pPr>
      <w:r>
        <w:rPr>
          <w:rFonts w:hint="eastAsia"/>
          <w:lang w:eastAsia="zh-CN"/>
        </w:rPr>
        <w:drawing>
          <wp:inline distT="0" distB="0" distL="114300" distR="114300">
            <wp:extent cx="5724525" cy="3098165"/>
            <wp:effectExtent l="0" t="0" r="5715" b="10795"/>
            <wp:docPr id="19" name="图片 19" descr="fig_mentor_fair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ig_mentor_fairness"/>
                    <pic:cNvPicPr>
                      <a:picLocks noChangeAspect="1"/>
                    </pic:cNvPicPr>
                  </pic:nvPicPr>
                  <pic:blipFill>
                    <a:blip r:embed="rId16"/>
                    <a:stretch>
                      <a:fillRect/>
                    </a:stretch>
                  </pic:blipFill>
                  <pic:spPr>
                    <a:xfrm>
                      <a:off x="0" y="0"/>
                      <a:ext cx="5724525" cy="3098165"/>
                    </a:xfrm>
                    <a:prstGeom prst="rect">
                      <a:avLst/>
                    </a:prstGeom>
                  </pic:spPr>
                </pic:pic>
              </a:graphicData>
            </a:graphic>
          </wp:inline>
        </w:drawing>
      </w:r>
    </w:p>
    <w:p w14:paraId="3FDA5DDF">
      <w:pPr>
        <w:rPr/>
      </w:pPr>
      <w:r>
        <w:t>(3) 历史一致率参考 DAES 在提升公平性的同时，仍保持了与历史逻辑的高度衔接：</w:t>
      </w:r>
    </w:p>
    <w:p w14:paraId="2EF9A098">
      <w:pPr>
        <w:rPr/>
      </w:pPr>
    </w:p>
    <w:p w14:paraId="0821FFBD">
      <w:pPr>
        <w:rPr/>
      </w:pPr>
      <w:r>
        <w:t>Rank 一致率: 96.59%</w:t>
      </w:r>
    </w:p>
    <w:p w14:paraId="36CB2860">
      <w:pPr>
        <w:rPr/>
      </w:pPr>
    </w:p>
    <w:p w14:paraId="53B38B04">
      <w:pPr>
        <w:rPr/>
      </w:pPr>
    </w:p>
    <w:p w14:paraId="27B80632">
      <w:pPr>
        <w:rPr/>
      </w:pPr>
      <w:r>
        <w:t>Percent 一致率: 85.23%</w:t>
      </w:r>
    </w:p>
    <w:p w14:paraId="7D9E69C5">
      <w:pPr>
        <w:rPr/>
      </w:pPr>
    </w:p>
    <w:p w14:paraId="33B9399D">
      <w:pPr>
        <w:rPr/>
      </w:pPr>
    </w:p>
    <w:p w14:paraId="0A7649D2">
      <w:pPr>
        <w:rPr/>
      </w:pPr>
      <w:r>
        <w:t>DAES 一致率: 88.64% 这证明 DAES 具有极强的现实可部署性，在不剧烈改变节目走向的前提下实现了显著的公平性改良。</w:t>
      </w:r>
    </w:p>
    <w:p w14:paraId="12673069">
      <w:pPr>
        <w:rPr>
          <w:rFonts w:hint="eastAsia" w:eastAsiaTheme="minorEastAsia"/>
          <w:lang w:eastAsia="zh-CN"/>
        </w:rPr>
      </w:pPr>
    </w:p>
    <w:p w14:paraId="5DECAE6D">
      <w:pPr>
        <w:rPr/>
      </w:pPr>
      <w:r>
        <w:t>7.4 小结</w:t>
      </w:r>
    </w:p>
    <w:p w14:paraId="101C1768">
      <w:pPr>
        <w:rPr/>
      </w:pPr>
      <w:r>
        <w:t>DAES 系统不仅是一个算法优化，更是一个以“公平”为核心的制度设计。它在技术轴通过标准化降低偏见，在粉丝轴通过动态权重保留戏剧性。通过离线验证，我们证明该系统能显著降低结构性依赖，是 DWTS 评价体系实现渐进式改革的最佳方案。</w:t>
      </w:r>
    </w:p>
    <w:p w14:paraId="0C7C6BE9">
      <w:pPr>
        <w:rPr/>
      </w:pPr>
      <w:r>
        <w:br w:type="textWrapping"/>
      </w:r>
      <w:r>
        <w:br w:type="textWrapping"/>
      </w:r>
      <w:r>
        <w:br w:type="textWrapping"/>
      </w:r>
      <w:r>
        <w:t>8. 灵敏度分析与稳健性检验 (Sensitivity Analysis and Robustness Test)</w:t>
      </w:r>
    </w:p>
    <w:p w14:paraId="3212FCCF">
      <w:pPr>
        <w:rPr/>
      </w:pPr>
      <w:r>
        <w:t>8.1 模型 I (IDM) 的灵敏度分析</w:t>
      </w:r>
    </w:p>
    <w:p w14:paraId="5FD17FA7">
      <w:pPr>
        <w:rPr/>
      </w:pPr>
      <w:r>
        <w:t>为了验证逆向决策模型 (IDM) 对核心超参数的敏感程度，我们针对两个关键的温度参数进行了网格搜索（Grid Search）：</w:t>
      </w:r>
    </w:p>
    <w:p w14:paraId="43771426">
      <w:pPr>
        <w:rPr/>
      </w:pPr>
    </w:p>
    <w:p w14:paraId="2634DE31">
      <w:pPr>
        <w:rPr/>
      </w:pPr>
      <w:r>
        <w:t>Softmax 温度 ($\tau_s$)：控制选手潜在人气效用向投票比例映射时的平滑度。</w:t>
      </w:r>
    </w:p>
    <w:p w14:paraId="19FF7082">
      <w:pPr>
        <w:rPr/>
      </w:pPr>
    </w:p>
    <w:p w14:paraId="20D51689">
      <w:pPr>
        <w:rPr/>
      </w:pPr>
    </w:p>
    <w:p w14:paraId="26050D1C">
      <w:pPr>
        <w:rPr/>
      </w:pPr>
      <w:r>
        <w:t>似然温度 ($\tau_L$)：控制模型在判定淘汰规则时的严苛程度。</w:t>
      </w:r>
    </w:p>
    <w:p w14:paraId="424DA0F0">
      <w:pPr>
        <w:rPr/>
      </w:pPr>
    </w:p>
    <w:p w14:paraId="27E7BDF3">
      <w:pPr>
        <w:rPr/>
      </w:pPr>
      <w:r>
        <w:t>我们选取了具有代表性的 5 个赛季（S1, S2, S11, S27, S28）共 33 周的数据作为测试样本，构建了 $5 \times 5 = 25$ 组参数组合。</w:t>
      </w:r>
    </w:p>
    <w:p w14:paraId="68D9FD98">
      <w:pPr>
        <w:rPr/>
      </w:pPr>
      <w:r>
        <w:t>8.1.1 对硬准确率 (Hard Accuracy) 的影响</w:t>
      </w:r>
    </w:p>
    <w:p w14:paraId="0AE509E4">
      <w:pPr>
        <w:rPr/>
      </w:pPr>
      <w:r>
        <w:t>实验结果显示，IDM 模型的硬准确率表现出极高的鲁棒性。</w:t>
      </w:r>
    </w:p>
    <w:p w14:paraId="7F2B6328">
      <w:pPr>
        <w:rPr/>
      </w:pPr>
    </w:p>
    <w:p w14:paraId="16CCE128">
      <w:pPr>
        <w:rPr/>
      </w:pPr>
      <w:r>
        <w:t>稳定性：在绝大多数参数格点上，模型预测淘汰者与真实情况的一致率稳定在 96.97%。</w:t>
      </w:r>
    </w:p>
    <w:p w14:paraId="0DC1586B">
      <w:pPr>
        <w:rPr/>
      </w:pPr>
    </w:p>
    <w:p w14:paraId="0C7B814E">
      <w:pPr>
        <w:rPr/>
      </w:pPr>
    </w:p>
    <w:p w14:paraId="31E56198">
      <w:pPr>
        <w:rPr/>
      </w:pPr>
      <w:r>
        <w:t>崩溃边缘：准确率仅在 $\tau_s$ 与 $\tau_L$ 同时取极大值（如 $\tau_s=1.5, \tau_L=0.20$）时出现显著下降（降至 81.82%）。这说明只要参数不处于极度“平滑”的区域，模型对“谁被淘汰”的判定非常稳健。</w:t>
      </w:r>
    </w:p>
    <w:p w14:paraId="566365EB">
      <w:pPr>
        <w:rPr/>
      </w:pPr>
    </w:p>
    <w:p w14:paraId="74C0314C">
      <w:pPr>
        <w:rPr/>
      </w:pPr>
      <w:r>
        <w:t>8.1.2 对软一致性 (Mean Consistency) 的灵敏性</w:t>
      </w:r>
    </w:p>
    <w:p w14:paraId="4831578A">
      <w:pPr>
        <w:rPr/>
      </w:pPr>
      <w:r>
        <w:t>与硬准确率不同，软一致性对温度参数非常敏感。</w:t>
      </w:r>
    </w:p>
    <w:p w14:paraId="09586BE6">
      <w:pPr>
        <w:rPr/>
      </w:pPr>
    </w:p>
    <w:p w14:paraId="4A91DA03">
      <w:pPr>
        <w:rPr/>
      </w:pPr>
      <w:r>
        <w:t>负相关趋势：随着 $\tau_s$ 或 $\tau_L$ 的增大，平均一致性呈现单调下降趋势。当参数从 $(0.5, 0.05)$ 变动至 $(1.5, 0.20)$ 时，一致性从 0.746 降至 0.558。</w:t>
      </w:r>
    </w:p>
    <w:p w14:paraId="048E2594">
      <w:pPr>
        <w:rPr/>
      </w:pPr>
    </w:p>
    <w:p w14:paraId="68235724">
      <w:pPr>
        <w:rPr/>
      </w:pPr>
    </w:p>
    <w:p w14:paraId="43E6C71D">
      <w:pPr>
        <w:rPr/>
      </w:pPr>
      <w:r>
        <w:t>逻辑解释：较高的温度增加了概率分布的熵（即模糊性），使得原本显著的淘汰概率变得平滑，降低了模型内部的逻辑严密性。</w:t>
      </w:r>
    </w:p>
    <w:p w14:paraId="7DC9EBAC">
      <w:pPr>
        <w:rPr/>
      </w:pPr>
    </w:p>
    <w:p w14:paraId="5C290501">
      <w:pPr>
        <w:rPr/>
      </w:pPr>
    </w:p>
    <w:p w14:paraId="58C187A5">
      <w:pPr>
        <w:rPr/>
      </w:pPr>
      <w:r>
        <w:t>最优组合：在 $(0.5, 0.05)$ 处，模型同时获得了最高的一致性得分与极高的准确率。</w:t>
      </w:r>
    </w:p>
    <w:p w14:paraId="40A23C37">
      <w:pPr>
        <w:rPr>
          <w:rFonts w:hint="eastAsia" w:eastAsiaTheme="minorEastAsia"/>
          <w:lang w:eastAsia="zh-CN"/>
        </w:rPr>
      </w:pPr>
      <w:r>
        <w:rPr>
          <w:rFonts w:hint="eastAsia"/>
          <w:lang w:eastAsia="zh-CN"/>
        </w:rPr>
        <w:drawing>
          <wp:inline distT="0" distB="0" distL="114300" distR="114300">
            <wp:extent cx="5254625" cy="3542030"/>
            <wp:effectExtent l="0" t="0" r="3175" b="8890"/>
            <wp:docPr id="21" name="图片 21" descr="sensitivity_mean_consis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sensitivity_mean_consistency"/>
                    <pic:cNvPicPr>
                      <a:picLocks noChangeAspect="1"/>
                    </pic:cNvPicPr>
                  </pic:nvPicPr>
                  <pic:blipFill>
                    <a:blip r:embed="rId17"/>
                    <a:stretch>
                      <a:fillRect/>
                    </a:stretch>
                  </pic:blipFill>
                  <pic:spPr>
                    <a:xfrm>
                      <a:off x="0" y="0"/>
                      <a:ext cx="5254625" cy="3542030"/>
                    </a:xfrm>
                    <a:prstGeom prst="rect">
                      <a:avLst/>
                    </a:prstGeom>
                  </pic:spPr>
                </pic:pic>
              </a:graphicData>
            </a:graphic>
          </wp:inline>
        </w:drawing>
      </w:r>
    </w:p>
    <w:p w14:paraId="7787AF8C">
      <w:pPr>
        <w:rPr/>
      </w:pPr>
      <w:r>
        <w:rPr/>
        <w:drawing>
          <wp:inline distT="0" distB="0" distL="114300" distR="114300">
            <wp:extent cx="5175250" cy="3542030"/>
            <wp:effectExtent l="0" t="0" r="6350" b="8890"/>
            <wp:docPr id="22" name="图片 22" descr="sensitivity_hard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ensitivity_hard_accuracy"/>
                    <pic:cNvPicPr>
                      <a:picLocks noChangeAspect="1"/>
                    </pic:cNvPicPr>
                  </pic:nvPicPr>
                  <pic:blipFill>
                    <a:blip r:embed="rId18"/>
                    <a:stretch>
                      <a:fillRect/>
                    </a:stretch>
                  </pic:blipFill>
                  <pic:spPr>
                    <a:xfrm>
                      <a:off x="0" y="0"/>
                      <a:ext cx="5175250" cy="3542030"/>
                    </a:xfrm>
                    <a:prstGeom prst="rect">
                      <a:avLst/>
                    </a:prstGeom>
                  </pic:spPr>
                </pic:pic>
              </a:graphicData>
            </a:graphic>
          </wp:inline>
        </w:drawing>
      </w:r>
      <w:r>
        <w:br w:type="textWrapping"/>
      </w:r>
      <w:r>
        <w:t>(注：对应 sensitivity_mean_consistency.png 与 sensitivity_hard_accuracy.png)</w:t>
      </w:r>
    </w:p>
    <w:p w14:paraId="4DE0011F">
      <w:pPr>
        <w:rPr/>
      </w:pPr>
      <w:r>
        <w:t>8.1.3 稳健区间定义</w:t>
      </w:r>
    </w:p>
    <w:p w14:paraId="3EE2114A">
      <w:pPr>
        <w:rPr/>
      </w:pPr>
      <w:r>
        <w:t>基于实验数据，我们定义了模型的“稳健操作空间”：</w:t>
      </w:r>
    </w:p>
    <w:p w14:paraId="44204502">
      <w:pPr>
        <w:rPr/>
      </w:pPr>
    </w:p>
    <w:p w14:paraId="112C1316">
      <w:pPr>
        <w:rPr/>
      </w:pPr>
      <w:r>
        <w:t>基准设定：$\tau_s = 0.5, \tau_L = 0.05$。</w:t>
      </w:r>
    </w:p>
    <w:p w14:paraId="1662835C">
      <w:pPr>
        <w:rPr/>
      </w:pPr>
    </w:p>
    <w:p w14:paraId="1AF8C576">
      <w:pPr>
        <w:rPr/>
      </w:pPr>
    </w:p>
    <w:p w14:paraId="34BF1FD8">
      <w:pPr>
        <w:rPr/>
      </w:pPr>
      <w:r>
        <w:t>稳健区间：$\tau_s \in [0.5, 1.0]$，$\tau_L \in [0.05, 0.10]$。 在此区间内，模型既能保持约 97% 的预测精度，又能确保推导出的投票比例具有较高的逻辑确定性。</w:t>
      </w:r>
    </w:p>
    <w:p w14:paraId="546D6E32">
      <w:pPr>
        <w:rPr/>
      </w:pPr>
    </w:p>
    <w:p w14:paraId="6A76C19C">
      <w:pPr>
        <w:rPr>
          <w:rFonts w:asciiTheme="minorHAnsi" w:hAnsiTheme="minorHAnsi" w:eastAsiaTheme="minorEastAsia" w:cstheme="minorBidi"/>
          <w:sz w:val="24"/>
          <w:szCs w:val="24"/>
        </w:rPr>
      </w:pPr>
      <w:r>
        <w:t xml:space="preserve">8.2 </w:t>
      </w:r>
      <w:r>
        <w:rPr>
          <w:rFonts w:asciiTheme="minorHAnsi" w:hAnsiTheme="minorHAnsi" w:eastAsiaTheme="minorEastAsia" w:cstheme="minorBidi"/>
          <w:sz w:val="24"/>
          <w:szCs w:val="24"/>
        </w:rPr>
        <w:t>模型 II (LME) 的</w:t>
      </w:r>
      <w:r>
        <w:rPr>
          <w:rFonts w:hint="eastAsia" w:cstheme="minorBidi"/>
          <w:sz w:val="24"/>
          <w:szCs w:val="24"/>
          <w:lang w:val="en-US" w:eastAsia="zh-CN"/>
        </w:rPr>
        <w:t>灵敏性</w:t>
      </w:r>
      <w:r>
        <w:rPr>
          <w:rFonts w:asciiTheme="minorHAnsi" w:hAnsiTheme="minorHAnsi" w:eastAsiaTheme="minorEastAsia" w:cstheme="minorBidi"/>
          <w:sz w:val="24"/>
          <w:szCs w:val="24"/>
        </w:rPr>
        <w:t>分析</w:t>
      </w:r>
    </w:p>
    <w:p w14:paraId="48335753">
      <w:pPr>
        <w:rPr/>
      </w:pPr>
      <w:r>
        <w:rPr>
          <w:lang w:val="en-US" w:eastAsia="zh-CN"/>
        </w:rPr>
        <w:t>(1) Model I（IDM 投票估计）的参数灵敏度我们对逆向决策模型中的两类温度参数进行了 5</w:t>
      </w:r>
      <w:r>
        <w:rPr>
          <w:rFonts w:hint="default"/>
          <w:lang w:val="en-US" w:eastAsia="zh-CN"/>
        </w:rPr>
        <w:t>×55×5</w:t>
      </w:r>
      <w:r>
        <w:rPr>
          <w:lang w:val="en-US" w:eastAsia="zh-CN"/>
        </w:rPr>
        <w:t> 网格敏感性分析：</w:t>
      </w:r>
      <w:r>
        <w:rPr>
          <w:rFonts w:hint="default"/>
          <w:lang w:val="en-US" w:eastAsia="zh-CN"/>
        </w:rPr>
        <w:t>softmax_temp∈{0.5,0.8,1.0,1.2,1.5}softmax_temp∈{0.5,0.8,1.0,1.2,1.5}</w:t>
      </w:r>
      <w:r>
        <w:rPr>
          <w:lang w:val="en-US" w:eastAsia="zh-CN"/>
        </w:rPr>
        <w:t>，</w:t>
      </w:r>
      <w:r>
        <w:rPr>
          <w:rFonts w:hint="default"/>
          <w:lang w:val="en-US" w:eastAsia="zh-CN"/>
        </w:rPr>
        <w:t>likelihood_temp∈{0.05,0.08,0.10,0.15,0.20}likelihood_temp∈{0.05,0.08,0.10,0.15,0.20}</w:t>
      </w:r>
      <w:r>
        <w:rPr>
          <w:lang w:val="en-US" w:eastAsia="zh-CN"/>
        </w:rPr>
        <w:t>。在关键赛季（1、2、11、27、28，共 33 周）上，记录硬一致性（hard_accuracy）与软一致性（</w:t>
      </w:r>
      <w:r>
        <w:rPr>
          <w:rFonts w:hint="default"/>
          <w:lang w:val="en-US" w:eastAsia="zh-CN"/>
        </w:rPr>
        <w:t>mean_consistency</w:t>
      </w:r>
      <w:r>
        <w:rPr>
          <w:lang w:val="en-US" w:eastAsia="zh-CN"/>
        </w:rPr>
        <w:t>）：</w:t>
      </w:r>
    </w:p>
    <w:p w14:paraId="4E465F6D">
      <w:pPr>
        <w:rPr/>
      </w:pPr>
      <w:r>
        <w:t>硬一致性几乎不敏感：在绝大多数参数组合下，</w:t>
      </w:r>
      <w:r>
        <w:rPr>
          <w:rFonts w:hint="default"/>
        </w:rPr>
        <w:t>hard_accuracy</w:t>
      </w:r>
      <w:r>
        <w:t> 维持在约 96.97%；只有当两类温度同时取较大值时（如 softmax\temp≥1.2 且 likelihood\_temp≥0.15），准确率才明显下降到 90% 以下。</w:t>
      </w:r>
    </w:p>
    <w:p w14:paraId="1B38AA3C">
      <w:pPr>
        <w:rPr/>
      </w:pPr>
      <w:r>
        <w:t>软一致性随温度单调下降：</w:t>
      </w:r>
      <w:r>
        <w:rPr>
          <w:rFonts w:hint="default"/>
        </w:rPr>
        <w:t>mean_consistency</w:t>
      </w:r>
      <w:r>
        <w:t> 对两类温度更敏感，随着 softmax\temp 与 likelihood\_temp 增大而持续降低，其中 </w:t>
      </w:r>
      <w:r>
        <w:rPr>
          <w:rFonts w:hint="default"/>
        </w:rPr>
        <w:t>(0.5,0.05)(0.5,0.05)</w:t>
      </w:r>
      <w:r>
        <w:t> 组合取得最高一致性（约 0.746）且不牺牲准确率。</w:t>
      </w:r>
    </w:p>
    <w:p w14:paraId="349CA37D">
      <w:pPr>
        <w:rPr/>
      </w:pPr>
      <w:r>
        <w:t>因此，我们在后续分析中采用 </w:t>
      </w:r>
      <w:r>
        <w:rPr>
          <w:rFonts w:hint="default"/>
        </w:rPr>
        <w:t>softmax_temp=0.5, likelihood_temp=0.05softmax_temp=0.5, likelihood_temp=0.05</w:t>
      </w:r>
      <w:r>
        <w:t> 作为基准设定，并将 </w:t>
      </w:r>
      <w:r>
        <w:rPr>
          <w:rFonts w:hint="default"/>
        </w:rPr>
        <w:t>[0.5,1.0]×[0.05,0.10][0.5,1.0]×[0.05,0.10]</w:t>
      </w:r>
      <w:r>
        <w:t> 视为 IDM 的稳健参数区间：在该区间内，模型既能稳定重现历史淘汰，又保持较高的一致性。</w:t>
      </w:r>
    </w:p>
    <w:p w14:paraId="4B57A808">
      <w:pPr>
        <w:rPr/>
      </w:pPr>
      <w:r>
        <w:rPr>
          <w:lang w:val="en-US" w:eastAsia="zh-CN"/>
        </w:rPr>
        <w:t>(2) Model II（LME 影响模型）的稳健性检验针对职业舞者—嘉宾 LME 影响模型，我们从“数据处理/规格设定”层面设计了四种配置进行对比：</w:t>
      </w:r>
    </w:p>
    <w:p w14:paraId="0DEB093F">
      <w:pPr>
        <w:rPr/>
      </w:pPr>
      <w:r>
        <w:t>年龄标准化方式：全样本标准化（global） vs 赛季内标准化（by\season）；</w:t>
      </w:r>
    </w:p>
    <w:p w14:paraId="65D69391">
      <w:pPr>
        <w:rPr/>
      </w:pPr>
      <w:r>
        <w:t>行业固定效应：使用 5 类行业聚类（full） vs 不引入行业项（none）。</w:t>
      </w:r>
    </w:p>
    <w:p w14:paraId="3BEBE17E">
      <w:pPr>
        <w:rPr/>
      </w:pPr>
      <w:r>
        <w:rPr>
          <w:lang w:val="en-US" w:eastAsia="zh-CN"/>
        </w:rPr>
        <w:t>四种配置在两条路径（评委分与粉丝票）上重新拟合 LME，并记录导师 ICC 与年龄系数：</w:t>
      </w:r>
    </w:p>
    <w:p w14:paraId="12334679">
      <w:pPr>
        <w:rPr/>
      </w:pPr>
      <w:r>
        <w:t>导师 ICC 结论稳定：</w:t>
      </w:r>
    </w:p>
    <w:p w14:paraId="341A6DF6">
      <w:pPr>
        <w:rPr/>
      </w:pPr>
      <w:r>
        <w:t>评委分路径的 ICC 始终在 0.11–0.13 之间；</w:t>
      </w:r>
    </w:p>
    <w:p w14:paraId="2E4DE034">
      <w:pPr>
        <w:rPr/>
      </w:pPr>
      <w:r>
        <w:t>粉丝票路径 ICC 在 0.06 与 0.20 区间波动，但始终明显低于技术路径。</w:t>
      </w:r>
    </w:p>
    <w:p w14:paraId="259FA888">
      <w:pPr>
        <w:rPr/>
      </w:pPr>
      <w:r>
        <w:rPr>
          <w:lang w:val="en-US" w:eastAsia="zh-CN"/>
        </w:rPr>
        <w:t>→ “职业舞者对技术表现的方差贡献显著高于对人气表现”的结论在所有设定下均成立。</w:t>
      </w:r>
    </w:p>
    <w:p w14:paraId="34FF73C2">
      <w:pPr>
        <w:rPr/>
      </w:pPr>
      <w:r>
        <w:t>年龄效应方向与量级稳健：</w:t>
      </w:r>
    </w:p>
    <w:p w14:paraId="11C5EFC1">
      <w:pPr>
        <w:rPr/>
      </w:pPr>
      <w:r>
        <w:t>评委分模型的年龄标准化系数始终约为 -0.67 左右；</w:t>
      </w:r>
    </w:p>
    <w:p w14:paraId="7F72CFC5">
      <w:pPr>
        <w:rPr/>
      </w:pPr>
      <w:r>
        <w:t>粉丝票模型的年龄系数稳定在 -0.011 附近。</w:t>
      </w:r>
    </w:p>
    <w:p w14:paraId="6C5933CD">
      <w:pPr>
        <w:rPr/>
      </w:pPr>
      <w:r>
        <w:rPr>
          <w:lang w:val="en-US" w:eastAsia="zh-CN"/>
        </w:rPr>
        <w:t>→ 无论年龄按全样本还是赛季内标准化、是否控制行业固定效应，年龄对技术评分存在显著负向结构效应，而对粉丝票仅有弱小负效应的结论均保持不变。综合来看，IDM 模型在合理参数区间内对淘汰预测高度稳健，而 LME 模型的“名师效应”和“年龄偏见”结论在一系列替代规格下也表现出较强的稳健性，为后续提出 DAES 纠偏机制提供了可靠的经验基础。</w:t>
      </w:r>
    </w:p>
    <w:p w14:paraId="29D351CF">
      <w:pPr>
        <w:rPr/>
      </w:pPr>
      <w:r>
        <w:br w:type="textWrapping"/>
      </w:r>
    </w:p>
    <w:p w14:paraId="786D7EA5">
      <w:pPr>
        <w:rPr/>
      </w:pPr>
      <w:r>
        <w:t>9. 结论与建议 (Conclusion and Recommendations)</w:t>
      </w:r>
    </w:p>
    <w:p w14:paraId="1BA4349A">
      <w:pPr>
        <w:rPr/>
      </w:pPr>
      <w:r>
        <w:t>9.1 研究结论</w:t>
      </w:r>
    </w:p>
    <w:p w14:paraId="20422316">
      <w:pPr>
        <w:rPr/>
      </w:pPr>
      <w:r>
        <w:t>本文通过量化建模，系统解决了专业评分与大众投票的博弈问题：</w:t>
      </w:r>
    </w:p>
    <w:p w14:paraId="46C7D293">
      <w:pPr>
        <w:rPr/>
      </w:pPr>
    </w:p>
    <w:p w14:paraId="39391953">
      <w:pPr>
        <w:rPr/>
      </w:pPr>
      <w:r>
        <w:t>投票反演的高精度：利用 IDM 模型在 264 周数据中实现了 98.11% 的预测准确率，成功破解粉丝投票“黑箱”，证明了淘汰结果背后存在可预测的粉丝偏好逻辑。</w:t>
      </w:r>
    </w:p>
    <w:p w14:paraId="1F7E10FA">
      <w:pPr>
        <w:rPr/>
      </w:pPr>
    </w:p>
    <w:p w14:paraId="3657EB83">
      <w:pPr>
        <w:rPr/>
      </w:pPr>
    </w:p>
    <w:p w14:paraId="005DCFC5">
      <w:pPr>
        <w:rPr/>
      </w:pPr>
      <w:r>
        <w:t>结构性偏见的识别：LME 模型揭示了评委对高龄选手存在显著的“技术重税”（系数 -0.693），而职业舞伴对技术分的贡献率（11.46%）远高于人气端。这量化解释了为何技术派与人气派经常出现排名倒挂。</w:t>
      </w:r>
    </w:p>
    <w:p w14:paraId="08A514D0">
      <w:pPr>
        <w:rPr/>
      </w:pPr>
    </w:p>
    <w:p w14:paraId="7C2B3EA9">
      <w:pPr>
        <w:rPr/>
      </w:pPr>
    </w:p>
    <w:p w14:paraId="260041F8">
      <w:pPr>
        <w:rPr/>
      </w:pPr>
      <w:r>
        <w:t>现有机制的失灵：排名制易产生“人气杠杆”，而百分比制在后期评分通胀下存在“梯度稀释”风险。</w:t>
      </w:r>
    </w:p>
    <w:p w14:paraId="00280F7E">
      <w:pPr>
        <w:rPr/>
      </w:pPr>
    </w:p>
    <w:p w14:paraId="364C8535">
      <w:pPr>
        <w:rPr/>
      </w:pPr>
    </w:p>
    <w:p w14:paraId="603A9A96">
      <w:pPr>
        <w:rPr/>
      </w:pPr>
      <w:r>
        <w:t>DAES 系统的优越性：新系统在保持 88.64% 一致率的同时，成功降低了 32% 的年龄偏见和 44% 的名师红利，实现了竞技专业性与娱乐性的动态均衡。</w:t>
      </w:r>
    </w:p>
    <w:p w14:paraId="2A8CAC37">
      <w:pPr>
        <w:rPr/>
      </w:pPr>
    </w:p>
    <w:p w14:paraId="10E2F49A">
      <w:pPr>
        <w:rPr/>
      </w:pPr>
      <w:r>
        <w:t>9.2 制作人决策建议</w:t>
      </w:r>
    </w:p>
    <w:p w14:paraId="22D1E9F6">
      <w:pPr>
        <w:rPr/>
      </w:pPr>
    </w:p>
    <w:p w14:paraId="7312C61A">
      <w:pPr>
        <w:rPr/>
      </w:pPr>
      <w:r>
        <w:t>实施标准化评分：采纳 Z-Score 机制对冲评分通胀，确保决赛阶段技术尖子仍能保持梯度优势。</w:t>
      </w:r>
    </w:p>
    <w:p w14:paraId="4DD0D62D">
      <w:pPr>
        <w:rPr/>
      </w:pPr>
    </w:p>
    <w:p w14:paraId="020D1DAC">
      <w:pPr>
        <w:rPr/>
      </w:pPr>
    </w:p>
    <w:p w14:paraId="53B5B8AA">
      <w:pPr>
        <w:rPr/>
      </w:pPr>
      <w:r>
        <w:t>引入结构性纠偏：应用 ABC（年龄补偿）与 MVA（导师修正）因子，保护努力转型的非专业选手，鼓励真实的“成长叙事”。</w:t>
      </w:r>
    </w:p>
    <w:p w14:paraId="0A1D90F0">
      <w:pPr>
        <w:rPr/>
      </w:pPr>
    </w:p>
    <w:p w14:paraId="4335088E">
      <w:pPr>
        <w:rPr/>
      </w:pPr>
    </w:p>
    <w:p w14:paraId="29362642">
      <w:pPr>
        <w:rPr/>
      </w:pPr>
      <w:r>
        <w:t>动态阶段权重：建议采取“早期看人气（60%）、后期看专业（60%）”的权重曲线，平衡节目热度与冠军公信力。</w:t>
      </w:r>
    </w:p>
    <w:p w14:paraId="6069E095">
      <w:pPr>
        <w:rPr/>
      </w:pPr>
    </w:p>
    <w:p w14:paraId="30E5BE8B">
      <w:pPr>
        <w:rPr/>
      </w:pPr>
      <w:r>
        <w:t>9.3 研究局限</w:t>
      </w:r>
    </w:p>
    <w:p w14:paraId="5A8663BD">
      <w:pPr>
        <w:rPr/>
      </w:pPr>
      <w:r>
        <w:t>未来研究可引入社交媒体实时情绪分析，并结合多模态视觉评价技术，进一步提升对舞台表现的量化精度。</w:t>
      </w:r>
    </w:p>
    <w:p w14:paraId="47A4AF23">
      <w:pPr>
        <w:rPr/>
      </w:pPr>
      <w:r>
        <w:br w:type="textWrapping"/>
      </w:r>
      <w:r>
        <w:br w:type="textWrapping"/>
      </w:r>
      <w:r>
        <w:t>MEMORANDUM</w:t>
      </w:r>
    </w:p>
    <w:p w14:paraId="3273E39A">
      <w:pPr>
        <w:rPr/>
      </w:pPr>
      <w:r>
        <w:t>TO: Producers of "Dancing with the Stars" (DWTS)</w:t>
      </w:r>
    </w:p>
    <w:p w14:paraId="0FB57E81">
      <w:pPr>
        <w:rPr/>
      </w:pPr>
      <w:r>
        <w:t>FROM: Quantitative Research &amp; Modeling Team</w:t>
      </w:r>
    </w:p>
    <w:p w14:paraId="26DD8C4A">
      <w:pPr>
        <w:rPr/>
      </w:pPr>
      <w:r>
        <w:t>DATE: February 2, 2026</w:t>
      </w:r>
    </w:p>
    <w:p w14:paraId="1EAB8AD2">
      <w:pPr>
        <w:rPr/>
      </w:pPr>
      <w:r>
        <w:t>SUBJECT: Strategic Optimization of Scoring Mechanisms to Balance Technical Merit and Fan Engagement</w:t>
      </w:r>
    </w:p>
    <w:p w14:paraId="18BB364A">
      <w:pPr>
        <w:rPr/>
      </w:pPr>
      <w:r>
        <w:t>1. Executive Summary (执行摘要)</w:t>
      </w:r>
    </w:p>
    <w:p w14:paraId="48BD2D76">
      <w:pPr>
        <w:rPr/>
      </w:pPr>
      <w:r>
        <w:t>针对长期存在的评委评分与粉丝投票冲突问题，我们对过去 34 个赛季的数据进行了深度挖掘。研究发现，现有的评分逻辑在处理“极端人气选手”和“高龄选手的技术偏见”时存在系统性风险。为此，我们提出了 DAES（双轴均衡度量系统），旨在不损害观众参与热情的前提下，通过数学修正提升节目的竞技公平性与公信力。</w:t>
      </w:r>
    </w:p>
    <w:p w14:paraId="0D01E808">
      <w:pPr>
        <w:rPr/>
      </w:pPr>
      <w:r>
        <w:t>2. Key Findings: The "Black Box" Unboxed (核心发现)</w:t>
      </w:r>
    </w:p>
    <w:p w14:paraId="7ED25D9A">
      <w:pPr>
        <w:rPr/>
      </w:pPr>
    </w:p>
    <w:p w14:paraId="1ED17DD3">
      <w:pPr>
        <w:rPr/>
      </w:pPr>
      <w:r>
        <w:t>粉丝投票并非随机：我们的反演模型能以 98% 的准确率 预判淘汰结果，说明粉丝投票具有极强的品牌效应和行业倾向。</w:t>
      </w:r>
    </w:p>
    <w:p w14:paraId="3B98A626">
      <w:pPr>
        <w:rPr/>
      </w:pPr>
    </w:p>
    <w:p w14:paraId="01AF8947">
      <w:pPr>
        <w:rPr/>
      </w:pPr>
    </w:p>
    <w:p w14:paraId="658641E3">
      <w:pPr>
        <w:rPr/>
      </w:pPr>
      <w:r>
        <w:t>被低估的“名师红利”：职业舞者的教学能力贡献了技术变异的 11.5%。优秀的舞伴能显著“掩盖”嘉宾的技术短板，这在某种程度上削弱了竞赛的纯粹性。</w:t>
      </w:r>
    </w:p>
    <w:p w14:paraId="550C4089">
      <w:pPr>
        <w:rPr/>
      </w:pPr>
    </w:p>
    <w:p w14:paraId="5EEA0CD7">
      <w:pPr>
        <w:rPr/>
      </w:pPr>
    </w:p>
    <w:p w14:paraId="48890266">
      <w:pPr>
        <w:rPr/>
      </w:pPr>
      <w:r>
        <w:t>评委的“年龄惩罚”：数据显示，评委对 50 岁以上选手的打分存在结构性偏低（负相关系数达 0.69）。这种偏见常被粉丝通过“同情票”对冲，导致技术与人气的剧烈撕裂。</w:t>
      </w:r>
    </w:p>
    <w:p w14:paraId="592AF222">
      <w:pPr>
        <w:rPr/>
      </w:pPr>
    </w:p>
    <w:p w14:paraId="3F44CEC1">
      <w:pPr>
        <w:rPr/>
      </w:pPr>
      <w:r>
        <w:t>3. Impact Analysis of Existing Systems (现有机制影响评价)</w:t>
      </w:r>
    </w:p>
    <w:p w14:paraId="6C8D46DD">
      <w:pPr>
        <w:rPr/>
      </w:pPr>
    </w:p>
    <w:p w14:paraId="01CF23C9">
      <w:pPr>
        <w:rPr/>
      </w:pPr>
      <w:r>
        <w:t>排名制 (Rank-based)：放大了相对位次。一名人气极高的中游选手，只需粉丝排名第一，即可抹平与顶尖舞者之间巨大的技术鸿沟。</w:t>
      </w:r>
    </w:p>
    <w:p w14:paraId="0F90A29A">
      <w:pPr>
        <w:rPr/>
      </w:pPr>
    </w:p>
    <w:p w14:paraId="37062D41">
      <w:pPr>
        <w:rPr/>
      </w:pPr>
    </w:p>
    <w:p w14:paraId="7C7B011A">
      <w:pPr>
        <w:rPr/>
      </w:pPr>
      <w:r>
        <w:t>百分比制 (Percentage-based)：在比赛后期评分普遍趋高（评分通胀）时，技术分差距被稀释，导致粉丝票数成为唯一判定因素，技术派面临“护城河”失效风险。</w:t>
      </w:r>
    </w:p>
    <w:p w14:paraId="740F5DBE">
      <w:pPr>
        <w:rPr/>
      </w:pPr>
    </w:p>
    <w:p w14:paraId="4D581FA2">
      <w:pPr>
        <w:rPr/>
      </w:pPr>
      <w:r>
        <w:t>4. Strategic Recommendations (战略建议)</w:t>
      </w:r>
    </w:p>
    <w:p w14:paraId="180F3D50">
      <w:pPr>
        <w:rPr/>
      </w:pPr>
      <w:r>
        <w:t>为确保节目长青，建议从下赛季起分步实施以下优化方案：</w:t>
      </w:r>
    </w:p>
    <w:p w14:paraId="6313B4F5">
      <w:pPr>
        <w:rPr/>
      </w:pPr>
      <w:r>
        <w:t>A. 引入 DAES 动态评价系统</w:t>
      </w:r>
    </w:p>
    <w:p w14:paraId="34C7490E">
      <w:pPr>
        <w:rPr/>
      </w:pPr>
    </w:p>
    <w:p w14:paraId="0917B09F">
      <w:pPr>
        <w:rPr/>
      </w:pPr>
      <w:r>
        <w:t>技术轴标准化 (Z-Score)：不再直接计算原始分，而是根据当周平均水平进行标准化，保留细微的技术阶梯。</w:t>
      </w:r>
    </w:p>
    <w:p w14:paraId="52033060">
      <w:pPr>
        <w:rPr/>
      </w:pPr>
    </w:p>
    <w:p w14:paraId="032CF799">
      <w:pPr>
        <w:rPr/>
      </w:pPr>
    </w:p>
    <w:p w14:paraId="12011C19">
      <w:pPr>
        <w:rPr/>
      </w:pPr>
      <w:r>
        <w:t>结构性纠偏模块：</w:t>
      </w:r>
    </w:p>
    <w:p w14:paraId="7D0E1589">
      <w:pPr>
        <w:rPr/>
      </w:pPr>
    </w:p>
    <w:p w14:paraId="696DAB90">
      <w:pPr>
        <w:rPr/>
      </w:pPr>
    </w:p>
    <w:p w14:paraId="24C577E8">
      <w:pPr>
        <w:rPr/>
      </w:pPr>
      <w:r>
        <w:t>ABC 模块：对高龄选手的“机能减分”进行数学补偿，鼓励观众看到选手的相对进步。</w:t>
      </w:r>
    </w:p>
    <w:p w14:paraId="478888D5">
      <w:pPr>
        <w:rPr/>
      </w:pPr>
    </w:p>
    <w:p w14:paraId="62A2D0A7">
      <w:pPr>
        <w:rPr/>
      </w:pPr>
    </w:p>
    <w:p w14:paraId="08735F88">
      <w:pPr>
        <w:rPr/>
      </w:pPr>
      <w:r>
        <w:t>MVA 模块：适当弱化顶级名师带来的绝对高分红利，将评价重心向嘉宾的“成长弧线”偏移。</w:t>
      </w:r>
    </w:p>
    <w:p w14:paraId="5218C2BC">
      <w:pPr>
        <w:rPr/>
      </w:pPr>
    </w:p>
    <w:p w14:paraId="21BFC8A9">
      <w:pPr>
        <w:rPr/>
      </w:pPr>
      <w:r>
        <w:t>B. 实施三阶段权重方案 (Dynamic Weighting)</w:t>
      </w:r>
    </w:p>
    <w:p w14:paraId="7A913DA9">
      <w:pPr>
        <w:rPr/>
      </w:pPr>
    </w:p>
    <w:p w14:paraId="78C5B908">
      <w:pPr>
        <w:rPr/>
      </w:pPr>
      <w:r>
        <w:t>W1–W4 (海选期)：粉丝权重 60% / 评委 40%。鼓励粉丝参与，利用社交媒体热度为赛季开局引流。</w:t>
      </w:r>
    </w:p>
    <w:p w14:paraId="507EF07D">
      <w:pPr>
        <w:rPr/>
      </w:pPr>
    </w:p>
    <w:p w14:paraId="3F421BF4">
      <w:pPr>
        <w:rPr/>
      </w:pPr>
    </w:p>
    <w:p w14:paraId="13D48F61">
      <w:pPr>
        <w:rPr/>
      </w:pPr>
      <w:r>
        <w:t>W5–W8 (磨合期)：50/50 对等。筛选出兼具魅力与潜力的选手。</w:t>
      </w:r>
    </w:p>
    <w:p w14:paraId="52CFDEDE">
      <w:pPr>
        <w:rPr/>
      </w:pPr>
    </w:p>
    <w:p w14:paraId="6DD5B356">
      <w:pPr>
        <w:rPr/>
      </w:pPr>
    </w:p>
    <w:p w14:paraId="7D89F2D6">
      <w:pPr>
        <w:rPr/>
      </w:pPr>
      <w:r>
        <w:t>W9+ (决赛圈)：评委权重 60% / 粉丝 40%。回归艺术本质，确保最终冠军具备无可争议的专业水准，维护品牌声誉。</w:t>
      </w:r>
    </w:p>
    <w:p w14:paraId="5A4EDED0">
      <w:pPr>
        <w:rPr/>
      </w:pPr>
    </w:p>
    <w:p w14:paraId="05A05031">
      <w:pPr>
        <w:rPr/>
      </w:pPr>
      <w:r>
        <w:t>5. Expected Outcomes (预期效果)</w:t>
      </w:r>
    </w:p>
    <w:p w14:paraId="4296FF40">
      <w:pPr>
        <w:rPr/>
      </w:pPr>
      <w:r>
        <w:t>通过离线测试验证，DAES 系统可将由于年龄产生的结构性淘汰风险降低 31%-33%，并能有效抑制如 Bobby Bones 案例中出现的极端不公平争议。该方案将使节目在社交媒体讨论度与竞赛公信力之间达成前所未有的平衡。</w:t>
      </w:r>
    </w:p>
    <w:p w14:paraId="3BB53D23">
      <w:pPr>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 w:name="KaTeX_Size1">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563B69"/>
    <w:rsid w:val="5C7D31D8"/>
    <w:rsid w:val="5D63417B"/>
    <w:rsid w:val="6EAC5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4"/>
      <w:szCs w:val="24"/>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next w:val="1"/>
    <w:qFormat/>
    <w:uiPriority w:val="0"/>
    <w:pPr>
      <w:jc w:val="left"/>
    </w:pPr>
    <w:rPr>
      <w:rFonts w:asciiTheme="minorHAnsi" w:hAnsiTheme="minorHAnsi" w:eastAsiaTheme="minorEastAsia" w:cstheme="minorBidi"/>
      <w:b/>
      <w:bCs/>
      <w:color w:val="000000"/>
      <w:sz w:val="32"/>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paragraph" w:styleId="11">
    <w:name w:val="List Paragraph"/>
    <w:qFormat/>
    <w:uiPriority w:val="0"/>
    <w:pPr>
      <w:jc w:val="left"/>
    </w:pPr>
    <w:rPr>
      <w:rFonts w:asciiTheme="minorHAnsi" w:hAnsiTheme="minorHAnsi" w:eastAsiaTheme="minorEastAsia" w:cstheme="minorBidi"/>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54</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2026-02-01T12:30:22Z</dcterms:created>
  <dc:creator>32610</dc:creator>
  <cp:lastModifiedBy>林鑫</cp:lastModifiedBy>
  <dcterms:modified xsi:type="dcterms:W3CDTF">2026-02-02T16:32:11Z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eyJoZGlkIjoiMGFlNjQyMDNjNzk0OWY3ZmViZTVmNDI3MDQ2MmE5ODciLCJ1c2VySWQiOiI4MTQxNzAxMDEifQ==</vt:lpwstr>
  </property>
  <property fmtid="{D5CDD505-2E9C-101B-9397-08002B2CF9AE}" pid="4" name="ICV">
    <vt:lpwstr>E3A2EE37A2DE4BDCA61783F515F60451_12</vt:lpwstr>
  </property>
</Properties>
</file>