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04568">
      <w:pPr>
        <w:numPr>
          <w:ilvl w:val="0"/>
          <w:numId w:val="1"/>
        </w:numPr>
        <w:spacing w:after="220"/>
        <w:rPr>
          <w:rStyle w:val="11"/>
          <w:rFonts w:hint="eastAsia"/>
        </w:rPr>
      </w:pPr>
      <w:r>
        <w:rPr>
          <w:rStyle w:val="11"/>
          <w:rFonts w:hint="eastAsia"/>
        </w:rPr>
        <w:t>研究内容描述</w:t>
      </w:r>
    </w:p>
    <w:p w14:paraId="15FD8F12">
      <w:pPr>
        <w:pStyle w:val="3"/>
        <w:bidi w:val="0"/>
        <w:rPr>
          <w:rFonts w:hint="eastAsia"/>
        </w:rPr>
      </w:pPr>
      <w:r>
        <w:rPr>
          <w:rFonts w:hint="eastAsia"/>
        </w:rPr>
        <w:t>1．研究背景与意义</w:t>
      </w:r>
    </w:p>
    <w:p w14:paraId="0CB049D5">
      <w:pPr>
        <w:numPr>
          <w:numId w:val="0"/>
        </w:numPr>
        <w:spacing w:after="220"/>
        <w:rPr>
          <w:rFonts w:hint="eastAsia" w:ascii="宋体" w:hAnsi="宋体" w:eastAsia="宋体" w:cs="宋体"/>
          <w:sz w:val="24"/>
          <w:szCs w:val="24"/>
        </w:rPr>
      </w:pPr>
      <w:r>
        <w:rPr>
          <w:rFonts w:hint="eastAsia" w:ascii="宋体" w:hAnsi="宋体" w:eastAsia="宋体" w:cs="宋体"/>
          <w:sz w:val="24"/>
          <w:szCs w:val="24"/>
        </w:rPr>
        <w:t>居民消费作为拉动经济增长的“三驾马车”之一，是畅通国内大循环、构建新发展</w:t>
      </w:r>
      <w:bookmarkStart w:id="0" w:name="_GoBack"/>
      <w:bookmarkEnd w:id="0"/>
      <w:r>
        <w:rPr>
          <w:rFonts w:hint="eastAsia" w:ascii="宋体" w:hAnsi="宋体" w:eastAsia="宋体" w:cs="宋体"/>
          <w:sz w:val="24"/>
          <w:szCs w:val="24"/>
        </w:rPr>
        <w:t>格局的关键环节，其规模和结构的演变深刻反映了国家经济发展水平和人民生活质量的提升。特别是在中国经济转向高质量发展阶段，扩大内需、促进消费成为保持经济平稳健康运行的核心战略。当前，国内外经济环境复杂多变，准确把握影响居民消费的关键因素及其作用机制，对于理解消费趋势、评估宏观政策效果、制定有效的促消费、惠民生政策具有重要的理论价值和现实指导意义。本研究聚焦于2007年至2024年这一涵盖多个经济周期的关键时期，旨在识别并分析影响中国居民人均消费水平的核心宏观经济驱动力，以期为相关决策提供实证依据和有益参考。</w:t>
      </w:r>
    </w:p>
    <w:p w14:paraId="2740566C">
      <w:pPr>
        <w:pStyle w:val="3"/>
        <w:bidi w:val="0"/>
        <w:rPr>
          <w:rFonts w:hint="eastAsia"/>
          <w:b/>
        </w:rPr>
      </w:pPr>
      <w:r>
        <w:rPr>
          <w:rFonts w:hint="eastAsia"/>
          <w:b/>
        </w:rPr>
        <w:t>2．研究内容描述</w:t>
      </w:r>
    </w:p>
    <w:p w14:paraId="02F1BA3D">
      <w:pPr>
        <w:numPr>
          <w:numId w:val="0"/>
        </w:numPr>
        <w:spacing w:after="220"/>
        <w:rPr>
          <w:rFonts w:hint="eastAsia" w:ascii="宋体" w:hAnsi="宋体" w:eastAsia="宋体" w:cs="宋体"/>
          <w:sz w:val="24"/>
          <w:szCs w:val="24"/>
        </w:rPr>
      </w:pPr>
      <w:r>
        <w:rPr>
          <w:rFonts w:hint="eastAsia" w:ascii="宋体" w:hAnsi="宋体" w:eastAsia="宋体" w:cs="宋体"/>
          <w:sz w:val="24"/>
          <w:szCs w:val="24"/>
        </w:rPr>
        <w:br w:type="textWrapping"/>
      </w:r>
      <w:r>
        <w:rPr>
          <w:rFonts w:hint="eastAsia" w:ascii="宋体" w:hAnsi="宋体" w:eastAsia="宋体" w:cs="宋体"/>
          <w:sz w:val="24"/>
          <w:szCs w:val="24"/>
        </w:rPr>
        <w:t>本研究旨在探究2007年至2024年间影响中国居民人均消费水平的关键宏观经济因素。居民消费是拉动经济增长的核心动力之一，理解其背后的驱动因素对经济分析具有重要意义。</w:t>
      </w:r>
    </w:p>
    <w:p w14:paraId="4827ABC1">
      <w:pPr>
        <w:numPr>
          <w:ilvl w:val="0"/>
          <w:numId w:val="2"/>
        </w:numPr>
        <w:rPr>
          <w:rFonts w:hint="eastAsia" w:ascii="宋体" w:hAnsi="宋体" w:eastAsia="宋体" w:cs="宋体"/>
          <w:sz w:val="24"/>
          <w:szCs w:val="24"/>
        </w:rPr>
      </w:pPr>
      <w:r>
        <w:rPr>
          <w:rFonts w:hint="eastAsia" w:ascii="宋体" w:hAnsi="宋体" w:eastAsia="宋体" w:cs="宋体"/>
          <w:sz w:val="24"/>
          <w:szCs w:val="24"/>
        </w:rPr>
        <w:t>研究主题：影响中国居民消费水平的关键因素探究</w:t>
      </w:r>
    </w:p>
    <w:p w14:paraId="065F75A1">
      <w:pPr>
        <w:numPr>
          <w:ilvl w:val="0"/>
          <w:numId w:val="2"/>
        </w:numPr>
        <w:rPr>
          <w:rFonts w:hint="eastAsia" w:ascii="宋体" w:hAnsi="宋体" w:eastAsia="宋体" w:cs="宋体"/>
          <w:sz w:val="24"/>
          <w:szCs w:val="24"/>
        </w:rPr>
      </w:pPr>
      <w:r>
        <w:rPr>
          <w:rFonts w:hint="eastAsia" w:ascii="宋体" w:hAnsi="宋体" w:eastAsia="宋体" w:cs="宋体"/>
          <w:sz w:val="24"/>
          <w:szCs w:val="24"/>
        </w:rPr>
        <w:t>数据</w:t>
      </w:r>
      <w:r>
        <w:rPr>
          <w:rFonts w:hint="eastAsia" w:ascii="宋体" w:hAnsi="宋体" w:eastAsia="宋体" w:cs="宋体"/>
          <w:sz w:val="24"/>
          <w:szCs w:val="24"/>
          <w:lang w:val="en-US" w:eastAsia="zh-CN"/>
        </w:rPr>
        <w:t>来源</w:t>
      </w:r>
      <w:r>
        <w:rPr>
          <w:rFonts w:hint="eastAsia" w:ascii="宋体" w:hAnsi="宋体" w:eastAsia="宋体" w:cs="宋体"/>
          <w:sz w:val="24"/>
          <w:szCs w:val="24"/>
        </w:rPr>
        <w:t>：国家统计局官网（国家数据）</w:t>
      </w:r>
    </w:p>
    <w:p w14:paraId="581BE9D6">
      <w:pPr>
        <w:numPr>
          <w:ilvl w:val="0"/>
          <w:numId w:val="2"/>
        </w:numPr>
        <w:rPr>
          <w:rFonts w:hint="eastAsia" w:ascii="宋体" w:hAnsi="宋体" w:eastAsia="宋体" w:cs="宋体"/>
          <w:sz w:val="24"/>
          <w:szCs w:val="24"/>
        </w:rPr>
      </w:pPr>
      <w:r>
        <w:rPr>
          <w:rFonts w:hint="eastAsia" w:ascii="宋体" w:hAnsi="宋体" w:eastAsia="宋体" w:cs="宋体"/>
          <w:sz w:val="24"/>
          <w:szCs w:val="24"/>
        </w:rPr>
        <w:t>时间時度：2007年－2024年（共18个观测点）</w:t>
      </w:r>
    </w:p>
    <w:p w14:paraId="227CB77B">
      <w:pPr>
        <w:numPr>
          <w:ilvl w:val="0"/>
          <w:numId w:val="2"/>
        </w:numPr>
        <w:rPr>
          <w:rFonts w:hint="eastAsia" w:ascii="宋体" w:hAnsi="宋体" w:eastAsia="宋体" w:cs="宋体"/>
          <w:sz w:val="24"/>
          <w:szCs w:val="24"/>
        </w:rPr>
      </w:pPr>
      <w:r>
        <w:rPr>
          <w:rFonts w:hint="eastAsia" w:ascii="宋体" w:hAnsi="宋体" w:eastAsia="宋体" w:cs="宋体"/>
          <w:sz w:val="24"/>
          <w:szCs w:val="24"/>
        </w:rPr>
        <w:t>研究变量：</w:t>
      </w:r>
    </w:p>
    <w:p w14:paraId="56C0C74D">
      <w:pPr>
        <w:numPr>
          <w:ilvl w:val="0"/>
          <w:numId w:val="2"/>
        </w:numPr>
        <w:rPr>
          <w:rFonts w:hint="eastAsia" w:ascii="宋体" w:hAnsi="宋体" w:eastAsia="宋体" w:cs="宋体"/>
          <w:sz w:val="24"/>
          <w:szCs w:val="24"/>
        </w:rPr>
      </w:pPr>
      <w:r>
        <w:rPr>
          <w:rFonts w:hint="eastAsia" w:ascii="宋体" w:hAnsi="宋体" w:eastAsia="宋体" w:cs="宋体"/>
          <w:sz w:val="24"/>
          <w:szCs w:val="24"/>
        </w:rPr>
        <w:t>因变量（Y）：居民人均消费支出（元）（Y＿Consume）</w:t>
      </w:r>
    </w:p>
    <w:p w14:paraId="6376D8F7">
      <w:pPr>
        <w:numPr>
          <w:ilvl w:val="0"/>
          <w:numId w:val="2"/>
        </w:numPr>
        <w:rPr>
          <w:rFonts w:hint="eastAsia" w:ascii="宋体" w:hAnsi="宋体" w:eastAsia="宋体" w:cs="宋体"/>
          <w:sz w:val="24"/>
          <w:szCs w:val="24"/>
        </w:rPr>
      </w:pPr>
      <w:r>
        <w:rPr>
          <w:rFonts w:hint="eastAsia" w:ascii="宋体" w:hAnsi="宋体" w:eastAsia="宋体" w:cs="宋体"/>
          <w:sz w:val="24"/>
          <w:szCs w:val="24"/>
        </w:rPr>
        <w:t>自变量（X）：</w:t>
      </w:r>
    </w:p>
    <w:p w14:paraId="35C549C0">
      <w:pPr>
        <w:numPr>
          <w:ilvl w:val="0"/>
          <w:numId w:val="2"/>
        </w:numPr>
        <w:rPr>
          <w:rFonts w:hint="eastAsia" w:ascii="宋体" w:hAnsi="宋体" w:eastAsia="宋体" w:cs="宋体"/>
          <w:sz w:val="24"/>
          <w:szCs w:val="24"/>
        </w:rPr>
      </w:pPr>
      <w:r>
        <w:rPr>
          <w:rFonts w:hint="eastAsia" w:ascii="宋体" w:hAnsi="宋体" w:eastAsia="宋体" w:cs="宋体"/>
          <w:sz w:val="24"/>
          <w:szCs w:val="24"/>
        </w:rPr>
        <w:t>居民人均可支配收入（元）（X1＿Income）</w:t>
      </w:r>
    </w:p>
    <w:p w14:paraId="2F12A537">
      <w:pPr>
        <w:numPr>
          <w:ilvl w:val="0"/>
          <w:numId w:val="2"/>
        </w:numPr>
        <w:rPr>
          <w:rFonts w:hint="eastAsia" w:ascii="宋体" w:hAnsi="宋体" w:eastAsia="宋体" w:cs="宋体"/>
          <w:sz w:val="24"/>
          <w:szCs w:val="24"/>
        </w:rPr>
      </w:pPr>
      <w:r>
        <w:rPr>
          <w:rFonts w:hint="eastAsia" w:ascii="宋体" w:hAnsi="宋体" w:eastAsia="宋体" w:cs="宋体"/>
          <w:sz w:val="24"/>
          <w:szCs w:val="24"/>
        </w:rPr>
        <w:t>居民消费价格指数（上年＝100）（X2＿CPI）</w:t>
      </w:r>
    </w:p>
    <w:p w14:paraId="6CBF6F0F">
      <w:pPr>
        <w:numPr>
          <w:ilvl w:val="0"/>
          <w:numId w:val="2"/>
        </w:numPr>
        <w:rPr>
          <w:rFonts w:hint="eastAsia" w:ascii="宋体" w:hAnsi="宋体" w:eastAsia="宋体" w:cs="宋体"/>
          <w:sz w:val="24"/>
          <w:szCs w:val="24"/>
        </w:rPr>
      </w:pPr>
      <w:r>
        <w:rPr>
          <w:rFonts w:hint="eastAsia" w:ascii="宋体" w:hAnsi="宋体" w:eastAsia="宋体" w:cs="宋体"/>
          <w:sz w:val="24"/>
          <w:szCs w:val="24"/>
        </w:rPr>
        <w:t>国家财政社会保障和就业支出（亿元）（X3＿Social）</w:t>
      </w:r>
    </w:p>
    <w:p w14:paraId="31427317">
      <w:pPr>
        <w:numPr>
          <w:ilvl w:val="0"/>
          <w:numId w:val="2"/>
        </w:numPr>
        <w:rPr>
          <w:rFonts w:hint="eastAsia" w:ascii="宋体" w:hAnsi="宋体" w:eastAsia="宋体" w:cs="宋体"/>
          <w:sz w:val="24"/>
          <w:szCs w:val="24"/>
        </w:rPr>
      </w:pPr>
      <w:r>
        <w:rPr>
          <w:rFonts w:hint="eastAsia" w:ascii="宋体" w:hAnsi="宋体" w:eastAsia="宋体" w:cs="宋体"/>
          <w:sz w:val="24"/>
          <w:szCs w:val="24"/>
        </w:rPr>
        <w:t>研究方法：描述性统计、相关性分析、假设检验（t－检验）、主成分分析（PCA）和 K－means 聚类分析。</w:t>
      </w:r>
    </w:p>
    <w:p w14:paraId="1C4DD4C8">
      <w:pPr>
        <w:spacing w:after="220"/>
        <w:rPr>
          <w:rFonts w:hint="eastAsia" w:ascii="宋体" w:hAnsi="宋体" w:eastAsia="宋体" w:cs="宋体"/>
          <w:sz w:val="24"/>
          <w:szCs w:val="24"/>
        </w:rPr>
      </w:pPr>
      <w:r>
        <w:rPr>
          <w:rStyle w:val="11"/>
          <w:rFonts w:hint="eastAsia"/>
        </w:rPr>
        <w:t>2．数据描述与可视化</w:t>
      </w:r>
      <w:r>
        <w:rPr>
          <w:rFonts w:hint="eastAsia" w:ascii="宋体" w:hAnsi="宋体" w:eastAsia="宋体" w:cs="宋体"/>
          <w:sz w:val="24"/>
          <w:szCs w:val="24"/>
        </w:rPr>
        <w:br w:type="textWrapping"/>
      </w:r>
      <w:r>
        <w:rPr>
          <w:rStyle w:val="12"/>
          <w:rFonts w:hint="eastAsia"/>
        </w:rPr>
        <w:t>2.1 描述性统计</w:t>
      </w:r>
    </w:p>
    <w:p w14:paraId="14B25681">
      <w:pPr>
        <w:spacing w:after="220"/>
        <w:rPr>
          <w:rFonts w:hint="eastAsia" w:ascii="宋体" w:hAnsi="宋体" w:eastAsia="宋体" w:cs="宋体"/>
          <w:sz w:val="24"/>
          <w:szCs w:val="24"/>
        </w:rPr>
      </w:pPr>
      <w:r>
        <w:rPr>
          <w:rFonts w:hint="eastAsia" w:ascii="宋体" w:hAnsi="宋体" w:eastAsia="宋体" w:cs="宋体"/>
          <w:sz w:val="24"/>
          <w:szCs w:val="24"/>
        </w:rPr>
        <w:t>首先，我们对除年份外的所有数值变量进行描述性统计，结果如下：</w:t>
      </w:r>
    </w:p>
    <w:tbl>
      <w:tblPr>
        <w:tblW w:w="10140" w:type="dxa"/>
        <w:jc w:val="center"/>
        <w:tblCellSpacing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Layout w:type="fixed"/>
        <w:tblCellMar>
          <w:top w:w="56" w:type="dxa"/>
          <w:left w:w="96" w:type="dxa"/>
          <w:bottom w:w="56" w:type="dxa"/>
          <w:right w:w="96" w:type="dxa"/>
        </w:tblCellMar>
      </w:tblPr>
      <w:tblGrid>
        <w:gridCol w:w="1797"/>
        <w:gridCol w:w="1073"/>
        <w:gridCol w:w="1662"/>
        <w:gridCol w:w="1314"/>
        <w:gridCol w:w="1542"/>
        <w:gridCol w:w="1662"/>
        <w:gridCol w:w="1090"/>
      </w:tblGrid>
      <w:tr w14:paraId="35713004">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56" w:type="dxa"/>
            <w:left w:w="96" w:type="dxa"/>
            <w:bottom w:w="56" w:type="dxa"/>
            <w:right w:w="96" w:type="dxa"/>
          </w:tblCellMar>
        </w:tblPrEx>
        <w:trPr>
          <w:trHeight w:val="0" w:hRule="atLeast"/>
          <w:tblHeader/>
          <w:tblCellSpacing w:w="15" w:type="dxa"/>
          <w:jc w:val="center"/>
        </w:trPr>
        <w:tc>
          <w:tcPr>
            <w:tcW w:w="1752" w:type="dxa"/>
            <w:tcBorders>
              <w:top w:val="single" w:color="auto" w:sz="12" w:space="0"/>
              <w:left w:val="nil"/>
              <w:bottom w:val="single" w:color="auto" w:sz="4" w:space="0"/>
              <w:right w:val="single" w:color="auto" w:sz="4" w:space="0"/>
            </w:tcBorders>
            <w:shd w:val="clear"/>
            <w:vAlign w:val="center"/>
          </w:tcPr>
          <w:p w14:paraId="0021B0BF">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指标(变量名)</w:t>
            </w:r>
          </w:p>
        </w:tc>
        <w:tc>
          <w:tcPr>
            <w:tcW w:w="1043" w:type="dxa"/>
            <w:tcBorders>
              <w:top w:val="single" w:color="auto" w:sz="12" w:space="0"/>
              <w:left w:val="nil"/>
              <w:bottom w:val="single" w:color="auto" w:sz="4" w:space="0"/>
              <w:right w:val="single" w:color="auto" w:sz="4" w:space="0"/>
            </w:tcBorders>
            <w:shd w:val="clear"/>
            <w:vAlign w:val="center"/>
          </w:tcPr>
          <w:p w14:paraId="67060F3C">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最小值</w:t>
            </w:r>
          </w:p>
          <w:p w14:paraId="1FE8F928">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(Min.)</w:t>
            </w:r>
          </w:p>
        </w:tc>
        <w:tc>
          <w:tcPr>
            <w:tcW w:w="1632" w:type="dxa"/>
            <w:tcBorders>
              <w:top w:val="single" w:color="auto" w:sz="12" w:space="0"/>
              <w:left w:val="nil"/>
              <w:bottom w:val="single" w:color="auto" w:sz="4" w:space="0"/>
              <w:right w:val="single" w:color="auto" w:sz="4" w:space="0"/>
            </w:tcBorders>
            <w:shd w:val="clear"/>
            <w:vAlign w:val="center"/>
          </w:tcPr>
          <w:p w14:paraId="6053FAC7">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第1四分位数</w:t>
            </w:r>
          </w:p>
          <w:p w14:paraId="39FD8073">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(1stQu.)</w:t>
            </w:r>
          </w:p>
        </w:tc>
        <w:tc>
          <w:tcPr>
            <w:tcW w:w="1284" w:type="dxa"/>
            <w:tcBorders>
              <w:top w:val="single" w:color="auto" w:sz="12" w:space="0"/>
              <w:left w:val="nil"/>
              <w:bottom w:val="single" w:color="auto" w:sz="4" w:space="0"/>
              <w:right w:val="single" w:color="auto" w:sz="4" w:space="0"/>
            </w:tcBorders>
            <w:shd w:val="clear"/>
            <w:vAlign w:val="center"/>
          </w:tcPr>
          <w:p w14:paraId="35E866DC">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中位数</w:t>
            </w:r>
          </w:p>
          <w:p w14:paraId="36047C15">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(Median)</w:t>
            </w:r>
          </w:p>
        </w:tc>
        <w:tc>
          <w:tcPr>
            <w:tcW w:w="1512" w:type="dxa"/>
            <w:tcBorders>
              <w:top w:val="single" w:color="auto" w:sz="12" w:space="0"/>
              <w:left w:val="nil"/>
              <w:bottom w:val="single" w:color="auto" w:sz="4" w:space="0"/>
              <w:right w:val="single" w:color="auto" w:sz="4" w:space="0"/>
            </w:tcBorders>
            <w:shd w:val="clear"/>
            <w:vAlign w:val="center"/>
          </w:tcPr>
          <w:p w14:paraId="0BEAE468">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均值(Mean)</w:t>
            </w:r>
          </w:p>
        </w:tc>
        <w:tc>
          <w:tcPr>
            <w:tcW w:w="1632" w:type="dxa"/>
            <w:tcBorders>
              <w:top w:val="single" w:color="auto" w:sz="12" w:space="0"/>
              <w:left w:val="nil"/>
              <w:bottom w:val="single" w:color="auto" w:sz="4" w:space="0"/>
              <w:right w:val="single" w:color="auto" w:sz="4" w:space="0"/>
            </w:tcBorders>
            <w:shd w:val="clear"/>
            <w:vAlign w:val="center"/>
          </w:tcPr>
          <w:p w14:paraId="4DD06892">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第3四分位数</w:t>
            </w:r>
          </w:p>
          <w:p w14:paraId="10302511">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(3rdQu.)</w:t>
            </w:r>
          </w:p>
        </w:tc>
        <w:tc>
          <w:tcPr>
            <w:tcW w:w="1045" w:type="dxa"/>
            <w:tcBorders>
              <w:top w:val="single" w:color="auto" w:sz="12" w:space="0"/>
              <w:left w:val="nil"/>
              <w:bottom w:val="single" w:color="auto" w:sz="4" w:space="0"/>
              <w:right w:val="single" w:color="auto" w:sz="12" w:space="0"/>
            </w:tcBorders>
            <w:shd w:val="clear"/>
            <w:vAlign w:val="center"/>
          </w:tcPr>
          <w:p w14:paraId="59F6E6CF">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最大值</w:t>
            </w:r>
          </w:p>
          <w:p w14:paraId="57F329FF">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(Max.)</w:t>
            </w:r>
          </w:p>
        </w:tc>
      </w:tr>
      <w:tr w14:paraId="2EBFB8A2">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56" w:type="dxa"/>
            <w:left w:w="96" w:type="dxa"/>
            <w:bottom w:w="56" w:type="dxa"/>
            <w:right w:w="96" w:type="dxa"/>
          </w:tblCellMar>
        </w:tblPrEx>
        <w:trPr>
          <w:trHeight w:val="0" w:hRule="atLeast"/>
          <w:tblCellSpacing w:w="15" w:type="dxa"/>
          <w:jc w:val="center"/>
        </w:trPr>
        <w:tc>
          <w:tcPr>
            <w:tcW w:w="1752" w:type="dxa"/>
            <w:tcBorders>
              <w:top w:val="nil"/>
              <w:left w:val="single" w:color="auto" w:sz="12" w:space="0"/>
              <w:bottom w:val="single" w:color="auto" w:sz="4" w:space="0"/>
              <w:right w:val="single" w:color="auto" w:sz="4" w:space="0"/>
            </w:tcBorders>
            <w:shd w:val="clear"/>
            <w:vAlign w:val="center"/>
          </w:tcPr>
          <w:p w14:paraId="48D1B593">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Y_Consume (人均消费)</w:t>
            </w:r>
          </w:p>
        </w:tc>
        <w:tc>
          <w:tcPr>
            <w:tcW w:w="1043" w:type="dxa"/>
            <w:tcBorders>
              <w:top w:val="nil"/>
              <w:left w:val="nil"/>
              <w:bottom w:val="single" w:color="auto" w:sz="4" w:space="0"/>
              <w:right w:val="single" w:color="auto" w:sz="4" w:space="0"/>
            </w:tcBorders>
            <w:shd w:val="clear"/>
            <w:vAlign w:val="center"/>
          </w:tcPr>
          <w:p w14:paraId="4F74BB42">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6592</w:t>
            </w:r>
          </w:p>
        </w:tc>
        <w:tc>
          <w:tcPr>
            <w:tcW w:w="1632" w:type="dxa"/>
            <w:tcBorders>
              <w:top w:val="nil"/>
              <w:left w:val="nil"/>
              <w:bottom w:val="single" w:color="auto" w:sz="4" w:space="0"/>
              <w:right w:val="single" w:color="auto" w:sz="4" w:space="0"/>
            </w:tcBorders>
            <w:shd w:val="clear"/>
            <w:vAlign w:val="center"/>
          </w:tcPr>
          <w:p w14:paraId="61159617">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11128</w:t>
            </w:r>
          </w:p>
        </w:tc>
        <w:tc>
          <w:tcPr>
            <w:tcW w:w="1284" w:type="dxa"/>
            <w:tcBorders>
              <w:top w:val="nil"/>
              <w:left w:val="nil"/>
              <w:bottom w:val="single" w:color="auto" w:sz="4" w:space="0"/>
              <w:right w:val="single" w:color="auto" w:sz="4" w:space="0"/>
            </w:tcBorders>
            <w:shd w:val="clear"/>
            <w:vAlign w:val="center"/>
          </w:tcPr>
          <w:p w14:paraId="026BC9E7">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16412</w:t>
            </w:r>
          </w:p>
        </w:tc>
        <w:tc>
          <w:tcPr>
            <w:tcW w:w="1512" w:type="dxa"/>
            <w:tcBorders>
              <w:top w:val="nil"/>
              <w:left w:val="nil"/>
              <w:bottom w:val="single" w:color="auto" w:sz="4" w:space="0"/>
              <w:right w:val="single" w:color="auto" w:sz="4" w:space="0"/>
            </w:tcBorders>
            <w:shd w:val="clear"/>
            <w:vAlign w:val="center"/>
          </w:tcPr>
          <w:p w14:paraId="273291BF">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16662</w:t>
            </w:r>
          </w:p>
        </w:tc>
        <w:tc>
          <w:tcPr>
            <w:tcW w:w="1632" w:type="dxa"/>
            <w:tcBorders>
              <w:top w:val="nil"/>
              <w:left w:val="nil"/>
              <w:bottom w:val="single" w:color="auto" w:sz="4" w:space="0"/>
              <w:right w:val="single" w:color="auto" w:sz="4" w:space="0"/>
            </w:tcBorders>
            <w:shd w:val="clear"/>
            <w:vAlign w:val="center"/>
          </w:tcPr>
          <w:p w14:paraId="58DA2C71">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21472</w:t>
            </w:r>
          </w:p>
        </w:tc>
        <w:tc>
          <w:tcPr>
            <w:tcW w:w="1045" w:type="dxa"/>
            <w:tcBorders>
              <w:top w:val="nil"/>
              <w:left w:val="nil"/>
              <w:bottom w:val="single" w:color="auto" w:sz="4" w:space="0"/>
              <w:right w:val="single" w:color="auto" w:sz="12" w:space="0"/>
            </w:tcBorders>
            <w:shd w:val="clear"/>
            <w:vAlign w:val="center"/>
          </w:tcPr>
          <w:p w14:paraId="72B248A0">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28227</w:t>
            </w:r>
          </w:p>
        </w:tc>
      </w:tr>
      <w:tr w14:paraId="2B1472AA">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56" w:type="dxa"/>
            <w:left w:w="96" w:type="dxa"/>
            <w:bottom w:w="56" w:type="dxa"/>
            <w:right w:w="96" w:type="dxa"/>
          </w:tblCellMar>
        </w:tblPrEx>
        <w:trPr>
          <w:trHeight w:val="0" w:hRule="atLeast"/>
          <w:tblCellSpacing w:w="15" w:type="dxa"/>
          <w:jc w:val="center"/>
        </w:trPr>
        <w:tc>
          <w:tcPr>
            <w:tcW w:w="1752" w:type="dxa"/>
            <w:tcBorders>
              <w:top w:val="nil"/>
              <w:left w:val="single" w:color="auto" w:sz="12" w:space="0"/>
              <w:bottom w:val="single" w:color="auto" w:sz="4" w:space="0"/>
              <w:right w:val="single" w:color="auto" w:sz="4" w:space="0"/>
            </w:tcBorders>
            <w:shd w:val="clear"/>
            <w:vAlign w:val="center"/>
          </w:tcPr>
          <w:p w14:paraId="182459CB">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X1_Income (人均收入)</w:t>
            </w:r>
          </w:p>
        </w:tc>
        <w:tc>
          <w:tcPr>
            <w:tcW w:w="1043" w:type="dxa"/>
            <w:tcBorders>
              <w:top w:val="nil"/>
              <w:left w:val="nil"/>
              <w:bottom w:val="single" w:color="auto" w:sz="4" w:space="0"/>
              <w:right w:val="single" w:color="auto" w:sz="4" w:space="0"/>
            </w:tcBorders>
            <w:shd w:val="clear"/>
            <w:vAlign w:val="center"/>
          </w:tcPr>
          <w:p w14:paraId="29C7B46F">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8584</w:t>
            </w:r>
          </w:p>
        </w:tc>
        <w:tc>
          <w:tcPr>
            <w:tcW w:w="1632" w:type="dxa"/>
            <w:tcBorders>
              <w:top w:val="nil"/>
              <w:left w:val="nil"/>
              <w:bottom w:val="single" w:color="auto" w:sz="4" w:space="0"/>
              <w:right w:val="single" w:color="auto" w:sz="4" w:space="0"/>
            </w:tcBorders>
            <w:shd w:val="clear"/>
            <w:vAlign w:val="center"/>
          </w:tcPr>
          <w:p w14:paraId="77BAA26C">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15041</w:t>
            </w:r>
          </w:p>
        </w:tc>
        <w:tc>
          <w:tcPr>
            <w:tcW w:w="1284" w:type="dxa"/>
            <w:tcBorders>
              <w:top w:val="nil"/>
              <w:left w:val="nil"/>
              <w:bottom w:val="single" w:color="auto" w:sz="4" w:space="0"/>
              <w:right w:val="single" w:color="auto" w:sz="4" w:space="0"/>
            </w:tcBorders>
            <w:shd w:val="clear"/>
            <w:vAlign w:val="center"/>
          </w:tcPr>
          <w:p w14:paraId="4342C4A7">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22894</w:t>
            </w:r>
          </w:p>
        </w:tc>
        <w:tc>
          <w:tcPr>
            <w:tcW w:w="1512" w:type="dxa"/>
            <w:tcBorders>
              <w:top w:val="nil"/>
              <w:left w:val="nil"/>
              <w:bottom w:val="single" w:color="auto" w:sz="4" w:space="0"/>
              <w:right w:val="single" w:color="auto" w:sz="4" w:space="0"/>
            </w:tcBorders>
            <w:shd w:val="clear"/>
            <w:vAlign w:val="center"/>
          </w:tcPr>
          <w:p w14:paraId="097DDCD5">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23724</w:t>
            </w:r>
          </w:p>
        </w:tc>
        <w:tc>
          <w:tcPr>
            <w:tcW w:w="1632" w:type="dxa"/>
            <w:tcBorders>
              <w:top w:val="nil"/>
              <w:left w:val="nil"/>
              <w:bottom w:val="single" w:color="auto" w:sz="4" w:space="0"/>
              <w:right w:val="single" w:color="auto" w:sz="4" w:space="0"/>
            </w:tcBorders>
            <w:shd w:val="clear"/>
            <w:vAlign w:val="center"/>
          </w:tcPr>
          <w:p w14:paraId="59A8D8D9">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31825</w:t>
            </w:r>
          </w:p>
        </w:tc>
        <w:tc>
          <w:tcPr>
            <w:tcW w:w="1045" w:type="dxa"/>
            <w:tcBorders>
              <w:top w:val="nil"/>
              <w:left w:val="nil"/>
              <w:bottom w:val="single" w:color="auto" w:sz="4" w:space="0"/>
              <w:right w:val="single" w:color="auto" w:sz="12" w:space="0"/>
            </w:tcBorders>
            <w:shd w:val="clear"/>
            <w:vAlign w:val="center"/>
          </w:tcPr>
          <w:p w14:paraId="288B12CD">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41314</w:t>
            </w:r>
          </w:p>
        </w:tc>
      </w:tr>
      <w:tr w14:paraId="4781A1AF">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56" w:type="dxa"/>
            <w:left w:w="96" w:type="dxa"/>
            <w:bottom w:w="56" w:type="dxa"/>
            <w:right w:w="96" w:type="dxa"/>
          </w:tblCellMar>
        </w:tblPrEx>
        <w:trPr>
          <w:trHeight w:val="0" w:hRule="atLeast"/>
          <w:tblCellSpacing w:w="15" w:type="dxa"/>
          <w:jc w:val="center"/>
        </w:trPr>
        <w:tc>
          <w:tcPr>
            <w:tcW w:w="1752" w:type="dxa"/>
            <w:tcBorders>
              <w:top w:val="nil"/>
              <w:left w:val="single" w:color="auto" w:sz="12" w:space="0"/>
              <w:bottom w:val="single" w:color="auto" w:sz="4" w:space="0"/>
              <w:right w:val="single" w:color="auto" w:sz="4" w:space="0"/>
            </w:tcBorders>
            <w:shd w:val="clear"/>
            <w:vAlign w:val="center"/>
          </w:tcPr>
          <w:p w14:paraId="70ECDDAC">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X2_CPI (物价指数)</w:t>
            </w:r>
          </w:p>
        </w:tc>
        <w:tc>
          <w:tcPr>
            <w:tcW w:w="1043" w:type="dxa"/>
            <w:tcBorders>
              <w:top w:val="nil"/>
              <w:left w:val="nil"/>
              <w:bottom w:val="single" w:color="auto" w:sz="4" w:space="0"/>
              <w:right w:val="single" w:color="auto" w:sz="4" w:space="0"/>
            </w:tcBorders>
            <w:shd w:val="clear"/>
            <w:vAlign w:val="center"/>
          </w:tcPr>
          <w:p w14:paraId="4C5B2E1B">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99.3</w:t>
            </w:r>
          </w:p>
        </w:tc>
        <w:tc>
          <w:tcPr>
            <w:tcW w:w="1632" w:type="dxa"/>
            <w:tcBorders>
              <w:top w:val="nil"/>
              <w:left w:val="nil"/>
              <w:bottom w:val="single" w:color="auto" w:sz="4" w:space="0"/>
              <w:right w:val="single" w:color="auto" w:sz="4" w:space="0"/>
            </w:tcBorders>
            <w:shd w:val="clear"/>
            <w:vAlign w:val="center"/>
          </w:tcPr>
          <w:p w14:paraId="368061E8">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101.5</w:t>
            </w:r>
          </w:p>
        </w:tc>
        <w:tc>
          <w:tcPr>
            <w:tcW w:w="1284" w:type="dxa"/>
            <w:tcBorders>
              <w:top w:val="nil"/>
              <w:left w:val="nil"/>
              <w:bottom w:val="single" w:color="auto" w:sz="4" w:space="0"/>
              <w:right w:val="single" w:color="auto" w:sz="4" w:space="0"/>
            </w:tcBorders>
            <w:shd w:val="clear"/>
            <w:vAlign w:val="center"/>
          </w:tcPr>
          <w:p w14:paraId="2E642AA1">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102.0</w:t>
            </w:r>
          </w:p>
        </w:tc>
        <w:tc>
          <w:tcPr>
            <w:tcW w:w="1512" w:type="dxa"/>
            <w:tcBorders>
              <w:top w:val="nil"/>
              <w:left w:val="nil"/>
              <w:bottom w:val="single" w:color="auto" w:sz="4" w:space="0"/>
              <w:right w:val="single" w:color="auto" w:sz="4" w:space="0"/>
            </w:tcBorders>
            <w:shd w:val="clear"/>
            <w:vAlign w:val="center"/>
          </w:tcPr>
          <w:p w14:paraId="47E2AE28">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102.3</w:t>
            </w:r>
          </w:p>
        </w:tc>
        <w:tc>
          <w:tcPr>
            <w:tcW w:w="1632" w:type="dxa"/>
            <w:tcBorders>
              <w:top w:val="nil"/>
              <w:left w:val="nil"/>
              <w:bottom w:val="single" w:color="auto" w:sz="4" w:space="0"/>
              <w:right w:val="single" w:color="auto" w:sz="4" w:space="0"/>
            </w:tcBorders>
            <w:shd w:val="clear"/>
            <w:vAlign w:val="center"/>
          </w:tcPr>
          <w:p w14:paraId="4E86B1E5">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102.8</w:t>
            </w:r>
          </w:p>
        </w:tc>
        <w:tc>
          <w:tcPr>
            <w:tcW w:w="1045" w:type="dxa"/>
            <w:tcBorders>
              <w:top w:val="nil"/>
              <w:left w:val="nil"/>
              <w:bottom w:val="single" w:color="auto" w:sz="4" w:space="0"/>
              <w:right w:val="single" w:color="auto" w:sz="12" w:space="0"/>
            </w:tcBorders>
            <w:shd w:val="clear"/>
            <w:vAlign w:val="center"/>
          </w:tcPr>
          <w:p w14:paraId="4DE1BCF9">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105.9</w:t>
            </w:r>
          </w:p>
        </w:tc>
      </w:tr>
      <w:tr w14:paraId="7034120C">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56" w:type="dxa"/>
            <w:left w:w="96" w:type="dxa"/>
            <w:bottom w:w="56" w:type="dxa"/>
            <w:right w:w="96" w:type="dxa"/>
          </w:tblCellMar>
        </w:tblPrEx>
        <w:trPr>
          <w:trHeight w:val="0" w:hRule="atLeast"/>
          <w:tblCellSpacing w:w="15" w:type="dxa"/>
          <w:jc w:val="center"/>
        </w:trPr>
        <w:tc>
          <w:tcPr>
            <w:tcW w:w="1752" w:type="dxa"/>
            <w:tcBorders>
              <w:top w:val="nil"/>
              <w:left w:val="single" w:color="auto" w:sz="12" w:space="0"/>
              <w:bottom w:val="single" w:color="auto" w:sz="12" w:space="0"/>
              <w:right w:val="single" w:color="auto" w:sz="4" w:space="0"/>
            </w:tcBorders>
            <w:shd w:val="clear"/>
            <w:vAlign w:val="center"/>
          </w:tcPr>
          <w:p w14:paraId="0A61192A">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X3_Social (社保支出)</w:t>
            </w:r>
          </w:p>
        </w:tc>
        <w:tc>
          <w:tcPr>
            <w:tcW w:w="1043" w:type="dxa"/>
            <w:tcBorders>
              <w:top w:val="nil"/>
              <w:left w:val="nil"/>
              <w:bottom w:val="single" w:color="auto" w:sz="12" w:space="0"/>
              <w:right w:val="single" w:color="auto" w:sz="4" w:space="0"/>
            </w:tcBorders>
            <w:shd w:val="clear"/>
            <w:vAlign w:val="center"/>
          </w:tcPr>
          <w:p w14:paraId="453B6D9D">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5447</w:t>
            </w:r>
          </w:p>
        </w:tc>
        <w:tc>
          <w:tcPr>
            <w:tcW w:w="1632" w:type="dxa"/>
            <w:tcBorders>
              <w:top w:val="nil"/>
              <w:left w:val="nil"/>
              <w:bottom w:val="single" w:color="auto" w:sz="12" w:space="0"/>
              <w:right w:val="single" w:color="auto" w:sz="4" w:space="0"/>
            </w:tcBorders>
            <w:shd w:val="clear"/>
            <w:vAlign w:val="center"/>
          </w:tcPr>
          <w:p w14:paraId="2CE0ACCD">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11478</w:t>
            </w:r>
          </w:p>
        </w:tc>
        <w:tc>
          <w:tcPr>
            <w:tcW w:w="1284" w:type="dxa"/>
            <w:tcBorders>
              <w:top w:val="nil"/>
              <w:left w:val="nil"/>
              <w:bottom w:val="single" w:color="auto" w:sz="12" w:space="0"/>
              <w:right w:val="single" w:color="auto" w:sz="4" w:space="0"/>
            </w:tcBorders>
            <w:shd w:val="clear"/>
            <w:vAlign w:val="center"/>
          </w:tcPr>
          <w:p w14:paraId="0BDD20FC">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20305</w:t>
            </w:r>
          </w:p>
        </w:tc>
        <w:tc>
          <w:tcPr>
            <w:tcW w:w="1512" w:type="dxa"/>
            <w:tcBorders>
              <w:top w:val="nil"/>
              <w:left w:val="nil"/>
              <w:bottom w:val="single" w:color="auto" w:sz="12" w:space="0"/>
              <w:right w:val="single" w:color="auto" w:sz="4" w:space="0"/>
            </w:tcBorders>
            <w:shd w:val="clear"/>
            <w:vAlign w:val="center"/>
          </w:tcPr>
          <w:p w14:paraId="0C04ABBE">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21651</w:t>
            </w:r>
          </w:p>
        </w:tc>
        <w:tc>
          <w:tcPr>
            <w:tcW w:w="1632" w:type="dxa"/>
            <w:tcBorders>
              <w:top w:val="nil"/>
              <w:left w:val="nil"/>
              <w:bottom w:val="single" w:color="auto" w:sz="12" w:space="0"/>
              <w:right w:val="single" w:color="auto" w:sz="4" w:space="0"/>
            </w:tcBorders>
            <w:shd w:val="clear"/>
            <w:vAlign w:val="center"/>
          </w:tcPr>
          <w:p w14:paraId="325C75C5">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31771</w:t>
            </w:r>
          </w:p>
        </w:tc>
        <w:tc>
          <w:tcPr>
            <w:tcW w:w="1045" w:type="dxa"/>
            <w:tcBorders>
              <w:top w:val="nil"/>
              <w:left w:val="nil"/>
              <w:bottom w:val="single" w:color="auto" w:sz="12" w:space="0"/>
              <w:right w:val="single" w:color="auto" w:sz="12" w:space="0"/>
            </w:tcBorders>
            <w:shd w:val="clear"/>
            <w:vAlign w:val="center"/>
          </w:tcPr>
          <w:p w14:paraId="44F5DA10">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42114</w:t>
            </w:r>
          </w:p>
        </w:tc>
      </w:tr>
    </w:tbl>
    <w:p w14:paraId="4E8E01CA">
      <w:pPr>
        <w:rPr>
          <w:rFonts w:hint="eastAsia" w:ascii="宋体" w:hAnsi="宋体" w:eastAsia="宋体" w:cs="宋体"/>
          <w:sz w:val="24"/>
          <w:szCs w:val="24"/>
        </w:rPr>
      </w:pPr>
    </w:p>
    <w:p w14:paraId="52E4409E">
      <w:pPr>
        <w:spacing w:after="220"/>
        <w:rPr>
          <w:rFonts w:hint="eastAsia" w:ascii="宋体" w:hAnsi="宋体" w:eastAsia="宋体" w:cs="宋体"/>
          <w:sz w:val="24"/>
          <w:szCs w:val="24"/>
        </w:rPr>
      </w:pPr>
      <w:r>
        <w:rPr>
          <w:rFonts w:hint="eastAsia" w:ascii="宋体" w:hAnsi="宋体" w:eastAsia="宋体" w:cs="宋体"/>
          <w:sz w:val="24"/>
          <w:szCs w:val="24"/>
        </w:rPr>
        <w:t>分析：从上表可见，人均消费支出、人均可支配收入 和 社保就业支出 的均值（Mean）和中位数 （Median）均远大于最小值（Min）并小于最大值（Max），且标准差（未显示，但可从极差看出）较大，反映了这些经济变量在 2007－2024 年间经历了显著的增长。CPI 均值为 102.34 ，在 100 附近小幅波动，符合通货膨胀的宏观表现。</w:t>
      </w:r>
    </w:p>
    <w:p w14:paraId="660698E3">
      <w:pPr>
        <w:pStyle w:val="3"/>
        <w:bidi w:val="0"/>
        <w:rPr>
          <w:rFonts w:hint="eastAsia" w:ascii="宋体" w:hAnsi="宋体" w:eastAsia="宋体" w:cs="宋体"/>
          <w:szCs w:val="24"/>
        </w:rPr>
      </w:pPr>
      <w:r>
        <w:rPr>
          <w:rFonts w:hint="eastAsia" w:ascii="宋体" w:hAnsi="宋体" w:eastAsia="宋体" w:cs="宋体"/>
          <w:szCs w:val="24"/>
        </w:rPr>
        <w:br w:type="textWrapping"/>
      </w:r>
      <w:r>
        <w:rPr>
          <w:rFonts w:hint="eastAsia"/>
        </w:rPr>
        <w:t>2.2 变量可</w:t>
      </w:r>
      <w:r>
        <w:rPr>
          <w:rFonts w:hint="eastAsia"/>
          <w:lang w:val="en-US" w:eastAsia="zh-CN"/>
        </w:rPr>
        <w:t>视</w:t>
      </w:r>
      <w:r>
        <w:rPr>
          <w:rFonts w:hint="eastAsia"/>
        </w:rPr>
        <w:t>化</w:t>
      </w:r>
    </w:p>
    <w:p w14:paraId="5B471835">
      <w:pPr>
        <w:spacing w:after="220"/>
        <w:rPr>
          <w:rFonts w:hint="eastAsia" w:ascii="宋体" w:hAnsi="宋体" w:eastAsia="宋体" w:cs="宋体"/>
          <w:sz w:val="24"/>
          <w:szCs w:val="24"/>
          <w:lang w:val="en-US" w:eastAsia="zh-CN"/>
        </w:rPr>
      </w:pPr>
      <w:r>
        <w:rPr>
          <w:rFonts w:hint="eastAsia" w:ascii="宋体" w:hAnsi="宋体" w:eastAsia="宋体" w:cs="宋体"/>
          <w:sz w:val="24"/>
          <w:szCs w:val="24"/>
        </w:rPr>
        <w:t>图1：居民人均收入与消费支出</w:t>
      </w:r>
      <w:r>
        <w:rPr>
          <w:rFonts w:hint="eastAsia" w:ascii="宋体" w:hAnsi="宋体" w:eastAsia="宋体" w:cs="宋体"/>
          <w:sz w:val="24"/>
          <w:szCs w:val="24"/>
          <w:lang w:val="en-US" w:eastAsia="zh-CN"/>
        </w:rPr>
        <w:t>趋势</w:t>
      </w:r>
    </w:p>
    <w:p w14:paraId="49BFA25F">
      <w:pPr>
        <w:spacing w:after="2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83860" cy="3345815"/>
            <wp:effectExtent l="0" t="0" r="2540" b="6985"/>
            <wp:docPr id="2" name="图片 2" descr="f898ec96-2bb0-41e6-927a-f92f41858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898ec96-2bb0-41e6-927a-f92f4185885d"/>
                    <pic:cNvPicPr>
                      <a:picLocks noChangeAspect="1"/>
                    </pic:cNvPicPr>
                  </pic:nvPicPr>
                  <pic:blipFill>
                    <a:blip r:embed="rId6"/>
                    <a:stretch>
                      <a:fillRect/>
                    </a:stretch>
                  </pic:blipFill>
                  <pic:spPr>
                    <a:xfrm>
                      <a:off x="0" y="0"/>
                      <a:ext cx="5483860" cy="3345815"/>
                    </a:xfrm>
                    <a:prstGeom prst="rect">
                      <a:avLst/>
                    </a:prstGeom>
                  </pic:spPr>
                </pic:pic>
              </a:graphicData>
            </a:graphic>
          </wp:inline>
        </w:drawing>
      </w:r>
      <w:r>
        <w:rPr>
          <w:rFonts w:hint="eastAsia" w:ascii="宋体" w:hAnsi="宋体" w:eastAsia="宋体" w:cs="宋体"/>
          <w:sz w:val="24"/>
          <w:szCs w:val="24"/>
        </w:rPr>
        <w:br w:type="textWrapping"/>
      </w:r>
      <w:r>
        <w:rPr>
          <w:rFonts w:hint="eastAsia" w:ascii="宋体" w:hAnsi="宋体" w:eastAsia="宋体" w:cs="宋体"/>
          <w:sz w:val="24"/>
          <w:szCs w:val="24"/>
        </w:rPr>
        <w:t>分析：如图1所示，人均消费支出（红色）和 人均可支配收入（蓝色）在2007－2024年间呈现出高度一致的增长趋势。人均可支配收入 始终位于 人均消费支出 上方，表明收入是消费的刚性约束，两者的差距（即储蓄）也在同步扩大。</w:t>
      </w:r>
    </w:p>
    <w:p w14:paraId="0951CB95">
      <w:pPr>
        <w:spacing w:after="220"/>
        <w:rPr>
          <w:rFonts w:hint="eastAsia" w:ascii="宋体" w:hAnsi="宋体" w:eastAsia="宋体" w:cs="宋体"/>
          <w:sz w:val="24"/>
          <w:szCs w:val="24"/>
        </w:rPr>
      </w:pPr>
      <w:r>
        <w:rPr>
          <w:rFonts w:hint="eastAsia" w:ascii="宋体" w:hAnsi="宋体" w:eastAsia="宋体" w:cs="宋体"/>
          <w:sz w:val="24"/>
          <w:szCs w:val="24"/>
        </w:rPr>
        <w:t>图2：收入与</w:t>
      </w:r>
      <w:r>
        <w:rPr>
          <w:rFonts w:hint="eastAsia" w:ascii="宋体" w:hAnsi="宋体" w:eastAsia="宋体" w:cs="宋体"/>
          <w:sz w:val="24"/>
          <w:szCs w:val="24"/>
          <w:lang w:val="en-US" w:eastAsia="zh-CN"/>
        </w:rPr>
        <w:t>消费</w:t>
      </w:r>
      <w:r>
        <w:rPr>
          <w:rFonts w:hint="eastAsia" w:ascii="宋体" w:hAnsi="宋体" w:eastAsia="宋体" w:cs="宋体"/>
          <w:sz w:val="24"/>
          <w:szCs w:val="24"/>
        </w:rPr>
        <w:t>散点图</w:t>
      </w:r>
    </w:p>
    <w:p w14:paraId="2348E47A">
      <w:pPr>
        <w:spacing w:after="2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83860" cy="3345815"/>
            <wp:effectExtent l="0" t="0" r="2540" b="6985"/>
            <wp:docPr id="3" name="图片 3" descr="50dc1874-662a-4c8a-9657-54bad7be5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0dc1874-662a-4c8a-9657-54bad7be5279"/>
                    <pic:cNvPicPr>
                      <a:picLocks noChangeAspect="1"/>
                    </pic:cNvPicPr>
                  </pic:nvPicPr>
                  <pic:blipFill>
                    <a:blip r:embed="rId7"/>
                    <a:stretch>
                      <a:fillRect/>
                    </a:stretch>
                  </pic:blipFill>
                  <pic:spPr>
                    <a:xfrm>
                      <a:off x="0" y="0"/>
                      <a:ext cx="5483860" cy="3345815"/>
                    </a:xfrm>
                    <a:prstGeom prst="rect">
                      <a:avLst/>
                    </a:prstGeom>
                  </pic:spPr>
                </pic:pic>
              </a:graphicData>
            </a:graphic>
          </wp:inline>
        </w:drawing>
      </w:r>
      <w:r>
        <w:rPr>
          <w:rFonts w:hint="eastAsia" w:ascii="宋体" w:hAnsi="宋体" w:eastAsia="宋体" w:cs="宋体"/>
          <w:sz w:val="24"/>
          <w:szCs w:val="24"/>
        </w:rPr>
        <w:br w:type="textWrapping"/>
      </w:r>
      <w:r>
        <w:rPr>
          <w:rFonts w:hint="eastAsia" w:ascii="宋体" w:hAnsi="宋体" w:eastAsia="宋体" w:cs="宋体"/>
          <w:sz w:val="24"/>
          <w:szCs w:val="24"/>
        </w:rPr>
        <w:t xml:space="preserve">分析：图2 进一步验证了图1的观察。人均可支配收入（ </w:t>
      </w:r>
      <m:oMath>
        <m:r>
          <m:rPr/>
          <w:rPr>
            <w:rFonts w:hint="eastAsia" w:ascii="Cambria Math" w:hAnsi="Cambria Math" w:eastAsia="宋体" w:cs="宋体"/>
            <w:sz w:val="24"/>
            <w:szCs w:val="24"/>
          </w:rPr>
          <m:t>X</m:t>
        </m:r>
      </m:oMath>
      <w:r>
        <w:rPr>
          <w:rFonts w:hint="eastAsia" w:ascii="宋体" w:hAnsi="宋体" w:eastAsia="宋体" w:cs="宋体"/>
          <w:sz w:val="24"/>
          <w:szCs w:val="24"/>
        </w:rPr>
        <w:t xml:space="preserve"> 轴）与 人均消费支出（ </w:t>
      </w:r>
      <m:oMath>
        <m:r>
          <m:rPr/>
          <w:rPr>
            <w:rFonts w:hint="eastAsia" w:ascii="Cambria Math" w:hAnsi="Cambria Math" w:eastAsia="宋体" w:cs="宋体"/>
            <w:sz w:val="24"/>
            <w:szCs w:val="24"/>
          </w:rPr>
          <m:t>Y</m:t>
        </m:r>
      </m:oMath>
      <w:r>
        <w:rPr>
          <w:rFonts w:hint="eastAsia" w:ascii="宋体" w:hAnsi="宋体" w:eastAsia="宋体" w:cs="宋体"/>
          <w:sz w:val="24"/>
          <w:szCs w:val="24"/>
        </w:rPr>
        <w:t xml:space="preserve"> 轴）的 18 个数据点 （代表18个年份）高度集中在一条直线上，呈现出近乎完美的线性正相关关系。这为后续的回归和相关性分析提供了强有力的直观支持。</w:t>
      </w:r>
    </w:p>
    <w:p w14:paraId="0EDF924E">
      <w:pPr>
        <w:spacing w:after="220"/>
        <w:rPr>
          <w:rFonts w:hint="eastAsia" w:ascii="宋体" w:hAnsi="宋体" w:eastAsia="宋体" w:cs="宋体"/>
          <w:sz w:val="24"/>
          <w:szCs w:val="24"/>
        </w:rPr>
      </w:pPr>
      <w:r>
        <w:rPr>
          <w:rFonts w:hint="eastAsia" w:ascii="宋体" w:hAnsi="宋体" w:eastAsia="宋体" w:cs="宋体"/>
          <w:sz w:val="24"/>
          <w:szCs w:val="24"/>
        </w:rPr>
        <w:t>图3：其他宏观因素趋势</w:t>
      </w:r>
    </w:p>
    <w:p w14:paraId="1377FDC1">
      <w:pPr>
        <w:spacing w:after="2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83860" cy="3345815"/>
            <wp:effectExtent l="0" t="0" r="2540" b="6985"/>
            <wp:docPr id="5" name="图片 5" descr="5608a76e-f5db-488e-923d-6c02bedda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608a76e-f5db-488e-923d-6c02bedda996"/>
                    <pic:cNvPicPr>
                      <a:picLocks noChangeAspect="1"/>
                    </pic:cNvPicPr>
                  </pic:nvPicPr>
                  <pic:blipFill>
                    <a:blip r:embed="rId8"/>
                    <a:stretch>
                      <a:fillRect/>
                    </a:stretch>
                  </pic:blipFill>
                  <pic:spPr>
                    <a:xfrm>
                      <a:off x="0" y="0"/>
                      <a:ext cx="5483860" cy="3345815"/>
                    </a:xfrm>
                    <a:prstGeom prst="rect">
                      <a:avLst/>
                    </a:prstGeom>
                  </pic:spPr>
                </pic:pic>
              </a:graphicData>
            </a:graphic>
          </wp:inline>
        </w:drawing>
      </w:r>
    </w:p>
    <w:p w14:paraId="03C0A73E">
      <w:pPr>
        <w:spacing w:after="2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83860" cy="3345815"/>
            <wp:effectExtent l="0" t="0" r="2540" b="6985"/>
            <wp:docPr id="6" name="图片 6" descr="7395a3e8-8307-474c-b1e1-039e3591c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395a3e8-8307-474c-b1e1-039e3591ca17"/>
                    <pic:cNvPicPr>
                      <a:picLocks noChangeAspect="1"/>
                    </pic:cNvPicPr>
                  </pic:nvPicPr>
                  <pic:blipFill>
                    <a:blip r:embed="rId9"/>
                    <a:stretch>
                      <a:fillRect/>
                    </a:stretch>
                  </pic:blipFill>
                  <pic:spPr>
                    <a:xfrm>
                      <a:off x="0" y="0"/>
                      <a:ext cx="5483860" cy="3345815"/>
                    </a:xfrm>
                    <a:prstGeom prst="rect">
                      <a:avLst/>
                    </a:prstGeom>
                  </pic:spPr>
                </pic:pic>
              </a:graphicData>
            </a:graphic>
          </wp:inline>
        </w:drawing>
      </w:r>
      <w:r>
        <w:rPr>
          <w:rFonts w:hint="eastAsia" w:ascii="宋体" w:hAnsi="宋体" w:eastAsia="宋体" w:cs="宋体"/>
          <w:sz w:val="24"/>
          <w:szCs w:val="24"/>
        </w:rPr>
        <w:br w:type="textWrapping"/>
      </w:r>
      <w:r>
        <w:rPr>
          <w:rFonts w:hint="eastAsia" w:ascii="宋体" w:hAnsi="宋体" w:eastAsia="宋体" w:cs="宋体"/>
          <w:sz w:val="24"/>
          <w:szCs w:val="24"/>
        </w:rPr>
        <w:t>分析：图3</w:t>
      </w:r>
      <w:r>
        <w:rPr>
          <w:rFonts w:hint="eastAsia" w:ascii="宋体" w:hAnsi="宋体" w:eastAsia="宋体" w:cs="宋体"/>
          <w:sz w:val="24"/>
          <w:szCs w:val="24"/>
          <w:lang w:val="en-US" w:eastAsia="zh-CN"/>
        </w:rPr>
        <w:t>a</w:t>
      </w:r>
      <w:r>
        <w:rPr>
          <w:rFonts w:hint="eastAsia" w:ascii="宋体" w:hAnsi="宋体" w:eastAsia="宋体" w:cs="宋体"/>
          <w:sz w:val="24"/>
          <w:szCs w:val="24"/>
        </w:rPr>
        <w:t>显示，CPI（上年＝100）在研究期间围绕100－106的区间波动，其中2008年和 2011年为通胀高点，而2009年则低于100（通缩）。图</w:t>
      </w:r>
      <w:r>
        <w:rPr>
          <w:rFonts w:hint="eastAsia" w:ascii="宋体" w:hAnsi="宋体" w:eastAsia="宋体" w:cs="宋体"/>
          <w:sz w:val="24"/>
          <w:szCs w:val="24"/>
          <w:lang w:val="en-US" w:eastAsia="zh-CN"/>
        </w:rPr>
        <w:t>3b</w:t>
      </w:r>
      <w:r>
        <w:rPr>
          <w:rFonts w:hint="eastAsia" w:ascii="宋体" w:hAnsi="宋体" w:eastAsia="宋体" w:cs="宋体"/>
          <w:sz w:val="24"/>
          <w:szCs w:val="24"/>
        </w:rPr>
        <w:t>显示，国家财政社会保障和就业支出呈现出与收入和消费高度一致的快速增长趋势。</w:t>
      </w:r>
    </w:p>
    <w:p w14:paraId="421188DC">
      <w:pPr>
        <w:numPr>
          <w:ilvl w:val="0"/>
          <w:numId w:val="3"/>
        </w:numPr>
        <w:spacing w:after="220"/>
        <w:rPr>
          <w:rStyle w:val="11"/>
          <w:rFonts w:hint="eastAsia"/>
        </w:rPr>
      </w:pPr>
      <w:r>
        <w:rPr>
          <w:rStyle w:val="11"/>
          <w:rFonts w:hint="eastAsia"/>
        </w:rPr>
        <w:t>数据统计分析</w:t>
      </w:r>
    </w:p>
    <w:p w14:paraId="368E89B6">
      <w:pPr>
        <w:numPr>
          <w:numId w:val="0"/>
        </w:numPr>
        <w:spacing w:after="220"/>
        <w:rPr>
          <w:rFonts w:hint="eastAsia" w:ascii="宋体" w:hAnsi="宋体" w:eastAsia="宋体" w:cs="宋体"/>
          <w:sz w:val="24"/>
          <w:szCs w:val="24"/>
        </w:rPr>
      </w:pPr>
      <w:r>
        <w:rPr>
          <w:rFonts w:hint="eastAsia" w:ascii="宋体" w:hAnsi="宋体" w:eastAsia="宋体" w:cs="宋体"/>
          <w:sz w:val="24"/>
          <w:szCs w:val="24"/>
        </w:rPr>
        <w:br w:type="textWrapping"/>
      </w:r>
      <w:r>
        <w:rPr>
          <w:rFonts w:hint="eastAsia" w:ascii="宋体" w:hAnsi="宋体" w:eastAsia="宋体" w:cs="宋体"/>
          <w:sz w:val="24"/>
          <w:szCs w:val="24"/>
        </w:rPr>
        <w:t>为了量化变量间的关系，我们计算了相关系数矩阵，结果如下：</w:t>
      </w:r>
    </w:p>
    <w:tbl>
      <w:tblPr>
        <w:tblW w:w="8856" w:type="dxa"/>
        <w:jc w:val="center"/>
        <w:tblCellSpacing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Layout w:type="fixed"/>
        <w:tblCellMar>
          <w:top w:w="56" w:type="dxa"/>
          <w:left w:w="96" w:type="dxa"/>
          <w:bottom w:w="56" w:type="dxa"/>
          <w:right w:w="96" w:type="dxa"/>
        </w:tblCellMar>
      </w:tblPr>
      <w:tblGrid>
        <w:gridCol w:w="1885"/>
        <w:gridCol w:w="1864"/>
        <w:gridCol w:w="1864"/>
        <w:gridCol w:w="1357"/>
        <w:gridCol w:w="1886"/>
      </w:tblGrid>
      <w:tr w14:paraId="7D5E16EE">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56" w:type="dxa"/>
            <w:left w:w="96" w:type="dxa"/>
            <w:bottom w:w="56" w:type="dxa"/>
            <w:right w:w="96" w:type="dxa"/>
          </w:tblCellMar>
        </w:tblPrEx>
        <w:trPr>
          <w:trHeight w:val="0" w:hRule="atLeast"/>
          <w:tblHeader/>
          <w:tblCellSpacing w:w="15" w:type="dxa"/>
          <w:jc w:val="center"/>
        </w:trPr>
        <w:tc>
          <w:tcPr>
            <w:tcW w:w="1840" w:type="dxa"/>
            <w:tcBorders>
              <w:top w:val="single" w:color="auto" w:sz="4" w:space="0"/>
              <w:left w:val="single" w:color="auto" w:sz="4" w:space="0"/>
              <w:bottom w:val="single" w:color="auto" w:sz="4" w:space="0"/>
              <w:right w:val="single" w:color="auto" w:sz="4" w:space="0"/>
            </w:tcBorders>
            <w:shd w:val="clear"/>
            <w:vAlign w:val="center"/>
          </w:tcPr>
          <w:p w14:paraId="3AF1F4AC">
            <w:pPr>
              <w:snapToGrid w:val="0"/>
              <w:jc w:val="center"/>
              <w:rPr>
                <w:rFonts w:hint="eastAsia" w:ascii="宋体" w:hAnsi="宋体" w:eastAsia="宋体" w:cs="宋体"/>
                <w:b/>
                <w:sz w:val="24"/>
                <w:szCs w:val="24"/>
                <w:lang w:eastAsia="zh-CN"/>
              </w:rPr>
            </w:pPr>
          </w:p>
        </w:tc>
        <w:tc>
          <w:tcPr>
            <w:tcW w:w="1834" w:type="dxa"/>
            <w:tcBorders>
              <w:top w:val="single" w:color="auto" w:sz="4" w:space="0"/>
              <w:left w:val="single" w:color="auto" w:sz="4" w:space="0"/>
              <w:bottom w:val="single" w:color="auto" w:sz="4" w:space="0"/>
              <w:right w:val="single" w:color="auto" w:sz="4" w:space="0"/>
            </w:tcBorders>
            <w:shd w:val="clear"/>
            <w:vAlign w:val="center"/>
          </w:tcPr>
          <w:p w14:paraId="009B96A2">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Y_Consume</w:t>
            </w:r>
          </w:p>
        </w:tc>
        <w:tc>
          <w:tcPr>
            <w:tcW w:w="1834" w:type="dxa"/>
            <w:tcBorders>
              <w:top w:val="single" w:color="auto" w:sz="4" w:space="0"/>
              <w:left w:val="single" w:color="auto" w:sz="4" w:space="0"/>
              <w:bottom w:val="single" w:color="auto" w:sz="4" w:space="0"/>
              <w:right w:val="single" w:color="auto" w:sz="4" w:space="0"/>
            </w:tcBorders>
            <w:shd w:val="clear"/>
            <w:vAlign w:val="center"/>
          </w:tcPr>
          <w:p w14:paraId="389D43EA">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X1_Income</w:t>
            </w:r>
          </w:p>
        </w:tc>
        <w:tc>
          <w:tcPr>
            <w:tcW w:w="1327" w:type="dxa"/>
            <w:tcBorders>
              <w:top w:val="single" w:color="auto" w:sz="4" w:space="0"/>
              <w:left w:val="single" w:color="auto" w:sz="4" w:space="0"/>
              <w:bottom w:val="single" w:color="auto" w:sz="4" w:space="0"/>
              <w:right w:val="single" w:color="auto" w:sz="4" w:space="0"/>
            </w:tcBorders>
            <w:shd w:val="clear"/>
            <w:vAlign w:val="center"/>
          </w:tcPr>
          <w:p w14:paraId="0F107D12">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X2_CPI</w:t>
            </w:r>
          </w:p>
        </w:tc>
        <w:tc>
          <w:tcPr>
            <w:tcW w:w="1841" w:type="dxa"/>
            <w:tcBorders>
              <w:top w:val="single" w:color="auto" w:sz="4" w:space="0"/>
              <w:left w:val="single" w:color="auto" w:sz="4" w:space="0"/>
              <w:bottom w:val="single" w:color="auto" w:sz="4" w:space="0"/>
              <w:right w:val="single" w:color="auto" w:sz="4" w:space="0"/>
            </w:tcBorders>
            <w:shd w:val="clear"/>
            <w:vAlign w:val="center"/>
          </w:tcPr>
          <w:p w14:paraId="063B751F">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X3_Social</w:t>
            </w:r>
          </w:p>
        </w:tc>
      </w:tr>
      <w:tr w14:paraId="6B07E95C">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56" w:type="dxa"/>
            <w:left w:w="96" w:type="dxa"/>
            <w:bottom w:w="56" w:type="dxa"/>
            <w:right w:w="96" w:type="dxa"/>
          </w:tblCellMar>
        </w:tblPrEx>
        <w:trPr>
          <w:trHeight w:val="0" w:hRule="atLeast"/>
          <w:tblCellSpacing w:w="15" w:type="dxa"/>
          <w:jc w:val="center"/>
        </w:trPr>
        <w:tc>
          <w:tcPr>
            <w:tcW w:w="1840" w:type="dxa"/>
            <w:tcBorders>
              <w:top w:val="single" w:color="auto" w:sz="4" w:space="0"/>
              <w:left w:val="single" w:color="auto" w:sz="4" w:space="0"/>
              <w:bottom w:val="single" w:color="auto" w:sz="4" w:space="0"/>
              <w:right w:val="single" w:color="auto" w:sz="4" w:space="0"/>
            </w:tcBorders>
            <w:shd w:val="clear"/>
            <w:vAlign w:val="center"/>
          </w:tcPr>
          <w:p w14:paraId="0830D8D5">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Y_Consume</w:t>
            </w:r>
          </w:p>
        </w:tc>
        <w:tc>
          <w:tcPr>
            <w:tcW w:w="1834" w:type="dxa"/>
            <w:tcBorders>
              <w:top w:val="single" w:color="auto" w:sz="4" w:space="0"/>
              <w:left w:val="single" w:color="auto" w:sz="4" w:space="0"/>
              <w:bottom w:val="single" w:color="auto" w:sz="4" w:space="0"/>
              <w:right w:val="single" w:color="auto" w:sz="4" w:space="0"/>
            </w:tcBorders>
            <w:shd w:val="clear"/>
            <w:vAlign w:val="center"/>
          </w:tcPr>
          <w:p w14:paraId="02BDE7BD">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1.000</w:t>
            </w:r>
          </w:p>
        </w:tc>
        <w:tc>
          <w:tcPr>
            <w:tcW w:w="1834" w:type="dxa"/>
            <w:tcBorders>
              <w:top w:val="single" w:color="auto" w:sz="4" w:space="0"/>
              <w:left w:val="single" w:color="auto" w:sz="4" w:space="0"/>
              <w:bottom w:val="single" w:color="auto" w:sz="4" w:space="0"/>
              <w:right w:val="single" w:color="auto" w:sz="4" w:space="0"/>
            </w:tcBorders>
            <w:shd w:val="clear"/>
            <w:vAlign w:val="center"/>
          </w:tcPr>
          <w:p w14:paraId="6F18B1C1">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0.999</w:t>
            </w:r>
          </w:p>
        </w:tc>
        <w:tc>
          <w:tcPr>
            <w:tcW w:w="1327" w:type="dxa"/>
            <w:tcBorders>
              <w:top w:val="single" w:color="auto" w:sz="4" w:space="0"/>
              <w:left w:val="single" w:color="auto" w:sz="4" w:space="0"/>
              <w:bottom w:val="single" w:color="auto" w:sz="4" w:space="0"/>
              <w:right w:val="single" w:color="auto" w:sz="4" w:space="0"/>
            </w:tcBorders>
            <w:shd w:val="clear"/>
            <w:vAlign w:val="center"/>
          </w:tcPr>
          <w:p w14:paraId="30C7AE56">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-0.573</w:t>
            </w:r>
          </w:p>
        </w:tc>
        <w:tc>
          <w:tcPr>
            <w:tcW w:w="1841" w:type="dxa"/>
            <w:tcBorders>
              <w:top w:val="single" w:color="auto" w:sz="4" w:space="0"/>
              <w:left w:val="single" w:color="auto" w:sz="4" w:space="0"/>
              <w:bottom w:val="single" w:color="auto" w:sz="4" w:space="0"/>
              <w:right w:val="single" w:color="auto" w:sz="4" w:space="0"/>
            </w:tcBorders>
            <w:shd w:val="clear"/>
            <w:vAlign w:val="center"/>
          </w:tcPr>
          <w:p w14:paraId="508EB3AC">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0.995</w:t>
            </w:r>
          </w:p>
        </w:tc>
      </w:tr>
      <w:tr w14:paraId="5B496EB6">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56" w:type="dxa"/>
            <w:left w:w="96" w:type="dxa"/>
            <w:bottom w:w="56" w:type="dxa"/>
            <w:right w:w="96" w:type="dxa"/>
          </w:tblCellMar>
        </w:tblPrEx>
        <w:trPr>
          <w:trHeight w:val="0" w:hRule="atLeast"/>
          <w:tblCellSpacing w:w="15" w:type="dxa"/>
          <w:jc w:val="center"/>
        </w:trPr>
        <w:tc>
          <w:tcPr>
            <w:tcW w:w="1840" w:type="dxa"/>
            <w:tcBorders>
              <w:top w:val="single" w:color="auto" w:sz="4" w:space="0"/>
              <w:left w:val="single" w:color="auto" w:sz="4" w:space="0"/>
              <w:bottom w:val="single" w:color="auto" w:sz="4" w:space="0"/>
              <w:right w:val="single" w:color="auto" w:sz="4" w:space="0"/>
            </w:tcBorders>
            <w:shd w:val="clear"/>
            <w:vAlign w:val="center"/>
          </w:tcPr>
          <w:p w14:paraId="09D35EFE">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X1_Income</w:t>
            </w:r>
          </w:p>
        </w:tc>
        <w:tc>
          <w:tcPr>
            <w:tcW w:w="1834" w:type="dxa"/>
            <w:tcBorders>
              <w:top w:val="single" w:color="auto" w:sz="4" w:space="0"/>
              <w:left w:val="single" w:color="auto" w:sz="4" w:space="0"/>
              <w:bottom w:val="single" w:color="auto" w:sz="4" w:space="0"/>
              <w:right w:val="single" w:color="auto" w:sz="4" w:space="0"/>
            </w:tcBorders>
            <w:shd w:val="clear"/>
            <w:vAlign w:val="center"/>
          </w:tcPr>
          <w:p w14:paraId="7FA62A3C">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0.999</w:t>
            </w:r>
          </w:p>
        </w:tc>
        <w:tc>
          <w:tcPr>
            <w:tcW w:w="1834" w:type="dxa"/>
            <w:tcBorders>
              <w:top w:val="single" w:color="auto" w:sz="4" w:space="0"/>
              <w:left w:val="single" w:color="auto" w:sz="4" w:space="0"/>
              <w:bottom w:val="single" w:color="auto" w:sz="4" w:space="0"/>
              <w:right w:val="single" w:color="auto" w:sz="4" w:space="0"/>
            </w:tcBorders>
            <w:shd w:val="clear"/>
            <w:vAlign w:val="center"/>
          </w:tcPr>
          <w:p w14:paraId="53F75489">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1.000</w:t>
            </w:r>
          </w:p>
        </w:tc>
        <w:tc>
          <w:tcPr>
            <w:tcW w:w="1327" w:type="dxa"/>
            <w:tcBorders>
              <w:top w:val="single" w:color="auto" w:sz="4" w:space="0"/>
              <w:left w:val="single" w:color="auto" w:sz="4" w:space="0"/>
              <w:bottom w:val="single" w:color="auto" w:sz="4" w:space="0"/>
              <w:right w:val="single" w:color="auto" w:sz="4" w:space="0"/>
            </w:tcBorders>
            <w:shd w:val="clear"/>
            <w:vAlign w:val="center"/>
          </w:tcPr>
          <w:p w14:paraId="0D274B64">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-0.563</w:t>
            </w:r>
          </w:p>
        </w:tc>
        <w:tc>
          <w:tcPr>
            <w:tcW w:w="1841" w:type="dxa"/>
            <w:tcBorders>
              <w:top w:val="single" w:color="auto" w:sz="4" w:space="0"/>
              <w:left w:val="single" w:color="auto" w:sz="4" w:space="0"/>
              <w:bottom w:val="single" w:color="auto" w:sz="4" w:space="0"/>
              <w:right w:val="single" w:color="auto" w:sz="4" w:space="0"/>
            </w:tcBorders>
            <w:shd w:val="clear"/>
            <w:vAlign w:val="center"/>
          </w:tcPr>
          <w:p w14:paraId="77707074">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0.998</w:t>
            </w:r>
          </w:p>
        </w:tc>
      </w:tr>
      <w:tr w14:paraId="7E17F171">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56" w:type="dxa"/>
            <w:left w:w="96" w:type="dxa"/>
            <w:bottom w:w="56" w:type="dxa"/>
            <w:right w:w="96" w:type="dxa"/>
          </w:tblCellMar>
        </w:tblPrEx>
        <w:trPr>
          <w:trHeight w:val="0" w:hRule="atLeast"/>
          <w:tblCellSpacing w:w="15" w:type="dxa"/>
          <w:jc w:val="center"/>
        </w:trPr>
        <w:tc>
          <w:tcPr>
            <w:tcW w:w="1840" w:type="dxa"/>
            <w:tcBorders>
              <w:top w:val="single" w:color="auto" w:sz="4" w:space="0"/>
              <w:left w:val="single" w:color="auto" w:sz="4" w:space="0"/>
              <w:bottom w:val="single" w:color="auto" w:sz="4" w:space="0"/>
              <w:right w:val="single" w:color="auto" w:sz="4" w:space="0"/>
            </w:tcBorders>
            <w:shd w:val="clear"/>
            <w:vAlign w:val="center"/>
          </w:tcPr>
          <w:p w14:paraId="17D69DB5">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X2_CPI</w:t>
            </w:r>
          </w:p>
        </w:tc>
        <w:tc>
          <w:tcPr>
            <w:tcW w:w="1834" w:type="dxa"/>
            <w:tcBorders>
              <w:top w:val="single" w:color="auto" w:sz="4" w:space="0"/>
              <w:left w:val="single" w:color="auto" w:sz="4" w:space="0"/>
              <w:bottom w:val="single" w:color="auto" w:sz="4" w:space="0"/>
              <w:right w:val="single" w:color="auto" w:sz="4" w:space="0"/>
            </w:tcBorders>
            <w:shd w:val="clear"/>
            <w:vAlign w:val="center"/>
          </w:tcPr>
          <w:p w14:paraId="22361B67">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-0.573</w:t>
            </w:r>
          </w:p>
        </w:tc>
        <w:tc>
          <w:tcPr>
            <w:tcW w:w="1834" w:type="dxa"/>
            <w:tcBorders>
              <w:top w:val="single" w:color="auto" w:sz="4" w:space="0"/>
              <w:left w:val="single" w:color="auto" w:sz="4" w:space="0"/>
              <w:bottom w:val="single" w:color="auto" w:sz="4" w:space="0"/>
              <w:right w:val="single" w:color="auto" w:sz="4" w:space="0"/>
            </w:tcBorders>
            <w:shd w:val="clear"/>
            <w:vAlign w:val="center"/>
          </w:tcPr>
          <w:p w14:paraId="25E0FDE7">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-0.563</w:t>
            </w:r>
          </w:p>
        </w:tc>
        <w:tc>
          <w:tcPr>
            <w:tcW w:w="1327" w:type="dxa"/>
            <w:tcBorders>
              <w:top w:val="single" w:color="auto" w:sz="4" w:space="0"/>
              <w:left w:val="single" w:color="auto" w:sz="4" w:space="0"/>
              <w:bottom w:val="single" w:color="auto" w:sz="4" w:space="0"/>
              <w:right w:val="single" w:color="auto" w:sz="4" w:space="0"/>
            </w:tcBorders>
            <w:shd w:val="clear"/>
            <w:vAlign w:val="center"/>
          </w:tcPr>
          <w:p w14:paraId="42672929">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1.000</w:t>
            </w:r>
          </w:p>
        </w:tc>
        <w:tc>
          <w:tcPr>
            <w:tcW w:w="1841" w:type="dxa"/>
            <w:tcBorders>
              <w:top w:val="single" w:color="auto" w:sz="4" w:space="0"/>
              <w:left w:val="single" w:color="auto" w:sz="4" w:space="0"/>
              <w:bottom w:val="single" w:color="auto" w:sz="4" w:space="0"/>
              <w:right w:val="single" w:color="auto" w:sz="4" w:space="0"/>
            </w:tcBorders>
            <w:shd w:val="clear"/>
            <w:vAlign w:val="center"/>
          </w:tcPr>
          <w:p w14:paraId="53933C52">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-0.552</w:t>
            </w:r>
          </w:p>
        </w:tc>
      </w:tr>
      <w:tr w14:paraId="2228B4E6">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56" w:type="dxa"/>
            <w:left w:w="96" w:type="dxa"/>
            <w:bottom w:w="56" w:type="dxa"/>
            <w:right w:w="96" w:type="dxa"/>
          </w:tblCellMar>
        </w:tblPrEx>
        <w:trPr>
          <w:trHeight w:val="0" w:hRule="atLeast"/>
          <w:tblCellSpacing w:w="15" w:type="dxa"/>
          <w:jc w:val="center"/>
        </w:trPr>
        <w:tc>
          <w:tcPr>
            <w:tcW w:w="1840" w:type="dxa"/>
            <w:tcBorders>
              <w:top w:val="single" w:color="auto" w:sz="4" w:space="0"/>
              <w:left w:val="single" w:color="auto" w:sz="4" w:space="0"/>
              <w:bottom w:val="single" w:color="auto" w:sz="4" w:space="0"/>
              <w:right w:val="single" w:color="auto" w:sz="4" w:space="0"/>
            </w:tcBorders>
            <w:shd w:val="clear"/>
            <w:vAlign w:val="center"/>
          </w:tcPr>
          <w:p w14:paraId="6A72543C">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X3_Social</w:t>
            </w:r>
          </w:p>
        </w:tc>
        <w:tc>
          <w:tcPr>
            <w:tcW w:w="1834" w:type="dxa"/>
            <w:tcBorders>
              <w:top w:val="single" w:color="auto" w:sz="4" w:space="0"/>
              <w:left w:val="single" w:color="auto" w:sz="4" w:space="0"/>
              <w:bottom w:val="single" w:color="auto" w:sz="4" w:space="0"/>
              <w:right w:val="single" w:color="auto" w:sz="4" w:space="0"/>
            </w:tcBorders>
            <w:shd w:val="clear"/>
            <w:vAlign w:val="center"/>
          </w:tcPr>
          <w:p w14:paraId="0C22BE8F">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0.995</w:t>
            </w:r>
          </w:p>
        </w:tc>
        <w:tc>
          <w:tcPr>
            <w:tcW w:w="1834" w:type="dxa"/>
            <w:tcBorders>
              <w:top w:val="single" w:color="auto" w:sz="4" w:space="0"/>
              <w:left w:val="single" w:color="auto" w:sz="4" w:space="0"/>
              <w:bottom w:val="single" w:color="auto" w:sz="4" w:space="0"/>
              <w:right w:val="single" w:color="auto" w:sz="4" w:space="0"/>
            </w:tcBorders>
            <w:shd w:val="clear"/>
            <w:vAlign w:val="center"/>
          </w:tcPr>
          <w:p w14:paraId="43D3FB76">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0.998</w:t>
            </w:r>
          </w:p>
        </w:tc>
        <w:tc>
          <w:tcPr>
            <w:tcW w:w="1327" w:type="dxa"/>
            <w:tcBorders>
              <w:top w:val="single" w:color="auto" w:sz="4" w:space="0"/>
              <w:left w:val="single" w:color="auto" w:sz="4" w:space="0"/>
              <w:bottom w:val="single" w:color="auto" w:sz="4" w:space="0"/>
              <w:right w:val="single" w:color="auto" w:sz="4" w:space="0"/>
            </w:tcBorders>
            <w:shd w:val="clear"/>
            <w:vAlign w:val="center"/>
          </w:tcPr>
          <w:p w14:paraId="5C6C9E6B">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-0.552</w:t>
            </w:r>
          </w:p>
        </w:tc>
        <w:tc>
          <w:tcPr>
            <w:tcW w:w="1841" w:type="dxa"/>
            <w:tcBorders>
              <w:top w:val="single" w:color="auto" w:sz="4" w:space="0"/>
              <w:left w:val="single" w:color="auto" w:sz="4" w:space="0"/>
              <w:bottom w:val="single" w:color="auto" w:sz="4" w:space="0"/>
              <w:right w:val="single" w:color="auto" w:sz="4" w:space="0"/>
            </w:tcBorders>
            <w:shd w:val="clear"/>
            <w:vAlign w:val="center"/>
          </w:tcPr>
          <w:p w14:paraId="4C9AF723">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1.000</w:t>
            </w:r>
          </w:p>
        </w:tc>
      </w:tr>
    </w:tbl>
    <w:p w14:paraId="5B98DCDA">
      <w:pPr>
        <w:rPr>
          <w:rFonts w:hint="eastAsia" w:ascii="宋体" w:hAnsi="宋体" w:eastAsia="宋体" w:cs="宋体"/>
          <w:sz w:val="24"/>
          <w:szCs w:val="24"/>
        </w:rPr>
      </w:pPr>
    </w:p>
    <w:p w14:paraId="1549F7D5">
      <w:pPr>
        <w:spacing w:after="220"/>
        <w:rPr>
          <w:rFonts w:hint="eastAsia" w:ascii="宋体" w:hAnsi="宋体" w:eastAsia="宋体" w:cs="宋体"/>
          <w:sz w:val="24"/>
          <w:szCs w:val="24"/>
        </w:rPr>
      </w:pPr>
      <w:r>
        <w:rPr>
          <w:rFonts w:hint="eastAsia" w:ascii="宋体" w:hAnsi="宋体" w:eastAsia="宋体" w:cs="宋体"/>
          <w:sz w:val="24"/>
          <w:szCs w:val="24"/>
        </w:rPr>
        <w:t>图4：经济指标相关性热力图</w:t>
      </w:r>
    </w:p>
    <w:p w14:paraId="2FA4FAA1">
      <w:pPr>
        <w:spacing w:after="220"/>
        <w:rPr>
          <w:rFonts w:hint="eastAsia" w:ascii="宋体" w:hAnsi="宋体" w:eastAsia="宋体" w:cs="宋体"/>
          <w:sz w:val="24"/>
          <w:szCs w:val="24"/>
        </w:rPr>
      </w:pPr>
      <w:r>
        <w:drawing>
          <wp:inline distT="0" distB="0" distL="114300" distR="114300">
            <wp:extent cx="5485130" cy="3365500"/>
            <wp:effectExtent l="0" t="0" r="1270" b="254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5485130" cy="3365500"/>
                    </a:xfrm>
                    <a:prstGeom prst="rect">
                      <a:avLst/>
                    </a:prstGeom>
                    <a:noFill/>
                    <a:ln>
                      <a:noFill/>
                    </a:ln>
                  </pic:spPr>
                </pic:pic>
              </a:graphicData>
            </a:graphic>
          </wp:inline>
        </w:drawing>
      </w:r>
      <w:r>
        <w:rPr>
          <w:rFonts w:hint="eastAsia" w:ascii="宋体" w:hAnsi="宋体" w:eastAsia="宋体" w:cs="宋体"/>
          <w:sz w:val="24"/>
          <w:szCs w:val="24"/>
        </w:rPr>
        <w:br w:type="textWrapping"/>
      </w:r>
      <w:r>
        <w:rPr>
          <w:rFonts w:hint="eastAsia" w:ascii="宋体" w:hAnsi="宋体" w:eastAsia="宋体" w:cs="宋体"/>
          <w:sz w:val="24"/>
          <w:szCs w:val="24"/>
        </w:rPr>
        <w:t>分析：相关性矩阵（图4）提供了三个关键信息：</w:t>
      </w:r>
      <w:r>
        <w:rPr>
          <w:rFonts w:hint="eastAsia" w:ascii="宋体" w:hAnsi="宋体" w:eastAsia="宋体" w:cs="宋体"/>
          <w:sz w:val="24"/>
          <w:szCs w:val="24"/>
        </w:rPr>
        <w:br w:type="textWrapping"/>
      </w:r>
      <w:r>
        <w:rPr>
          <w:rFonts w:hint="eastAsia" w:ascii="宋体" w:hAnsi="宋体" w:eastAsia="宋体" w:cs="宋体"/>
          <w:sz w:val="24"/>
          <w:szCs w:val="24"/>
        </w:rPr>
        <w:t>1．极强正相关：人均消费支出（Y＿Consume）与 人均可支配收入（X1＿Income）的相关系数高达 ＋0．999，这证实了收入是消费的绝对主导因素。</w:t>
      </w:r>
    </w:p>
    <w:p w14:paraId="48324969">
      <w:pPr>
        <w:spacing w:after="220"/>
        <w:rPr>
          <w:rFonts w:hint="eastAsia" w:ascii="宋体" w:hAnsi="宋体" w:eastAsia="宋体" w:cs="宋体"/>
          <w:sz w:val="24"/>
          <w:szCs w:val="24"/>
        </w:rPr>
      </w:pPr>
      <w:r>
        <w:rPr>
          <w:rFonts w:hint="eastAsia" w:ascii="宋体" w:hAnsi="宋体" w:eastAsia="宋体" w:cs="宋体"/>
          <w:sz w:val="24"/>
          <w:szCs w:val="24"/>
        </w:rPr>
        <w:t>2．多重共线性：人均可支配收入（X1＿Income）和 社保就业支出（X3＿Social）之间的相关系数高达 ＋0．998。这意味着这两个自变量高度相关，在分析中若同时使用，会引发严重的＂多重共线性＂问题。</w:t>
      </w:r>
    </w:p>
    <w:p w14:paraId="186AE75A">
      <w:pPr>
        <w:spacing w:after="220"/>
        <w:rPr>
          <w:rFonts w:hint="eastAsia" w:ascii="宋体" w:hAnsi="宋体" w:eastAsia="宋体" w:cs="宋体"/>
          <w:sz w:val="24"/>
          <w:szCs w:val="24"/>
        </w:rPr>
      </w:pPr>
      <w:r>
        <w:rPr>
          <w:rFonts w:hint="eastAsia" w:ascii="宋体" w:hAnsi="宋体" w:eastAsia="宋体" w:cs="宋体"/>
          <w:sz w:val="24"/>
          <w:szCs w:val="24"/>
        </w:rPr>
        <w:t>3．中度负相关：CPI（X2＿CPI）与 消费、收入、社保支出 均呈现中度负相关（约 -0.56 ）。这表明，在通货膨胀较高的年份（CPI 较高），居民消费支出的增长可能受到抑制（购买力下降或预防性储蓄增加）。</w:t>
      </w:r>
    </w:p>
    <w:p w14:paraId="1F80B7CB">
      <w:pPr>
        <w:spacing w:after="220"/>
        <w:rPr>
          <w:rFonts w:hint="eastAsia" w:ascii="宋体" w:hAnsi="宋体" w:eastAsia="宋体" w:cs="宋体"/>
          <w:sz w:val="24"/>
          <w:szCs w:val="24"/>
        </w:rPr>
      </w:pPr>
      <w:r>
        <w:rPr>
          <w:rStyle w:val="11"/>
          <w:rFonts w:hint="eastAsia"/>
        </w:rPr>
        <w:t>4．课程方法研究</w:t>
      </w:r>
      <w:r>
        <w:rPr>
          <w:rFonts w:hint="eastAsia" w:ascii="宋体" w:hAnsi="宋体" w:eastAsia="宋体" w:cs="宋体"/>
          <w:sz w:val="24"/>
          <w:szCs w:val="24"/>
        </w:rPr>
        <w:br w:type="textWrapping"/>
      </w:r>
      <w:r>
        <w:rPr>
          <w:rStyle w:val="12"/>
          <w:rFonts w:hint="eastAsia"/>
        </w:rPr>
        <w:t xml:space="preserve">4.1 方法一：假设检验（ </w:t>
      </w:r>
      <m:oMath>
        <m:r>
          <m:rPr>
            <m:sty m:val="p"/>
          </m:rPr>
          <w:rPr>
            <w:rStyle w:val="12"/>
            <w:rFonts w:hint="eastAsia" w:ascii="Cambria Math" w:hAnsi="Cambria Math"/>
          </w:rPr>
          <m:t>t−</m:t>
        </m:r>
      </m:oMath>
      <w:r>
        <w:rPr>
          <w:rStyle w:val="12"/>
          <w:rFonts w:hint="eastAsia"/>
        </w:rPr>
        <w:t xml:space="preserve"> 检验）</w:t>
      </w:r>
    </w:p>
    <w:p w14:paraId="65573F8F">
      <w:pPr>
        <w:spacing w:after="220"/>
        <w:rPr>
          <w:rFonts w:hint="eastAsia" w:ascii="宋体" w:hAnsi="宋体" w:eastAsia="宋体" w:cs="宋体"/>
          <w:sz w:val="24"/>
          <w:szCs w:val="24"/>
        </w:rPr>
      </w:pPr>
      <w:r>
        <w:rPr>
          <w:rFonts w:hint="eastAsia" w:ascii="宋体" w:hAnsi="宋体" w:eastAsia="宋体" w:cs="宋体"/>
          <w:sz w:val="24"/>
          <w:szCs w:val="24"/>
        </w:rPr>
        <w:t>我们对相关性最强的 人均消费支出（ Y ）和 人均可支配收入（ X 1 ）进行 t －检验，以验证其相关性是否在统计上显著。</w:t>
      </w:r>
    </w:p>
    <w:p w14:paraId="6386C4F5">
      <w:pPr>
        <w:numPr>
          <w:ilvl w:val="0"/>
          <w:numId w:val="4"/>
        </w:numPr>
        <w:rPr>
          <w:rFonts w:hint="eastAsia" w:ascii="宋体" w:hAnsi="宋体" w:eastAsia="宋体" w:cs="宋体"/>
          <w:sz w:val="24"/>
          <w:szCs w:val="24"/>
        </w:rPr>
      </w:pPr>
      <w:r>
        <w:rPr>
          <w:rFonts w:hint="eastAsia" w:ascii="宋体" w:hAnsi="宋体" w:eastAsia="宋体" w:cs="宋体"/>
          <w:sz w:val="24"/>
          <w:szCs w:val="24"/>
        </w:rPr>
        <w:t>原假设（ HO ）：两个变量的相关系数为 O （不相关）。</w:t>
      </w:r>
    </w:p>
    <w:p w14:paraId="0548F491">
      <w:pPr>
        <w:numPr>
          <w:ilvl w:val="0"/>
          <w:numId w:val="4"/>
        </w:numPr>
        <w:rPr>
          <w:rFonts w:hint="eastAsia" w:ascii="宋体" w:hAnsi="宋体" w:eastAsia="宋体" w:cs="宋体"/>
          <w:sz w:val="24"/>
          <w:szCs w:val="24"/>
        </w:rPr>
      </w:pPr>
      <w:r>
        <w:rPr>
          <w:rFonts w:hint="eastAsia" w:ascii="宋体" w:hAnsi="宋体" w:eastAsia="宋体" w:cs="宋体"/>
          <w:sz w:val="24"/>
          <w:szCs w:val="24"/>
        </w:rPr>
        <w:t>备择假设（H1）：两个变量的相关系数不为 O （相关）。</w:t>
      </w:r>
    </w:p>
    <w:p w14:paraId="09D37B7F">
      <w:pPr>
        <w:rPr>
          <w:rFonts w:hint="eastAsia" w:ascii="宋体" w:hAnsi="宋体" w:eastAsia="宋体" w:cs="宋体"/>
          <w:sz w:val="24"/>
          <w:szCs w:val="24"/>
        </w:rPr>
      </w:pPr>
      <w:r>
        <w:rPr>
          <w:rFonts w:hint="eastAsia" w:ascii="宋体" w:hAnsi="宋体" w:eastAsia="宋体" w:cs="宋体"/>
          <w:sz w:val="24"/>
          <w:szCs w:val="24"/>
        </w:rPr>
        <w:t>R运行结果：</w:t>
      </w:r>
    </w:p>
    <w:p w14:paraId="11973F3A">
      <w:pPr>
        <w:rPr>
          <w:rFonts w:hint="eastAsia" w:ascii="宋体" w:hAnsi="宋体" w:eastAsia="宋体" w:cs="宋体"/>
          <w:sz w:val="24"/>
          <w:szCs w:val="24"/>
        </w:rPr>
      </w:pPr>
      <w:r>
        <w:rPr>
          <w:rFonts w:hint="eastAsia" w:ascii="宋体" w:hAnsi="宋体" w:eastAsia="宋体" w:cs="宋体"/>
          <w:sz w:val="24"/>
          <w:szCs w:val="24"/>
        </w:rPr>
        <w:t>R</w:t>
      </w:r>
      <w:r>
        <w:rPr>
          <w:rFonts w:hint="eastAsia" w:ascii="宋体" w:hAnsi="宋体" w:eastAsia="宋体" w:cs="宋体"/>
          <w:sz w:val="24"/>
          <w:szCs w:val="24"/>
        </w:rPr>
        <w:br w:type="textWrapping"/>
      </w:r>
      <w:r>
        <w:rPr>
          <w:rFonts w:hint="eastAsia" w:ascii="宋体" w:hAnsi="宋体" w:eastAsia="宋体" w:cs="宋体"/>
          <w:sz w:val="24"/>
          <w:szCs w:val="24"/>
        </w:rPr>
        <w:t xml:space="preserve">    Pearson's product-moment correlation</w:t>
      </w:r>
      <w:r>
        <w:rPr>
          <w:rFonts w:hint="eastAsia" w:ascii="宋体" w:hAnsi="宋体" w:eastAsia="宋体" w:cs="宋体"/>
          <w:sz w:val="24"/>
          <w:szCs w:val="24"/>
        </w:rPr>
        <w:br w:type="textWrapping"/>
      </w:r>
      <w:r>
        <w:rPr>
          <w:rFonts w:hint="eastAsia" w:ascii="宋体" w:hAnsi="宋体" w:eastAsia="宋体" w:cs="宋体"/>
          <w:sz w:val="24"/>
          <w:szCs w:val="24"/>
        </w:rPr>
        <w:t>data: df$Y_Consume and df$X1_Income</w:t>
      </w:r>
      <w:r>
        <w:rPr>
          <w:rFonts w:hint="eastAsia" w:ascii="宋体" w:hAnsi="宋体" w:eastAsia="宋体" w:cs="宋体"/>
          <w:sz w:val="24"/>
          <w:szCs w:val="24"/>
        </w:rPr>
        <w:br w:type="textWrapping"/>
      </w:r>
      <w:r>
        <w:rPr>
          <w:rFonts w:hint="eastAsia" w:ascii="宋体" w:hAnsi="宋体" w:eastAsia="宋体" w:cs="宋体"/>
          <w:sz w:val="24"/>
          <w:szCs w:val="24"/>
        </w:rPr>
        <w:t>t = 81.366, df = 16, p-value &lt; 2.2e-16</w:t>
      </w:r>
      <w:r>
        <w:rPr>
          <w:rFonts w:hint="eastAsia" w:ascii="宋体" w:hAnsi="宋体" w:eastAsia="宋体" w:cs="宋体"/>
          <w:sz w:val="24"/>
          <w:szCs w:val="24"/>
        </w:rPr>
        <w:br w:type="textWrapping"/>
      </w:r>
      <w:r>
        <w:rPr>
          <w:rFonts w:hint="eastAsia" w:ascii="宋体" w:hAnsi="宋体" w:eastAsia="宋体" w:cs="宋体"/>
          <w:sz w:val="24"/>
          <w:szCs w:val="24"/>
        </w:rPr>
        <w:t>alternative hypothesis: true correlation is not equal to 0</w:t>
      </w:r>
      <w:r>
        <w:rPr>
          <w:rFonts w:hint="eastAsia" w:ascii="宋体" w:hAnsi="宋体" w:eastAsia="宋体" w:cs="宋体"/>
          <w:sz w:val="24"/>
          <w:szCs w:val="24"/>
        </w:rPr>
        <w:br w:type="textWrapping"/>
      </w:r>
      <w:r>
        <w:rPr>
          <w:rFonts w:hint="eastAsia" w:ascii="宋体" w:hAnsi="宋体" w:eastAsia="宋体" w:cs="宋体"/>
          <w:sz w:val="24"/>
          <w:szCs w:val="24"/>
        </w:rPr>
        <w:t>95 percent confidence interval:</w:t>
      </w:r>
      <w:r>
        <w:rPr>
          <w:rFonts w:hint="eastAsia" w:ascii="宋体" w:hAnsi="宋体" w:eastAsia="宋体" w:cs="宋体"/>
          <w:sz w:val="24"/>
          <w:szCs w:val="24"/>
        </w:rPr>
        <w:br w:type="textWrapping"/>
      </w:r>
      <w:r>
        <w:rPr>
          <w:rFonts w:hint="eastAsia" w:ascii="宋体" w:hAnsi="宋体" w:eastAsia="宋体" w:cs="宋体"/>
          <w:sz w:val="24"/>
          <w:szCs w:val="24"/>
        </w:rPr>
        <w:t>0.9966847 0.9995614</w:t>
      </w:r>
      <w:r>
        <w:rPr>
          <w:rFonts w:hint="eastAsia" w:ascii="宋体" w:hAnsi="宋体" w:eastAsia="宋体" w:cs="宋体"/>
          <w:sz w:val="24"/>
          <w:szCs w:val="24"/>
        </w:rPr>
        <w:br w:type="textWrapping"/>
      </w:r>
      <w:r>
        <w:rPr>
          <w:rFonts w:hint="eastAsia" w:ascii="宋体" w:hAnsi="宋体" w:eastAsia="宋体" w:cs="宋体"/>
          <w:sz w:val="24"/>
          <w:szCs w:val="24"/>
        </w:rPr>
        <w:t>sample estimates:</w:t>
      </w:r>
      <w:r>
        <w:rPr>
          <w:rFonts w:hint="eastAsia" w:ascii="宋体" w:hAnsi="宋体" w:eastAsia="宋体" w:cs="宋体"/>
          <w:sz w:val="24"/>
          <w:szCs w:val="24"/>
        </w:rPr>
        <w:br w:type="textWrapping"/>
      </w:r>
      <w:r>
        <w:rPr>
          <w:rFonts w:hint="eastAsia" w:ascii="宋体" w:hAnsi="宋体" w:eastAsia="宋体" w:cs="宋体"/>
          <w:sz w:val="24"/>
          <w:szCs w:val="24"/>
        </w:rPr>
        <w:t xml:space="preserve">    cor</w:t>
      </w:r>
      <w:r>
        <w:rPr>
          <w:rFonts w:hint="eastAsia" w:ascii="宋体" w:hAnsi="宋体" w:eastAsia="宋体" w:cs="宋体"/>
          <w:sz w:val="24"/>
          <w:szCs w:val="24"/>
        </w:rPr>
        <w:br w:type="textWrapping"/>
      </w:r>
      <w:r>
        <w:rPr>
          <w:rFonts w:hint="eastAsia" w:ascii="宋体" w:hAnsi="宋体" w:eastAsia="宋体" w:cs="宋体"/>
          <w:sz w:val="24"/>
          <w:szCs w:val="24"/>
        </w:rPr>
        <w:t>0.9987938</w:t>
      </w:r>
      <w:r>
        <w:rPr>
          <w:rFonts w:hint="eastAsia" w:ascii="宋体" w:hAnsi="宋体" w:eastAsia="宋体" w:cs="宋体"/>
          <w:sz w:val="24"/>
          <w:szCs w:val="24"/>
        </w:rPr>
        <w:br w:type="textWrapping"/>
      </w:r>
    </w:p>
    <w:p w14:paraId="6D3F9B6F">
      <w:pPr>
        <w:rPr>
          <w:rFonts w:hint="eastAsia" w:ascii="宋体" w:hAnsi="宋体" w:eastAsia="宋体" w:cs="宋体"/>
          <w:sz w:val="24"/>
          <w:szCs w:val="24"/>
        </w:rPr>
      </w:pPr>
      <w:r>
        <w:rPr>
          <w:rFonts w:hint="eastAsia" w:ascii="宋体" w:hAnsi="宋体" w:eastAsia="宋体" w:cs="宋体"/>
          <w:sz w:val="24"/>
          <w:szCs w:val="24"/>
        </w:rPr>
        <w:t>分析与观点：检验结果具有高度统计显著性。</w:t>
      </w:r>
      <w:r>
        <w:rPr>
          <w:rFonts w:hint="eastAsia" w:ascii="宋体" w:hAnsi="宋体" w:eastAsia="宋体" w:cs="宋体"/>
          <w:sz w:val="24"/>
          <w:szCs w:val="24"/>
        </w:rPr>
        <w:br w:type="textWrapping"/>
      </w:r>
      <w:r>
        <w:rPr>
          <w:rFonts w:hint="eastAsia" w:ascii="宋体" w:hAnsi="宋体" w:eastAsia="宋体" w:cs="宋体"/>
          <w:sz w:val="24"/>
          <w:szCs w:val="24"/>
        </w:rPr>
        <w:t xml:space="preserve">1．相关系数（cor）：样本相关系数 </w:t>
      </w:r>
      <m:oMath>
        <m:r>
          <m:rPr>
            <m:sty m:val="p"/>
          </m:rPr>
          <w:rPr>
            <w:rFonts w:hint="eastAsia" w:ascii="Cambria Math" w:hAnsi="Cambria Math" w:eastAsia="宋体" w:cs="宋体"/>
            <w:sz w:val="24"/>
            <w:szCs w:val="24"/>
          </w:rPr>
          <m:t>r=0.9988</m:t>
        </m:r>
      </m:oMath>
      <w:r>
        <w:rPr>
          <w:rFonts w:hint="eastAsia" w:ascii="宋体" w:hAnsi="宋体" w:eastAsia="宋体" w:cs="宋体"/>
          <w:sz w:val="24"/>
          <w:szCs w:val="24"/>
        </w:rPr>
        <w:t xml:space="preserve"> ，与相关性矩阵结果一致，无限接近1。</w:t>
      </w:r>
      <w:r>
        <w:rPr>
          <w:rFonts w:hint="eastAsia" w:ascii="宋体" w:hAnsi="宋体" w:eastAsia="宋体" w:cs="宋体"/>
          <w:sz w:val="24"/>
          <w:szCs w:val="24"/>
        </w:rPr>
        <w:br w:type="textWrapping"/>
      </w:r>
      <w:r>
        <w:rPr>
          <w:rFonts w:hint="eastAsia" w:ascii="宋体" w:hAnsi="宋体" w:eastAsia="宋体" w:cs="宋体"/>
          <w:sz w:val="24"/>
          <w:szCs w:val="24"/>
        </w:rPr>
        <w:t>2．p－value：</w:t>
      </w:r>
      <m:oMath>
        <m:r>
          <m:rPr>
            <m:sty m:val="p"/>
          </m:rPr>
          <w:rPr>
            <w:rFonts w:hint="eastAsia" w:ascii="Cambria Math" w:hAnsi="Cambria Math" w:eastAsia="宋体" w:cs="宋体"/>
            <w:sz w:val="24"/>
            <w:szCs w:val="24"/>
          </w:rPr>
          <m:t>p−</m:t>
        </m:r>
      </m:oMath>
      <w:r>
        <w:rPr>
          <w:rFonts w:hint="eastAsia" w:ascii="宋体" w:hAnsi="宋体" w:eastAsia="宋体" w:cs="宋体"/>
          <w:sz w:val="24"/>
          <w:szCs w:val="24"/>
        </w:rPr>
        <w:t xml:space="preserve"> value </w:t>
      </w:r>
      <m:oMath>
        <m:r>
          <m:rPr>
            <m:sty m:val="p"/>
          </m:rPr>
          <w:rPr>
            <w:rFonts w:hint="eastAsia" w:ascii="Cambria Math" w:hAnsi="Cambria Math" w:eastAsia="宋体" w:cs="宋体"/>
            <w:sz w:val="24"/>
            <w:szCs w:val="24"/>
          </w:rPr>
          <m:t>&lt;2.2×</m:t>
        </m:r>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−16</m:t>
            </m:r>
            <m:ctrlPr>
              <w:rPr>
                <w:rFonts w:hint="eastAsia" w:ascii="Cambria Math" w:hAnsi="Cambria Math" w:eastAsia="宋体" w:cs="宋体"/>
                <w:sz w:val="24"/>
                <w:szCs w:val="24"/>
              </w:rPr>
            </m:ctrlPr>
          </m:sup>
        </m:sSup>
      </m:oMath>
      <w:r>
        <w:rPr>
          <w:rFonts w:hint="eastAsia" w:ascii="宋体" w:hAnsi="宋体" w:eastAsia="宋体" w:cs="宋体"/>
          <w:sz w:val="24"/>
          <w:szCs w:val="24"/>
        </w:rPr>
        <w:t xml:space="preserve"> ，这是一个无穷小的数字，远小于 0.05 的显著性水平。</w:t>
      </w:r>
      <w:r>
        <w:rPr>
          <w:rFonts w:hint="eastAsia" w:ascii="宋体" w:hAnsi="宋体" w:eastAsia="宋体" w:cs="宋体"/>
          <w:sz w:val="24"/>
          <w:szCs w:val="24"/>
        </w:rPr>
        <w:br w:type="textWrapping"/>
      </w:r>
      <w:r>
        <w:rPr>
          <w:rFonts w:hint="eastAsia" w:ascii="宋体" w:hAnsi="宋体" w:eastAsia="宋体" w:cs="宋体"/>
          <w:sz w:val="24"/>
          <w:szCs w:val="24"/>
        </w:rPr>
        <w:t>结论：我们强烈拒绝原假设（HO）。这在统计学上证明了 居民人均可支配收入 和 居民人均消费支出之间存在极其显著的正相关关系。</w:t>
      </w:r>
    </w:p>
    <w:p w14:paraId="02DE3590">
      <w:pPr>
        <w:pStyle w:val="3"/>
        <w:bidi w:val="0"/>
        <w:rPr>
          <w:rFonts w:hint="eastAsia" w:ascii="宋体" w:hAnsi="宋体" w:eastAsia="宋体" w:cs="宋体"/>
          <w:szCs w:val="24"/>
        </w:rPr>
      </w:pPr>
      <w:r>
        <w:rPr>
          <w:rFonts w:hint="eastAsia" w:ascii="宋体" w:hAnsi="宋体" w:eastAsia="宋体" w:cs="宋体"/>
          <w:szCs w:val="24"/>
        </w:rPr>
        <w:br w:type="textWrapping"/>
      </w:r>
      <w:r>
        <w:rPr>
          <w:rFonts w:hint="eastAsia"/>
        </w:rPr>
        <w:t>4.2 方法二：主成分分析（PCA）</w:t>
      </w:r>
    </w:p>
    <w:p w14:paraId="5B1F61DF">
      <w:pPr>
        <w:rPr>
          <w:rFonts w:hint="eastAsia" w:ascii="宋体" w:hAnsi="宋体" w:eastAsia="宋体" w:cs="宋体"/>
          <w:sz w:val="24"/>
          <w:szCs w:val="24"/>
        </w:rPr>
      </w:pPr>
      <w:r>
        <w:rPr>
          <w:rFonts w:hint="eastAsia" w:ascii="宋体" w:hAnsi="宋体" w:eastAsia="宋体" w:cs="宋体"/>
          <w:sz w:val="24"/>
          <w:szCs w:val="24"/>
        </w:rPr>
        <w:t>目的：解决 人均可支配收入（X1）和 社保就业支出（X3）之间的严重多重共线性问题，并对自变量进行降维。</w:t>
      </w:r>
    </w:p>
    <w:p w14:paraId="7C751757">
      <w:pPr>
        <w:rPr>
          <w:rFonts w:hint="eastAsia" w:ascii="宋体" w:hAnsi="宋体" w:eastAsia="宋体" w:cs="宋体"/>
          <w:sz w:val="24"/>
          <w:szCs w:val="24"/>
        </w:rPr>
      </w:pPr>
      <w:r>
        <w:rPr>
          <w:rFonts w:hint="eastAsia" w:ascii="宋体" w:hAnsi="宋体" w:eastAsia="宋体" w:cs="宋体"/>
          <w:sz w:val="24"/>
          <w:szCs w:val="24"/>
        </w:rPr>
        <w:t>我们对 3 个自变量（X1，X2，X3）进行主成分分析，结果如下：</w:t>
      </w:r>
    </w:p>
    <w:tbl>
      <w:tblPr>
        <w:tblW w:w="10171" w:type="dxa"/>
        <w:jc w:val="center"/>
        <w:tblCellSpacing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Layout w:type="fixed"/>
        <w:tblCellMar>
          <w:top w:w="80" w:type="dxa"/>
          <w:left w:w="128" w:type="dxa"/>
          <w:bottom w:w="80" w:type="dxa"/>
          <w:right w:w="128" w:type="dxa"/>
        </w:tblCellMar>
      </w:tblPr>
      <w:tblGrid>
        <w:gridCol w:w="3538"/>
        <w:gridCol w:w="2206"/>
        <w:gridCol w:w="2326"/>
        <w:gridCol w:w="2101"/>
      </w:tblGrid>
      <w:tr w14:paraId="7B2B0D1C">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80" w:type="dxa"/>
            <w:left w:w="128" w:type="dxa"/>
            <w:bottom w:w="80" w:type="dxa"/>
            <w:right w:w="128" w:type="dxa"/>
          </w:tblCellMar>
        </w:tblPrEx>
        <w:trPr>
          <w:trHeight w:val="0" w:hRule="atLeast"/>
          <w:tblHeader/>
          <w:tblCellSpacing w:w="15" w:type="dxa"/>
          <w:jc w:val="center"/>
        </w:trPr>
        <w:tc>
          <w:tcPr>
            <w:tcW w:w="3493" w:type="dxa"/>
            <w:tcBorders>
              <w:top w:val="single" w:color="auto" w:sz="12" w:space="0"/>
              <w:left w:val="nil"/>
              <w:bottom w:val="single" w:color="auto" w:sz="4" w:space="0"/>
              <w:right w:val="single" w:color="auto" w:sz="4" w:space="0"/>
            </w:tcBorders>
            <w:shd w:val="clear"/>
            <w:vAlign w:val="center"/>
          </w:tcPr>
          <w:p w14:paraId="63E4FA80">
            <w:pPr>
              <w:snapToGrid w:val="0"/>
              <w:jc w:val="center"/>
              <w:rPr>
                <w:rFonts w:hint="eastAsia" w:ascii="宋体" w:hAnsi="宋体" w:eastAsia="宋体" w:cs="宋体"/>
                <w:b/>
                <w:sz w:val="24"/>
                <w:szCs w:val="24"/>
                <w:lang w:eastAsia="zh-CN"/>
              </w:rPr>
            </w:pPr>
          </w:p>
        </w:tc>
        <w:tc>
          <w:tcPr>
            <w:tcW w:w="2176" w:type="dxa"/>
            <w:tcBorders>
              <w:top w:val="single" w:color="auto" w:sz="12" w:space="0"/>
              <w:left w:val="nil"/>
              <w:bottom w:val="single" w:color="auto" w:sz="4" w:space="0"/>
              <w:right w:val="single" w:color="auto" w:sz="4" w:space="0"/>
            </w:tcBorders>
            <w:shd w:val="clear"/>
            <w:vAlign w:val="center"/>
          </w:tcPr>
          <w:p w14:paraId="69540182">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PC1(第一主成分)</w:t>
            </w:r>
            <w:r>
              <w:rPr>
                <w:rFonts w:hint="eastAsia" w:ascii="宋体" w:hAnsi="宋体" w:eastAsia="宋体" w:cs="宋体"/>
                <w:b/>
                <w:sz w:val="24"/>
                <w:szCs w:val="24"/>
                <w:lang w:val="en-US" w:eastAsia="zh-CN"/>
              </w:rPr>
              <w:br w:type="textWrapping"/>
            </w:r>
            <w:r>
              <w:rPr>
                <w:rFonts w:hint="eastAsia" w:ascii="宋体" w:hAnsi="宋体" w:eastAsia="宋体" w:cs="宋体"/>
                <w:sz w:val="24"/>
                <w:szCs w:val="24"/>
              </w:rPr>
              <w:t>人均可支配收入</w:t>
            </w:r>
          </w:p>
        </w:tc>
        <w:tc>
          <w:tcPr>
            <w:tcW w:w="2296" w:type="dxa"/>
            <w:tcBorders>
              <w:top w:val="single" w:color="auto" w:sz="12" w:space="0"/>
              <w:left w:val="nil"/>
              <w:bottom w:val="single" w:color="auto" w:sz="4" w:space="0"/>
              <w:right w:val="single" w:color="auto" w:sz="4" w:space="0"/>
            </w:tcBorders>
            <w:shd w:val="clear"/>
            <w:vAlign w:val="center"/>
          </w:tcPr>
          <w:p w14:paraId="463C60E1">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PC2(第二主成分)</w:t>
            </w:r>
          </w:p>
          <w:p w14:paraId="63F9C80F">
            <w:pPr>
              <w:snapToGrid w:val="0"/>
              <w:jc w:val="center"/>
              <w:rPr>
                <w:rFonts w:hint="eastAsia" w:ascii="宋体" w:hAnsi="宋体" w:eastAsia="宋体" w:cs="宋体"/>
                <w:b/>
                <w:sz w:val="24"/>
                <w:szCs w:val="24"/>
                <w:lang w:val="en-US" w:eastAsia="zh-CN"/>
              </w:rPr>
            </w:pPr>
            <w:r>
              <w:rPr>
                <w:rFonts w:hint="eastAsia" w:ascii="宋体" w:hAnsi="宋体" w:eastAsia="宋体" w:cs="宋体"/>
                <w:sz w:val="24"/>
                <w:szCs w:val="24"/>
              </w:rPr>
              <w:t>居民消费价格指数</w:t>
            </w:r>
          </w:p>
        </w:tc>
        <w:tc>
          <w:tcPr>
            <w:tcW w:w="2056" w:type="dxa"/>
            <w:tcBorders>
              <w:top w:val="single" w:color="auto" w:sz="12" w:space="0"/>
              <w:left w:val="nil"/>
              <w:bottom w:val="single" w:color="auto" w:sz="4" w:space="0"/>
              <w:right w:val="single" w:color="auto" w:sz="12" w:space="0"/>
            </w:tcBorders>
            <w:shd w:val="clear"/>
            <w:vAlign w:val="center"/>
          </w:tcPr>
          <w:p w14:paraId="6B196C1E">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PC3(第三主成分)</w:t>
            </w:r>
          </w:p>
          <w:p w14:paraId="5428C6D9">
            <w:pPr>
              <w:snapToGrid w:val="0"/>
              <w:jc w:val="center"/>
              <w:rPr>
                <w:rFonts w:hint="eastAsia" w:ascii="宋体" w:hAnsi="宋体" w:eastAsia="宋体" w:cs="宋体"/>
                <w:b/>
                <w:sz w:val="24"/>
                <w:szCs w:val="24"/>
                <w:lang w:val="en-US" w:eastAsia="zh-CN"/>
              </w:rPr>
            </w:pPr>
            <w:r>
              <w:rPr>
                <w:rFonts w:hint="eastAsia" w:ascii="宋体" w:hAnsi="宋体" w:eastAsia="宋体" w:cs="宋体"/>
                <w:sz w:val="24"/>
                <w:szCs w:val="24"/>
              </w:rPr>
              <w:t>社保就业支出</w:t>
            </w:r>
          </w:p>
        </w:tc>
      </w:tr>
      <w:tr w14:paraId="1D4CD187">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80" w:type="dxa"/>
            <w:left w:w="128" w:type="dxa"/>
            <w:bottom w:w="80" w:type="dxa"/>
            <w:right w:w="128" w:type="dxa"/>
          </w:tblCellMar>
        </w:tblPrEx>
        <w:trPr>
          <w:trHeight w:val="0" w:hRule="atLeast"/>
          <w:tblCellSpacing w:w="15" w:type="dxa"/>
          <w:jc w:val="center"/>
        </w:trPr>
        <w:tc>
          <w:tcPr>
            <w:tcW w:w="3493" w:type="dxa"/>
            <w:tcBorders>
              <w:top w:val="nil"/>
              <w:left w:val="single" w:color="auto" w:sz="12" w:space="0"/>
              <w:bottom w:val="single" w:color="auto" w:sz="4" w:space="0"/>
              <w:right w:val="single" w:color="auto" w:sz="4" w:space="0"/>
            </w:tcBorders>
            <w:shd w:val="clear"/>
            <w:vAlign w:val="center"/>
          </w:tcPr>
          <w:p w14:paraId="4253BC7F">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标准差 (Standard deviation)</w:t>
            </w:r>
          </w:p>
        </w:tc>
        <w:tc>
          <w:tcPr>
            <w:tcW w:w="2176" w:type="dxa"/>
            <w:tcBorders>
              <w:top w:val="nil"/>
              <w:left w:val="nil"/>
              <w:bottom w:val="single" w:color="auto" w:sz="4" w:space="0"/>
              <w:right w:val="single" w:color="auto" w:sz="4" w:space="0"/>
            </w:tcBorders>
            <w:shd w:val="clear"/>
            <w:vAlign w:val="center"/>
          </w:tcPr>
          <w:p w14:paraId="5FBBB45F">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1.5594</w:t>
            </w:r>
          </w:p>
        </w:tc>
        <w:tc>
          <w:tcPr>
            <w:tcW w:w="2296" w:type="dxa"/>
            <w:tcBorders>
              <w:top w:val="nil"/>
              <w:left w:val="nil"/>
              <w:bottom w:val="single" w:color="auto" w:sz="4" w:space="0"/>
              <w:right w:val="single" w:color="auto" w:sz="4" w:space="0"/>
            </w:tcBorders>
            <w:shd w:val="clear"/>
            <w:vAlign w:val="center"/>
          </w:tcPr>
          <w:p w14:paraId="5FA708F9">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0.7525</w:t>
            </w:r>
          </w:p>
        </w:tc>
        <w:tc>
          <w:tcPr>
            <w:tcW w:w="2056" w:type="dxa"/>
            <w:tcBorders>
              <w:top w:val="nil"/>
              <w:left w:val="nil"/>
              <w:bottom w:val="single" w:color="auto" w:sz="4" w:space="0"/>
              <w:right w:val="single" w:color="auto" w:sz="12" w:space="0"/>
            </w:tcBorders>
            <w:shd w:val="clear"/>
            <w:vAlign w:val="center"/>
          </w:tcPr>
          <w:p w14:paraId="5B5AE476">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0.04413</w:t>
            </w:r>
          </w:p>
        </w:tc>
      </w:tr>
      <w:tr w14:paraId="047CBE8B">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80" w:type="dxa"/>
            <w:left w:w="128" w:type="dxa"/>
            <w:bottom w:w="80" w:type="dxa"/>
            <w:right w:w="128" w:type="dxa"/>
          </w:tblCellMar>
        </w:tblPrEx>
        <w:trPr>
          <w:trHeight w:val="0" w:hRule="atLeast"/>
          <w:tblCellSpacing w:w="15" w:type="dxa"/>
          <w:jc w:val="center"/>
        </w:trPr>
        <w:tc>
          <w:tcPr>
            <w:tcW w:w="3493" w:type="dxa"/>
            <w:tcBorders>
              <w:top w:val="nil"/>
              <w:left w:val="single" w:color="auto" w:sz="12" w:space="0"/>
              <w:bottom w:val="single" w:color="auto" w:sz="4" w:space="0"/>
              <w:right w:val="single" w:color="auto" w:sz="4" w:space="0"/>
            </w:tcBorders>
            <w:shd w:val="clear"/>
            <w:vAlign w:val="center"/>
          </w:tcPr>
          <w:p w14:paraId="53AD84E5">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方差贡献率 (Proportion of Variance)</w:t>
            </w:r>
          </w:p>
        </w:tc>
        <w:tc>
          <w:tcPr>
            <w:tcW w:w="2176" w:type="dxa"/>
            <w:tcBorders>
              <w:top w:val="nil"/>
              <w:left w:val="nil"/>
              <w:bottom w:val="single" w:color="auto" w:sz="4" w:space="0"/>
              <w:right w:val="single" w:color="auto" w:sz="4" w:space="0"/>
            </w:tcBorders>
            <w:shd w:val="clear"/>
            <w:vAlign w:val="center"/>
          </w:tcPr>
          <w:p w14:paraId="2F1C64E1">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0.8106 (81.06%)</w:t>
            </w:r>
          </w:p>
        </w:tc>
        <w:tc>
          <w:tcPr>
            <w:tcW w:w="2296" w:type="dxa"/>
            <w:tcBorders>
              <w:top w:val="nil"/>
              <w:left w:val="nil"/>
              <w:bottom w:val="single" w:color="auto" w:sz="4" w:space="0"/>
              <w:right w:val="single" w:color="auto" w:sz="4" w:space="0"/>
            </w:tcBorders>
            <w:shd w:val="clear"/>
            <w:vAlign w:val="center"/>
          </w:tcPr>
          <w:p w14:paraId="19FD0BFE">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0.1888 (18.88%)</w:t>
            </w:r>
          </w:p>
        </w:tc>
        <w:tc>
          <w:tcPr>
            <w:tcW w:w="2056" w:type="dxa"/>
            <w:tcBorders>
              <w:top w:val="nil"/>
              <w:left w:val="nil"/>
              <w:bottom w:val="single" w:color="auto" w:sz="4" w:space="0"/>
              <w:right w:val="single" w:color="auto" w:sz="12" w:space="0"/>
            </w:tcBorders>
            <w:shd w:val="clear"/>
            <w:vAlign w:val="center"/>
          </w:tcPr>
          <w:p w14:paraId="34AD433B">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0.00065 (0.07%)</w:t>
            </w:r>
          </w:p>
        </w:tc>
      </w:tr>
      <w:tr w14:paraId="2D787DD0">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80" w:type="dxa"/>
            <w:left w:w="128" w:type="dxa"/>
            <w:bottom w:w="80" w:type="dxa"/>
            <w:right w:w="128" w:type="dxa"/>
          </w:tblCellMar>
        </w:tblPrEx>
        <w:trPr>
          <w:trHeight w:val="0" w:hRule="atLeast"/>
          <w:tblCellSpacing w:w="15" w:type="dxa"/>
          <w:jc w:val="center"/>
        </w:trPr>
        <w:tc>
          <w:tcPr>
            <w:tcW w:w="3493" w:type="dxa"/>
            <w:tcBorders>
              <w:top w:val="nil"/>
              <w:left w:val="single" w:color="auto" w:sz="12" w:space="0"/>
              <w:bottom w:val="single" w:color="auto" w:sz="12" w:space="0"/>
              <w:right w:val="single" w:color="auto" w:sz="4" w:space="0"/>
            </w:tcBorders>
            <w:shd w:val="clear"/>
            <w:vAlign w:val="center"/>
          </w:tcPr>
          <w:p w14:paraId="641B9CA1">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累计贡献率 (Cumulative Proportion)</w:t>
            </w:r>
          </w:p>
        </w:tc>
        <w:tc>
          <w:tcPr>
            <w:tcW w:w="2176" w:type="dxa"/>
            <w:tcBorders>
              <w:top w:val="nil"/>
              <w:left w:val="nil"/>
              <w:bottom w:val="single" w:color="auto" w:sz="12" w:space="0"/>
              <w:right w:val="single" w:color="auto" w:sz="4" w:space="0"/>
            </w:tcBorders>
            <w:shd w:val="clear"/>
            <w:vAlign w:val="center"/>
          </w:tcPr>
          <w:p w14:paraId="41711B71">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0.8106 (81.06%)</w:t>
            </w:r>
          </w:p>
        </w:tc>
        <w:tc>
          <w:tcPr>
            <w:tcW w:w="2296" w:type="dxa"/>
            <w:tcBorders>
              <w:top w:val="nil"/>
              <w:left w:val="nil"/>
              <w:bottom w:val="single" w:color="auto" w:sz="12" w:space="0"/>
              <w:right w:val="single" w:color="auto" w:sz="4" w:space="0"/>
            </w:tcBorders>
            <w:shd w:val="clear"/>
            <w:vAlign w:val="center"/>
          </w:tcPr>
          <w:p w14:paraId="547C3460">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0.9993 (99.93%)</w:t>
            </w:r>
          </w:p>
        </w:tc>
        <w:tc>
          <w:tcPr>
            <w:tcW w:w="2056" w:type="dxa"/>
            <w:tcBorders>
              <w:top w:val="nil"/>
              <w:left w:val="nil"/>
              <w:bottom w:val="single" w:color="auto" w:sz="12" w:space="0"/>
              <w:right w:val="single" w:color="auto" w:sz="12" w:space="0"/>
            </w:tcBorders>
            <w:shd w:val="clear"/>
            <w:vAlign w:val="center"/>
          </w:tcPr>
          <w:p w14:paraId="7F0E7252">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1.00000 (100%)</w:t>
            </w:r>
          </w:p>
        </w:tc>
      </w:tr>
    </w:tbl>
    <w:p w14:paraId="7EBB0DC2">
      <w:pPr>
        <w:rPr>
          <w:rFonts w:hint="eastAsia" w:ascii="宋体" w:hAnsi="宋体" w:eastAsia="宋体" w:cs="宋体"/>
          <w:sz w:val="24"/>
          <w:szCs w:val="24"/>
        </w:rPr>
      </w:pPr>
    </w:p>
    <w:p w14:paraId="20424926">
      <w:pPr>
        <w:rPr>
          <w:rFonts w:hint="eastAsia" w:ascii="宋体" w:hAnsi="宋体" w:eastAsia="宋体" w:cs="宋体"/>
          <w:sz w:val="24"/>
          <w:szCs w:val="24"/>
        </w:rPr>
      </w:pPr>
    </w:p>
    <w:p w14:paraId="5439617A">
      <w:pPr>
        <w:rPr>
          <w:rFonts w:hint="eastAsia" w:ascii="宋体" w:hAnsi="宋体" w:eastAsia="宋体" w:cs="宋体"/>
          <w:sz w:val="24"/>
          <w:szCs w:val="24"/>
        </w:rPr>
      </w:pPr>
      <w:r>
        <w:rPr>
          <w:rFonts w:hint="eastAsia" w:ascii="宋体" w:hAnsi="宋体" w:eastAsia="宋体" w:cs="宋体"/>
          <w:sz w:val="24"/>
          <w:szCs w:val="24"/>
        </w:rPr>
        <w:t>分析与观点：</w:t>
      </w:r>
    </w:p>
    <w:p w14:paraId="34E8B570">
      <w:pPr>
        <w:rPr>
          <w:rFonts w:hint="eastAsia" w:ascii="宋体" w:hAnsi="宋体" w:eastAsia="宋体" w:cs="宋体"/>
          <w:sz w:val="24"/>
          <w:szCs w:val="24"/>
        </w:rPr>
      </w:pPr>
      <w:r>
        <w:rPr>
          <w:rFonts w:hint="eastAsia" w:ascii="宋体" w:hAnsi="宋体" w:eastAsia="宋体" w:cs="宋体"/>
          <w:sz w:val="24"/>
          <w:szCs w:val="24"/>
        </w:rPr>
        <w:t>方差解释力： PC1 (第一主成分) 解释了原始 3 个自变量总方差的 81.06%，是最主要的影响因素。PC2 (第二主成分) 解释了 18.88% 的方差。</w:t>
      </w:r>
    </w:p>
    <w:p w14:paraId="1C21434A">
      <w:pPr>
        <w:rPr>
          <w:rFonts w:hint="eastAsia" w:ascii="宋体" w:hAnsi="宋体" w:eastAsia="宋体" w:cs="宋体"/>
          <w:sz w:val="24"/>
          <w:szCs w:val="24"/>
        </w:rPr>
      </w:pPr>
    </w:p>
    <w:p w14:paraId="0523CD10">
      <w:pPr>
        <w:rPr>
          <w:rFonts w:hint="eastAsia" w:ascii="宋体" w:hAnsi="宋体" w:eastAsia="宋体" w:cs="宋体"/>
          <w:sz w:val="24"/>
          <w:szCs w:val="24"/>
        </w:rPr>
      </w:pPr>
      <w:r>
        <w:rPr>
          <w:rFonts w:hint="eastAsia" w:ascii="宋体" w:hAnsi="宋体" w:eastAsia="宋体" w:cs="宋体"/>
          <w:sz w:val="24"/>
          <w:szCs w:val="24"/>
        </w:rPr>
        <w:t>降维效果： PC1 和 PC2 的累计方差贡献率高达 99.93%。</w:t>
      </w:r>
    </w:p>
    <w:p w14:paraId="1306909A">
      <w:pPr>
        <w:rPr>
          <w:rFonts w:hint="eastAsia" w:ascii="宋体" w:hAnsi="宋体" w:eastAsia="宋体" w:cs="宋体"/>
          <w:sz w:val="24"/>
          <w:szCs w:val="24"/>
        </w:rPr>
      </w:pPr>
    </w:p>
    <w:p w14:paraId="5CF25FAB">
      <w:pPr>
        <w:rPr>
          <w:rFonts w:hint="eastAsia" w:ascii="宋体" w:hAnsi="宋体" w:eastAsia="宋体" w:cs="宋体"/>
          <w:sz w:val="24"/>
          <w:szCs w:val="24"/>
        </w:rPr>
      </w:pPr>
      <w:r>
        <w:rPr>
          <w:rFonts w:hint="eastAsia" w:ascii="宋体" w:hAnsi="宋体" w:eastAsia="宋体" w:cs="宋体"/>
          <w:sz w:val="24"/>
          <w:szCs w:val="24"/>
        </w:rPr>
        <w:t>结论： 我们可以非常成功地将原始的 3 个自变量（X1, X2, X3）降维为 2 个新的、互不相关的主成分（PC1, PC2），同时几乎保留了全部的原始信息（99.93%）。PC3 的贡献率 (0.07%) 微乎其微，可以忽略不计</w:t>
      </w:r>
    </w:p>
    <w:p w14:paraId="74AE315A">
      <w:pPr>
        <w:rPr>
          <w:rFonts w:hint="eastAsia" w:ascii="宋体" w:hAnsi="宋体" w:eastAsia="宋体" w:cs="宋体"/>
          <w:sz w:val="24"/>
          <w:szCs w:val="24"/>
        </w:rPr>
      </w:pPr>
      <w:r>
        <w:rPr>
          <w:rFonts w:hint="eastAsia" w:ascii="宋体" w:hAnsi="宋体" w:eastAsia="宋体" w:cs="宋体"/>
          <w:sz w:val="24"/>
          <w:szCs w:val="24"/>
        </w:rPr>
        <w:br w:type="textWrapping"/>
      </w:r>
      <w:r>
        <w:rPr>
          <w:rFonts w:hint="eastAsia" w:ascii="宋体" w:hAnsi="宋体" w:eastAsia="宋体" w:cs="宋体"/>
          <w:sz w:val="24"/>
          <w:szCs w:val="24"/>
        </w:rPr>
        <w:t>主成分</w:t>
      </w:r>
      <w:r>
        <w:rPr>
          <w:rFonts w:hint="eastAsia" w:ascii="宋体" w:hAnsi="宋体" w:eastAsia="宋体" w:cs="宋体"/>
          <w:sz w:val="24"/>
          <w:szCs w:val="24"/>
          <w:lang w:val="en-US" w:eastAsia="zh-CN"/>
        </w:rPr>
        <w:t>载荷矩阵</w:t>
      </w:r>
      <w:r>
        <w:rPr>
          <w:rFonts w:hint="eastAsia" w:ascii="宋体" w:hAnsi="宋体" w:eastAsia="宋体" w:cs="宋体"/>
          <w:sz w:val="24"/>
          <w:szCs w:val="24"/>
        </w:rPr>
        <w:t>：</w:t>
      </w:r>
    </w:p>
    <w:tbl>
      <w:tblPr>
        <w:tblW w:w="8856" w:type="dxa"/>
        <w:jc w:val="center"/>
        <w:tblCellSpacing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Layout w:type="fixed"/>
        <w:tblCellMar>
          <w:top w:w="80" w:type="dxa"/>
          <w:left w:w="128" w:type="dxa"/>
          <w:bottom w:w="80" w:type="dxa"/>
          <w:right w:w="128" w:type="dxa"/>
        </w:tblCellMar>
      </w:tblPr>
      <w:tblGrid>
        <w:gridCol w:w="3377"/>
        <w:gridCol w:w="1818"/>
        <w:gridCol w:w="1818"/>
        <w:gridCol w:w="1843"/>
      </w:tblGrid>
      <w:tr w14:paraId="20E035F4">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80" w:type="dxa"/>
            <w:left w:w="128" w:type="dxa"/>
            <w:bottom w:w="80" w:type="dxa"/>
            <w:right w:w="128" w:type="dxa"/>
          </w:tblCellMar>
        </w:tblPrEx>
        <w:trPr>
          <w:trHeight w:val="0" w:hRule="atLeast"/>
          <w:tblHeader/>
          <w:tblCellSpacing w:w="15" w:type="dxa"/>
          <w:jc w:val="center"/>
        </w:trPr>
        <w:tc>
          <w:tcPr>
            <w:tcW w:w="3332" w:type="dxa"/>
            <w:tcBorders>
              <w:top w:val="single" w:color="auto" w:sz="12" w:space="0"/>
              <w:left w:val="nil"/>
              <w:bottom w:val="single" w:color="auto" w:sz="4" w:space="0"/>
              <w:right w:val="single" w:color="auto" w:sz="4" w:space="0"/>
            </w:tcBorders>
            <w:shd w:val="clear"/>
            <w:vAlign w:val="center"/>
          </w:tcPr>
          <w:p w14:paraId="4E346A90">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原始变量</w:t>
            </w:r>
          </w:p>
        </w:tc>
        <w:tc>
          <w:tcPr>
            <w:tcW w:w="1788" w:type="dxa"/>
            <w:tcBorders>
              <w:top w:val="single" w:color="auto" w:sz="12" w:space="0"/>
              <w:left w:val="nil"/>
              <w:bottom w:val="single" w:color="auto" w:sz="4" w:space="0"/>
              <w:right w:val="single" w:color="auto" w:sz="4" w:space="0"/>
            </w:tcBorders>
            <w:shd w:val="clear"/>
            <w:vAlign w:val="center"/>
          </w:tcPr>
          <w:p w14:paraId="69D75816">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PC1载荷</w:t>
            </w:r>
          </w:p>
        </w:tc>
        <w:tc>
          <w:tcPr>
            <w:tcW w:w="1788" w:type="dxa"/>
            <w:tcBorders>
              <w:top w:val="single" w:color="auto" w:sz="12" w:space="0"/>
              <w:left w:val="nil"/>
              <w:bottom w:val="single" w:color="auto" w:sz="4" w:space="0"/>
              <w:right w:val="single" w:color="auto" w:sz="4" w:space="0"/>
            </w:tcBorders>
            <w:shd w:val="clear"/>
            <w:vAlign w:val="center"/>
          </w:tcPr>
          <w:p w14:paraId="7723B55D">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PC2载荷</w:t>
            </w:r>
          </w:p>
        </w:tc>
        <w:tc>
          <w:tcPr>
            <w:tcW w:w="1798" w:type="dxa"/>
            <w:tcBorders>
              <w:top w:val="single" w:color="auto" w:sz="12" w:space="0"/>
              <w:left w:val="nil"/>
              <w:bottom w:val="single" w:color="auto" w:sz="4" w:space="0"/>
              <w:right w:val="single" w:color="auto" w:sz="12" w:space="0"/>
            </w:tcBorders>
            <w:shd w:val="clear"/>
            <w:vAlign w:val="center"/>
          </w:tcPr>
          <w:p w14:paraId="12F3022D">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PC3载荷</w:t>
            </w:r>
          </w:p>
        </w:tc>
      </w:tr>
      <w:tr w14:paraId="4CDE0AC2">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tblCellMar>
            <w:top w:w="80" w:type="dxa"/>
            <w:left w:w="128" w:type="dxa"/>
            <w:bottom w:w="80" w:type="dxa"/>
            <w:right w:w="128" w:type="dxa"/>
          </w:tblCellMar>
        </w:tblPrEx>
        <w:trPr>
          <w:trHeight w:val="0" w:hRule="atLeast"/>
          <w:tblCellSpacing w:w="15" w:type="dxa"/>
          <w:jc w:val="center"/>
        </w:trPr>
        <w:tc>
          <w:tcPr>
            <w:tcW w:w="3332" w:type="dxa"/>
            <w:tcBorders>
              <w:top w:val="nil"/>
              <w:left w:val="single" w:color="auto" w:sz="12" w:space="0"/>
              <w:bottom w:val="single" w:color="auto" w:sz="4" w:space="0"/>
              <w:right w:val="single" w:color="auto" w:sz="4" w:space="0"/>
            </w:tcBorders>
            <w:shd w:val="clear"/>
            <w:vAlign w:val="center"/>
          </w:tcPr>
          <w:p w14:paraId="61F068F2">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X1_Income (收入)</w:t>
            </w:r>
          </w:p>
        </w:tc>
        <w:tc>
          <w:tcPr>
            <w:tcW w:w="1788" w:type="dxa"/>
            <w:tcBorders>
              <w:top w:val="nil"/>
              <w:left w:val="nil"/>
              <w:bottom w:val="single" w:color="auto" w:sz="4" w:space="0"/>
              <w:right w:val="single" w:color="auto" w:sz="4" w:space="0"/>
            </w:tcBorders>
            <w:shd w:val="clear"/>
            <w:vAlign w:val="center"/>
          </w:tcPr>
          <w:p w14:paraId="241A7F57">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0.621</w:t>
            </w:r>
          </w:p>
        </w:tc>
        <w:tc>
          <w:tcPr>
            <w:tcW w:w="1788" w:type="dxa"/>
            <w:tcBorders>
              <w:top w:val="nil"/>
              <w:left w:val="nil"/>
              <w:bottom w:val="single" w:color="auto" w:sz="4" w:space="0"/>
              <w:right w:val="single" w:color="auto" w:sz="4" w:space="0"/>
            </w:tcBorders>
            <w:shd w:val="clear"/>
            <w:vAlign w:val="center"/>
          </w:tcPr>
          <w:p w14:paraId="748AE554">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0.332</w:t>
            </w:r>
          </w:p>
        </w:tc>
        <w:tc>
          <w:tcPr>
            <w:tcW w:w="1798" w:type="dxa"/>
            <w:tcBorders>
              <w:top w:val="nil"/>
              <w:left w:val="nil"/>
              <w:bottom w:val="single" w:color="auto" w:sz="4" w:space="0"/>
              <w:right w:val="single" w:color="auto" w:sz="12" w:space="0"/>
            </w:tcBorders>
            <w:shd w:val="clear"/>
            <w:vAlign w:val="center"/>
          </w:tcPr>
          <w:p w14:paraId="7C052A30">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0.710</w:t>
            </w:r>
          </w:p>
        </w:tc>
      </w:tr>
      <w:tr w14:paraId="3CA30435">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80" w:type="dxa"/>
            <w:left w:w="128" w:type="dxa"/>
            <w:bottom w:w="80" w:type="dxa"/>
            <w:right w:w="128" w:type="dxa"/>
          </w:tblCellMar>
        </w:tblPrEx>
        <w:trPr>
          <w:trHeight w:val="0" w:hRule="atLeast"/>
          <w:tblCellSpacing w:w="15" w:type="dxa"/>
          <w:jc w:val="center"/>
        </w:trPr>
        <w:tc>
          <w:tcPr>
            <w:tcW w:w="3332" w:type="dxa"/>
            <w:tcBorders>
              <w:top w:val="nil"/>
              <w:left w:val="single" w:color="auto" w:sz="12" w:space="0"/>
              <w:bottom w:val="single" w:color="auto" w:sz="4" w:space="0"/>
              <w:right w:val="single" w:color="auto" w:sz="4" w:space="0"/>
            </w:tcBorders>
            <w:shd w:val="clear"/>
            <w:vAlign w:val="center"/>
          </w:tcPr>
          <w:p w14:paraId="317A313F">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X2_CPI (物价)</w:t>
            </w:r>
          </w:p>
        </w:tc>
        <w:tc>
          <w:tcPr>
            <w:tcW w:w="1788" w:type="dxa"/>
            <w:tcBorders>
              <w:top w:val="nil"/>
              <w:left w:val="nil"/>
              <w:bottom w:val="single" w:color="auto" w:sz="4" w:space="0"/>
              <w:right w:val="single" w:color="auto" w:sz="4" w:space="0"/>
            </w:tcBorders>
            <w:shd w:val="clear"/>
            <w:vAlign w:val="center"/>
          </w:tcPr>
          <w:p w14:paraId="7E6ED1FC">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-0.482</w:t>
            </w:r>
          </w:p>
        </w:tc>
        <w:tc>
          <w:tcPr>
            <w:tcW w:w="1788" w:type="dxa"/>
            <w:tcBorders>
              <w:top w:val="nil"/>
              <w:left w:val="nil"/>
              <w:bottom w:val="single" w:color="auto" w:sz="4" w:space="0"/>
              <w:right w:val="single" w:color="auto" w:sz="4" w:space="0"/>
            </w:tcBorders>
            <w:shd w:val="clear"/>
            <w:vAlign w:val="center"/>
          </w:tcPr>
          <w:p w14:paraId="10E16594">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0.876</w:t>
            </w:r>
          </w:p>
        </w:tc>
        <w:tc>
          <w:tcPr>
            <w:tcW w:w="1798" w:type="dxa"/>
            <w:tcBorders>
              <w:top w:val="nil"/>
              <w:left w:val="nil"/>
              <w:bottom w:val="single" w:color="auto" w:sz="4" w:space="0"/>
              <w:right w:val="single" w:color="auto" w:sz="12" w:space="0"/>
            </w:tcBorders>
            <w:shd w:val="clear"/>
            <w:vAlign w:val="center"/>
          </w:tcPr>
          <w:p w14:paraId="38BF6ED5">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0.012</w:t>
            </w:r>
          </w:p>
        </w:tc>
      </w:tr>
      <w:tr w14:paraId="64BCC38E">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80" w:type="dxa"/>
            <w:left w:w="128" w:type="dxa"/>
            <w:bottom w:w="80" w:type="dxa"/>
            <w:right w:w="128" w:type="dxa"/>
          </w:tblCellMar>
        </w:tblPrEx>
        <w:trPr>
          <w:trHeight w:val="0" w:hRule="atLeast"/>
          <w:tblCellSpacing w:w="15" w:type="dxa"/>
          <w:jc w:val="center"/>
        </w:trPr>
        <w:tc>
          <w:tcPr>
            <w:tcW w:w="3332" w:type="dxa"/>
            <w:tcBorders>
              <w:top w:val="nil"/>
              <w:left w:val="single" w:color="auto" w:sz="12" w:space="0"/>
              <w:bottom w:val="single" w:color="auto" w:sz="12" w:space="0"/>
              <w:right w:val="single" w:color="auto" w:sz="4" w:space="0"/>
            </w:tcBorders>
            <w:shd w:val="clear"/>
            <w:vAlign w:val="center"/>
          </w:tcPr>
          <w:p w14:paraId="7C49AF93">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X3_Social (社保)</w:t>
            </w:r>
          </w:p>
        </w:tc>
        <w:tc>
          <w:tcPr>
            <w:tcW w:w="1788" w:type="dxa"/>
            <w:tcBorders>
              <w:top w:val="nil"/>
              <w:left w:val="nil"/>
              <w:bottom w:val="single" w:color="auto" w:sz="12" w:space="0"/>
              <w:right w:val="single" w:color="auto" w:sz="4" w:space="0"/>
            </w:tcBorders>
            <w:shd w:val="clear"/>
            <w:vAlign w:val="center"/>
          </w:tcPr>
          <w:p w14:paraId="4D4ED130">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0.618</w:t>
            </w:r>
          </w:p>
        </w:tc>
        <w:tc>
          <w:tcPr>
            <w:tcW w:w="1788" w:type="dxa"/>
            <w:tcBorders>
              <w:top w:val="nil"/>
              <w:left w:val="nil"/>
              <w:bottom w:val="single" w:color="auto" w:sz="12" w:space="0"/>
              <w:right w:val="single" w:color="auto" w:sz="4" w:space="0"/>
            </w:tcBorders>
            <w:shd w:val="clear"/>
            <w:vAlign w:val="center"/>
          </w:tcPr>
          <w:p w14:paraId="619996A1">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0.350</w:t>
            </w:r>
          </w:p>
        </w:tc>
        <w:tc>
          <w:tcPr>
            <w:tcW w:w="1798" w:type="dxa"/>
            <w:tcBorders>
              <w:top w:val="nil"/>
              <w:left w:val="nil"/>
              <w:bottom w:val="single" w:color="auto" w:sz="12" w:space="0"/>
              <w:right w:val="single" w:color="auto" w:sz="12" w:space="0"/>
            </w:tcBorders>
            <w:shd w:val="clear"/>
            <w:vAlign w:val="center"/>
          </w:tcPr>
          <w:p w14:paraId="62C51B26">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-0.704</w:t>
            </w:r>
          </w:p>
        </w:tc>
      </w:tr>
    </w:tbl>
    <w:p w14:paraId="75BFD895">
      <w:pPr>
        <w:rPr>
          <w:rFonts w:hint="eastAsia" w:ascii="宋体" w:hAnsi="宋体" w:eastAsia="宋体" w:cs="宋体"/>
          <w:sz w:val="24"/>
          <w:szCs w:val="24"/>
        </w:rPr>
      </w:pPr>
    </w:p>
    <w:p w14:paraId="051C572A">
      <w:pPr>
        <w:rPr>
          <w:rFonts w:hint="eastAsia" w:ascii="宋体" w:hAnsi="宋体" w:eastAsia="宋体" w:cs="宋体"/>
          <w:sz w:val="24"/>
          <w:szCs w:val="24"/>
          <w:lang w:val="en-US" w:eastAsia="zh-CN"/>
        </w:rPr>
      </w:pPr>
      <w:r>
        <w:rPr>
          <w:rFonts w:hint="eastAsia" w:ascii="宋体" w:hAnsi="宋体" w:eastAsia="宋体" w:cs="宋体"/>
          <w:sz w:val="24"/>
          <w:szCs w:val="24"/>
        </w:rPr>
        <w:t>园6：PCA 变量贡献</w:t>
      </w:r>
      <w:r>
        <w:rPr>
          <w:rFonts w:hint="eastAsia" w:ascii="宋体" w:hAnsi="宋体" w:eastAsia="宋体" w:cs="宋体"/>
          <w:sz w:val="24"/>
          <w:szCs w:val="24"/>
          <w:lang w:val="en-US" w:eastAsia="zh-CN"/>
        </w:rPr>
        <w:t>图</w:t>
      </w:r>
    </w:p>
    <w:p w14:paraId="3326848D">
      <w:pPr>
        <w:rPr>
          <w:rFonts w:hint="eastAsia" w:ascii="宋体" w:hAnsi="宋体" w:eastAsia="宋体" w:cs="宋体"/>
          <w:sz w:val="24"/>
          <w:szCs w:val="24"/>
        </w:rPr>
      </w:pPr>
      <w:r>
        <w:drawing>
          <wp:inline distT="0" distB="0" distL="114300" distR="114300">
            <wp:extent cx="5485765" cy="3394075"/>
            <wp:effectExtent l="0" t="0" r="635" b="444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5485765" cy="3394075"/>
                    </a:xfrm>
                    <a:prstGeom prst="rect">
                      <a:avLst/>
                    </a:prstGeom>
                    <a:noFill/>
                    <a:ln>
                      <a:noFill/>
                    </a:ln>
                  </pic:spPr>
                </pic:pic>
              </a:graphicData>
            </a:graphic>
          </wp:inline>
        </w:drawing>
      </w:r>
      <w:r>
        <w:rPr>
          <w:rFonts w:hint="eastAsia" w:ascii="宋体" w:hAnsi="宋体" w:eastAsia="宋体" w:cs="宋体"/>
          <w:sz w:val="24"/>
          <w:szCs w:val="24"/>
        </w:rPr>
        <w:br w:type="textWrapping"/>
      </w:r>
      <w:r>
        <w:rPr>
          <w:rFonts w:hint="eastAsia" w:ascii="宋体" w:hAnsi="宋体" w:eastAsia="宋体" w:cs="宋体"/>
          <w:sz w:val="24"/>
          <w:szCs w:val="24"/>
        </w:rPr>
        <w:t>分析与观点：通过分析载荷矩阵和图6，我们可以定义这两个主成分的含义：</w:t>
      </w:r>
      <w:r>
        <w:rPr>
          <w:rFonts w:hint="eastAsia" w:ascii="宋体" w:hAnsi="宋体" w:eastAsia="宋体" w:cs="宋体"/>
          <w:sz w:val="24"/>
          <w:szCs w:val="24"/>
        </w:rPr>
        <w:br w:type="textWrapping"/>
      </w:r>
      <w:r>
        <w:rPr>
          <w:rFonts w:hint="eastAsia" w:ascii="宋体" w:hAnsi="宋体" w:eastAsia="宋体" w:cs="宋体"/>
          <w:sz w:val="24"/>
          <w:szCs w:val="24"/>
        </w:rPr>
        <w:t>1．PC1（第一主成分）：在 X1＿Income（0．621）和 X3＿Social（0．618）上具有极高且相似的正载荷。我们可以将 PC1 命名为＂经济增长与保障因子＂。它代表了由居民收入增长和社会保障投入增加共同驱动的宏观经济增长趋势。</w:t>
      </w:r>
    </w:p>
    <w:p w14:paraId="3BB7BECB">
      <w:pPr>
        <w:rPr>
          <w:rFonts w:hint="eastAsia" w:ascii="宋体" w:hAnsi="宋体" w:eastAsia="宋体" w:cs="宋体"/>
          <w:sz w:val="24"/>
          <w:szCs w:val="24"/>
        </w:rPr>
      </w:pPr>
      <w:r>
        <w:rPr>
          <w:rFonts w:hint="eastAsia" w:ascii="宋体" w:hAnsi="宋体" w:eastAsia="宋体" w:cs="宋体"/>
          <w:sz w:val="24"/>
          <w:szCs w:val="24"/>
        </w:rPr>
        <w:t>2．PC2（第二主成分）：在 X2＿CPI（0．876）上具有绝对主导的正载荷。我们可以将 PC2 命名为＂物价波动因子＂。</w:t>
      </w:r>
    </w:p>
    <w:p w14:paraId="70A9A971">
      <w:pPr>
        <w:rPr>
          <w:rFonts w:hint="eastAsia" w:ascii="宋体" w:hAnsi="宋体" w:eastAsia="宋体" w:cs="宋体"/>
          <w:sz w:val="24"/>
          <w:szCs w:val="24"/>
        </w:rPr>
      </w:pPr>
      <w:r>
        <w:rPr>
          <w:rFonts w:hint="eastAsia" w:ascii="宋体" w:hAnsi="宋体" w:eastAsia="宋体" w:cs="宋体"/>
          <w:sz w:val="24"/>
          <w:szCs w:val="24"/>
        </w:rPr>
        <w:t>结论：PCA 成功地将 3 个自变量整合为 2 个互不相关的综合因子（＂经济增长与保障＂和＂物价波动＂），这为后续分析提供了更清晰的视角。</w:t>
      </w:r>
    </w:p>
    <w:p w14:paraId="6E970E8E">
      <w:pPr>
        <w:pStyle w:val="3"/>
        <w:bidi w:val="0"/>
        <w:rPr>
          <w:rFonts w:hint="eastAsia" w:ascii="宋体" w:hAnsi="宋体" w:eastAsia="黑体" w:cs="宋体"/>
          <w:szCs w:val="24"/>
          <w:lang w:eastAsia="zh-CN"/>
        </w:rPr>
      </w:pPr>
      <w:r>
        <w:rPr>
          <w:rFonts w:hint="eastAsia" w:ascii="宋体" w:hAnsi="宋体" w:eastAsia="宋体" w:cs="宋体"/>
          <w:szCs w:val="24"/>
        </w:rPr>
        <w:br w:type="textWrapping"/>
      </w:r>
      <w:r>
        <w:rPr>
          <w:rFonts w:hint="eastAsia"/>
        </w:rPr>
        <w:t>4.3 方法三：聚类分析（</w:t>
      </w:r>
      <w:r>
        <w:rPr>
          <w:rFonts w:hint="eastAsia"/>
          <w:lang w:val="en-US" w:eastAsia="zh-CN"/>
        </w:rPr>
        <w:t>基于PCA</w:t>
      </w:r>
      <w:r>
        <w:rPr>
          <w:rFonts w:hint="eastAsia"/>
          <w:lang w:eastAsia="zh-CN"/>
        </w:rPr>
        <w:t>）</w:t>
      </w:r>
    </w:p>
    <w:p w14:paraId="61A7BDFF">
      <w:pPr>
        <w:rPr>
          <w:rFonts w:hint="eastAsia" w:ascii="宋体" w:hAnsi="宋体" w:eastAsia="宋体" w:cs="宋体"/>
          <w:sz w:val="24"/>
          <w:szCs w:val="24"/>
        </w:rPr>
      </w:pPr>
      <w:r>
        <w:rPr>
          <w:rFonts w:hint="eastAsia" w:ascii="宋体" w:hAnsi="宋体" w:eastAsia="宋体" w:cs="宋体"/>
          <w:sz w:val="24"/>
          <w:szCs w:val="24"/>
        </w:rPr>
        <w:t>目的：根据</w:t>
      </w:r>
      <w:r>
        <w:rPr>
          <w:rFonts w:hint="eastAsia" w:ascii="宋体" w:hAnsi="宋体" w:eastAsia="宋体" w:cs="宋体"/>
          <w:sz w:val="24"/>
          <w:szCs w:val="24"/>
          <w:lang w:val="en-US" w:eastAsia="zh-CN"/>
        </w:rPr>
        <w:t>主成分降维后的</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个经济指标（Y，X1，X2）的综合表现，对2007－2024年这 18 个年份进行聚类，以划分不同的＂经济发展阶段＂。</w:t>
      </w:r>
    </w:p>
    <w:p w14:paraId="47CCFDBA">
      <w:pPr>
        <w:rPr>
          <w:rFonts w:hint="eastAsia" w:ascii="宋体" w:hAnsi="宋体" w:eastAsia="宋体" w:cs="宋体"/>
          <w:sz w:val="24"/>
          <w:szCs w:val="24"/>
        </w:rPr>
      </w:pPr>
      <w:r>
        <w:rPr>
          <w:rFonts w:hint="eastAsia" w:ascii="宋体" w:hAnsi="宋体" w:eastAsia="宋体" w:cs="宋体"/>
          <w:sz w:val="24"/>
          <w:szCs w:val="24"/>
        </w:rPr>
        <w:t>园7：最佳聚类数</w:t>
      </w:r>
    </w:p>
    <w:p w14:paraId="5F63677E">
      <w:pPr>
        <w:rPr>
          <w:rFonts w:hint="eastAsia" w:ascii="宋体" w:hAnsi="宋体" w:eastAsia="宋体" w:cs="宋体"/>
          <w:sz w:val="24"/>
          <w:szCs w:val="24"/>
        </w:rPr>
      </w:pPr>
      <w:r>
        <w:drawing>
          <wp:inline distT="0" distB="0" distL="114300" distR="114300">
            <wp:extent cx="5480050" cy="3350260"/>
            <wp:effectExtent l="0" t="0" r="6350" b="254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2"/>
                    <a:stretch>
                      <a:fillRect/>
                    </a:stretch>
                  </pic:blipFill>
                  <pic:spPr>
                    <a:xfrm>
                      <a:off x="0" y="0"/>
                      <a:ext cx="5480050" cy="3350260"/>
                    </a:xfrm>
                    <a:prstGeom prst="rect">
                      <a:avLst/>
                    </a:prstGeom>
                    <a:noFill/>
                    <a:ln>
                      <a:noFill/>
                    </a:ln>
                  </pic:spPr>
                </pic:pic>
              </a:graphicData>
            </a:graphic>
          </wp:inline>
        </w:drawing>
      </w:r>
      <w:r>
        <w:rPr>
          <w:rFonts w:hint="eastAsia" w:ascii="宋体" w:hAnsi="宋体" w:eastAsia="宋体" w:cs="宋体"/>
          <w:sz w:val="24"/>
          <w:szCs w:val="24"/>
        </w:rPr>
        <w:br w:type="textWrapping"/>
      </w:r>
      <w:r>
        <w:rPr>
          <w:rFonts w:hint="eastAsia" w:ascii="宋体" w:hAnsi="宋体" w:eastAsia="宋体" w:cs="宋体"/>
          <w:sz w:val="24"/>
          <w:szCs w:val="24"/>
        </w:rPr>
        <w:t>分析：如图7所示，总内平方和（WSS）曲线在 K＝3 时出现了一个明显的弯曲，表明 K＝3 是本次聚类的最佳选择。</w:t>
      </w:r>
    </w:p>
    <w:p w14:paraId="2218368C">
      <w:pPr>
        <w:rPr>
          <w:rFonts w:hint="eastAsia" w:ascii="宋体" w:hAnsi="宋体" w:eastAsia="宋体" w:cs="宋体"/>
          <w:sz w:val="24"/>
          <w:szCs w:val="24"/>
        </w:rPr>
      </w:pPr>
      <w:r>
        <w:rPr>
          <w:rFonts w:hint="eastAsia" w:ascii="宋体" w:hAnsi="宋体" w:eastAsia="宋体" w:cs="宋体"/>
          <w:sz w:val="24"/>
          <w:szCs w:val="24"/>
        </w:rPr>
        <w:t>聚类结果（年份分配）：</w:t>
      </w:r>
    </w:p>
    <w:tbl>
      <w:tblPr>
        <w:tblStyle w:val="5"/>
        <w:tblW w:w="8870" w:type="dxa"/>
        <w:jc w:val="center"/>
        <w:tblCellSpacing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fixed"/>
        <w:tblCellMar>
          <w:top w:w="56" w:type="dxa"/>
          <w:left w:w="77" w:type="dxa"/>
          <w:bottom w:w="56" w:type="dxa"/>
          <w:right w:w="77" w:type="dxa"/>
        </w:tblCellMar>
      </w:tblPr>
      <w:tblGrid>
        <w:gridCol w:w="2459"/>
        <w:gridCol w:w="710"/>
        <w:gridCol w:w="710"/>
        <w:gridCol w:w="710"/>
        <w:gridCol w:w="711"/>
        <w:gridCol w:w="711"/>
        <w:gridCol w:w="711"/>
        <w:gridCol w:w="711"/>
        <w:gridCol w:w="711"/>
        <w:gridCol w:w="726"/>
      </w:tblGrid>
      <w:tr w14:paraId="523661E1">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56" w:type="dxa"/>
            <w:left w:w="77" w:type="dxa"/>
            <w:bottom w:w="56" w:type="dxa"/>
            <w:right w:w="77" w:type="dxa"/>
          </w:tblCellMar>
        </w:tblPrEx>
        <w:trPr>
          <w:trHeight w:val="0" w:hRule="atLeast"/>
          <w:tblHeader/>
          <w:tblCellSpacing w:w="15" w:type="dxa"/>
          <w:jc w:val="center"/>
        </w:trPr>
        <w:tc>
          <w:tcPr>
            <w:tcW w:w="2414" w:type="dxa"/>
            <w:tcBorders>
              <w:top w:val="single" w:color="auto" w:sz="4" w:space="0"/>
              <w:left w:val="single" w:color="auto" w:sz="4" w:space="0"/>
              <w:bottom w:val="single" w:color="auto" w:sz="4" w:space="0"/>
              <w:right w:val="single" w:color="auto" w:sz="4" w:space="0"/>
            </w:tcBorders>
            <w:shd w:val="clear" w:color="auto" w:fill="auto"/>
            <w:vAlign w:val="center"/>
          </w:tcPr>
          <w:p w14:paraId="115E0AB5">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年份(Year)</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5D9E2B6A">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2007</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73175AEC">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2008</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47197317">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2009</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24B1126B">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2010</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15733388">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2011</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7F1B7263">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2012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1726A4EE">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2013</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00348D27">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2014</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5B4C87C5">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2015</w:t>
            </w:r>
          </w:p>
        </w:tc>
      </w:tr>
      <w:tr w14:paraId="65D9C26D">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56" w:type="dxa"/>
            <w:left w:w="77" w:type="dxa"/>
            <w:bottom w:w="56" w:type="dxa"/>
            <w:right w:w="77" w:type="dxa"/>
          </w:tblCellMar>
        </w:tblPrEx>
        <w:trPr>
          <w:trHeight w:val="0" w:hRule="atLeast"/>
          <w:tblCellSpacing w:w="15" w:type="dxa"/>
          <w:jc w:val="center"/>
        </w:trPr>
        <w:tc>
          <w:tcPr>
            <w:tcW w:w="2414" w:type="dxa"/>
            <w:tcBorders>
              <w:top w:val="single" w:color="auto" w:sz="4" w:space="0"/>
              <w:left w:val="single" w:color="auto" w:sz="4" w:space="0"/>
              <w:bottom w:val="single" w:color="auto" w:sz="4" w:space="0"/>
              <w:right w:val="single" w:color="auto" w:sz="4" w:space="0"/>
            </w:tcBorders>
            <w:shd w:val="clear" w:color="auto" w:fill="auto"/>
            <w:vAlign w:val="center"/>
          </w:tcPr>
          <w:p w14:paraId="53041EA5">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所属聚类 (Cluster)</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44295281">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3</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3F3FD2BE">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3</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3FFCD4B0">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49482125">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3</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131808C8">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3</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30521FBD">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426DAE4B">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3BFBBF6E">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35579FB4">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w:t>
            </w:r>
          </w:p>
        </w:tc>
      </w:tr>
      <w:tr w14:paraId="0C65160A">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56" w:type="dxa"/>
            <w:left w:w="77" w:type="dxa"/>
            <w:bottom w:w="56" w:type="dxa"/>
            <w:right w:w="77" w:type="dxa"/>
          </w:tblCellMar>
        </w:tblPrEx>
        <w:trPr>
          <w:trHeight w:val="0" w:hRule="atLeast"/>
          <w:tblHeader/>
          <w:tblCellSpacing w:w="15" w:type="dxa"/>
          <w:jc w:val="center"/>
        </w:trPr>
        <w:tc>
          <w:tcPr>
            <w:tcW w:w="2414" w:type="dxa"/>
            <w:tcBorders>
              <w:top w:val="single" w:color="auto" w:sz="4" w:space="0"/>
              <w:left w:val="single" w:color="auto" w:sz="4" w:space="0"/>
              <w:bottom w:val="single" w:color="auto" w:sz="4" w:space="0"/>
              <w:right w:val="single" w:color="auto" w:sz="4" w:space="0"/>
            </w:tcBorders>
            <w:shd w:val="clear" w:color="auto" w:fill="auto"/>
            <w:vAlign w:val="center"/>
          </w:tcPr>
          <w:p w14:paraId="6949B468">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年份 (Year)</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41B8C95C">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2016</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44E9806E">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2017</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2530060D">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2018</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36C97AAA">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2019</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54DCF225">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2020</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10FB1F7F">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2021</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08D76160">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2022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3C868578">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2023</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00C6DE61">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2024</w:t>
            </w:r>
          </w:p>
        </w:tc>
      </w:tr>
      <w:tr w14:paraId="57A0E5AD">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56" w:type="dxa"/>
            <w:left w:w="77" w:type="dxa"/>
            <w:bottom w:w="56" w:type="dxa"/>
            <w:right w:w="77" w:type="dxa"/>
          </w:tblCellMar>
        </w:tblPrEx>
        <w:trPr>
          <w:trHeight w:val="0" w:hRule="atLeast"/>
          <w:tblCellSpacing w:w="15" w:type="dxa"/>
          <w:jc w:val="center"/>
        </w:trPr>
        <w:tc>
          <w:tcPr>
            <w:tcW w:w="2414" w:type="dxa"/>
            <w:tcBorders>
              <w:top w:val="single" w:color="auto" w:sz="4" w:space="0"/>
              <w:left w:val="single" w:color="auto" w:sz="4" w:space="0"/>
              <w:bottom w:val="single" w:color="auto" w:sz="4" w:space="0"/>
              <w:right w:val="single" w:color="auto" w:sz="4" w:space="0"/>
            </w:tcBorders>
            <w:shd w:val="clear" w:color="auto" w:fill="auto"/>
            <w:vAlign w:val="center"/>
          </w:tcPr>
          <w:p w14:paraId="59350356">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所属聚类 (Cluster)</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44CC03F6">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01C55D37">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721DE5F2">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31F8842E">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6790AB04">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712CC7B3">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6E34287E">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1F167454">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3E8FD4EB">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w:t>
            </w:r>
          </w:p>
        </w:tc>
      </w:tr>
    </w:tbl>
    <w:p w14:paraId="3C3B5A1F">
      <w:pPr>
        <w:rPr>
          <w:rFonts w:hint="eastAsia" w:ascii="宋体" w:hAnsi="宋体" w:eastAsia="宋体" w:cs="宋体"/>
          <w:sz w:val="24"/>
          <w:szCs w:val="24"/>
        </w:rPr>
      </w:pPr>
    </w:p>
    <w:p w14:paraId="0EB26BCF">
      <w:pPr>
        <w:rPr>
          <w:rFonts w:hint="eastAsia" w:ascii="宋体" w:hAnsi="宋体" w:eastAsia="宋体" w:cs="宋体"/>
          <w:sz w:val="24"/>
          <w:szCs w:val="24"/>
        </w:rPr>
      </w:pPr>
      <w:r>
        <w:drawing>
          <wp:inline distT="0" distB="0" distL="114300" distR="114300">
            <wp:extent cx="5485130" cy="3320415"/>
            <wp:effectExtent l="0" t="0" r="1270" b="190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3"/>
                    <a:stretch>
                      <a:fillRect/>
                    </a:stretch>
                  </pic:blipFill>
                  <pic:spPr>
                    <a:xfrm>
                      <a:off x="0" y="0"/>
                      <a:ext cx="5485130" cy="3320415"/>
                    </a:xfrm>
                    <a:prstGeom prst="rect">
                      <a:avLst/>
                    </a:prstGeom>
                    <a:noFill/>
                    <a:ln>
                      <a:noFill/>
                    </a:ln>
                  </pic:spPr>
                </pic:pic>
              </a:graphicData>
            </a:graphic>
          </wp:inline>
        </w:drawing>
      </w:r>
      <w:r>
        <w:rPr>
          <w:rFonts w:hint="eastAsia" w:ascii="宋体" w:hAnsi="宋体" w:eastAsia="宋体" w:cs="宋体"/>
          <w:sz w:val="24"/>
          <w:szCs w:val="24"/>
        </w:rPr>
        <w:br w:type="textWrapping"/>
      </w:r>
    </w:p>
    <w:p w14:paraId="18E71193">
      <w:pPr>
        <w:rPr>
          <w:rFonts w:hint="eastAsia" w:ascii="宋体" w:hAnsi="宋体" w:eastAsia="宋体" w:cs="宋体"/>
          <w:sz w:val="24"/>
          <w:szCs w:val="24"/>
        </w:rPr>
      </w:pPr>
      <w:r>
        <w:drawing>
          <wp:inline distT="0" distB="0" distL="114300" distR="114300">
            <wp:extent cx="5485130" cy="3371850"/>
            <wp:effectExtent l="0" t="0" r="1270" b="1143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4"/>
                    <a:stretch>
                      <a:fillRect/>
                    </a:stretch>
                  </pic:blipFill>
                  <pic:spPr>
                    <a:xfrm>
                      <a:off x="0" y="0"/>
                      <a:ext cx="5485130" cy="3371850"/>
                    </a:xfrm>
                    <a:prstGeom prst="rect">
                      <a:avLst/>
                    </a:prstGeom>
                    <a:noFill/>
                    <a:ln>
                      <a:noFill/>
                    </a:ln>
                  </pic:spPr>
                </pic:pic>
              </a:graphicData>
            </a:graphic>
          </wp:inline>
        </w:drawing>
      </w:r>
    </w:p>
    <w:p w14:paraId="300DC201">
      <w:pPr>
        <w:rPr>
          <w:rFonts w:hint="eastAsia" w:ascii="宋体" w:hAnsi="宋体" w:eastAsia="宋体" w:cs="宋体"/>
          <w:sz w:val="24"/>
          <w:szCs w:val="24"/>
        </w:rPr>
      </w:pPr>
      <w:r>
        <w:rPr>
          <w:rFonts w:hint="eastAsia" w:ascii="宋体" w:hAnsi="宋体" w:eastAsia="宋体" w:cs="宋体"/>
          <w:sz w:val="24"/>
          <w:szCs w:val="24"/>
        </w:rPr>
        <w:t>分析与观点：K－means 聚类将 2007－2024 年清晰地划分为了三个具有显著时间连续性的阶段：</w:t>
      </w:r>
      <w:r>
        <w:rPr>
          <w:rFonts w:hint="eastAsia" w:ascii="宋体" w:hAnsi="宋体" w:eastAsia="宋体" w:cs="宋体"/>
          <w:sz w:val="24"/>
          <w:szCs w:val="24"/>
        </w:rPr>
        <w:br w:type="textWrapping"/>
      </w:r>
      <w:r>
        <w:rPr>
          <w:rFonts w:hint="eastAsia" w:ascii="宋体" w:hAnsi="宋体" w:eastAsia="宋体" w:cs="宋体"/>
          <w:sz w:val="24"/>
          <w:szCs w:val="24"/>
        </w:rPr>
        <w:t>1．</w:t>
      </w:r>
      <w:r>
        <w:rPr>
          <w:rFonts w:hint="eastAsia" w:ascii="宋体" w:hAnsi="宋体" w:eastAsia="宋体" w:cs="宋体"/>
          <w:sz w:val="24"/>
          <w:szCs w:val="24"/>
          <w:lang w:val="en-US" w:eastAsia="zh-CN"/>
        </w:rPr>
        <w:t>聚类</w:t>
      </w:r>
      <w:r>
        <w:rPr>
          <w:rFonts w:hint="eastAsia" w:ascii="宋体" w:hAnsi="宋体" w:eastAsia="宋体" w:cs="宋体"/>
          <w:sz w:val="24"/>
          <w:szCs w:val="24"/>
        </w:rPr>
        <w:t xml:space="preserve"> 3 （Cluster 3）－＂早期高波动阶段＂：</w:t>
      </w:r>
    </w:p>
    <w:p w14:paraId="25891E50">
      <w:pPr>
        <w:rPr>
          <w:rFonts w:hint="eastAsia" w:ascii="宋体" w:hAnsi="宋体" w:eastAsia="宋体" w:cs="宋体"/>
          <w:sz w:val="24"/>
          <w:szCs w:val="24"/>
        </w:rPr>
      </w:pPr>
      <w:r>
        <w:rPr>
          <w:rFonts w:hint="eastAsia" w:ascii="宋体" w:hAnsi="宋体" w:eastAsia="宋体" w:cs="宋体"/>
          <w:sz w:val="24"/>
          <w:szCs w:val="24"/>
        </w:rPr>
        <w:t>包含年份：2007，2008，2010，2011。</w:t>
      </w:r>
    </w:p>
    <w:p w14:paraId="58DD2E04">
      <w:pPr>
        <w:rPr>
          <w:rFonts w:hint="eastAsia" w:ascii="宋体" w:hAnsi="宋体" w:eastAsia="宋体" w:cs="宋体"/>
          <w:sz w:val="24"/>
          <w:szCs w:val="24"/>
        </w:rPr>
      </w:pPr>
      <w:r>
        <w:rPr>
          <w:rFonts w:hint="eastAsia" w:ascii="宋体" w:hAnsi="宋体" w:eastAsia="宋体" w:cs="宋体"/>
          <w:sz w:val="24"/>
          <w:szCs w:val="24"/>
        </w:rPr>
        <w:t>特征：这一阶段的收入和消费水平相对较低，但 CPI 波动剧烈（如 2008 和 2011 年的高通胀）。</w:t>
      </w:r>
    </w:p>
    <w:p w14:paraId="3CF58370">
      <w:pPr>
        <w:rPr>
          <w:rFonts w:hint="eastAsia" w:ascii="宋体" w:hAnsi="宋体" w:eastAsia="宋体" w:cs="宋体"/>
          <w:sz w:val="24"/>
          <w:szCs w:val="24"/>
        </w:rPr>
      </w:pPr>
      <w:r>
        <w:rPr>
          <w:rFonts w:hint="eastAsia" w:ascii="宋体" w:hAnsi="宋体" w:eastAsia="宋体" w:cs="宋体"/>
          <w:sz w:val="24"/>
          <w:szCs w:val="24"/>
        </w:rPr>
        <w:t>2．聚类 1 （Cluster 1）－＂中期平稳增长阶段＂：</w:t>
      </w:r>
    </w:p>
    <w:p w14:paraId="68C76774">
      <w:pPr>
        <w:rPr>
          <w:rFonts w:hint="eastAsia" w:ascii="宋体" w:hAnsi="宋体" w:eastAsia="宋体" w:cs="宋体"/>
          <w:sz w:val="24"/>
          <w:szCs w:val="24"/>
        </w:rPr>
      </w:pPr>
      <w:r>
        <w:rPr>
          <w:rFonts w:hint="eastAsia" w:ascii="宋体" w:hAnsi="宋体" w:eastAsia="宋体" w:cs="宋体"/>
          <w:sz w:val="24"/>
          <w:szCs w:val="24"/>
        </w:rPr>
        <w:t>包含年份：2009，2012，2013，2014，2015，2016，2017。</w:t>
      </w:r>
    </w:p>
    <w:p w14:paraId="4247ACBB">
      <w:pPr>
        <w:rPr>
          <w:rFonts w:hint="eastAsia" w:ascii="宋体" w:hAnsi="宋体" w:eastAsia="宋体" w:cs="宋体"/>
          <w:sz w:val="24"/>
          <w:szCs w:val="24"/>
        </w:rPr>
      </w:pPr>
      <w:r>
        <w:rPr>
          <w:rFonts w:hint="eastAsia" w:ascii="宋体" w:hAnsi="宋体" w:eastAsia="宋体" w:cs="宋体"/>
          <w:sz w:val="24"/>
          <w:szCs w:val="24"/>
        </w:rPr>
        <w:t>特征：这一阶段的收入和消费水平稳步增长，CPI相对稳定。</w:t>
      </w:r>
    </w:p>
    <w:p w14:paraId="71098F03">
      <w:pPr>
        <w:rPr>
          <w:rFonts w:hint="eastAsia" w:ascii="宋体" w:hAnsi="宋体" w:eastAsia="宋体" w:cs="宋体"/>
          <w:sz w:val="24"/>
          <w:szCs w:val="24"/>
        </w:rPr>
      </w:pPr>
      <w:r>
        <w:rPr>
          <w:rFonts w:hint="eastAsia" w:ascii="宋体" w:hAnsi="宋体" w:eastAsia="宋体" w:cs="宋体"/>
          <w:sz w:val="24"/>
          <w:szCs w:val="24"/>
        </w:rPr>
        <w:t>特别注意2009年：2009 年（全球金融危机）虽然在时间上靠近聚类 3 ，但由于其 CPI极低（ 99.3 ，通缩），导致其经济特征与聚类 3 （高通胀）截然不同，反而被算法归入了 CPI同样稳定的聚类 1 ，这充分体现了聚类分析的精确性。</w:t>
      </w:r>
    </w:p>
    <w:p w14:paraId="0FEBEAA4">
      <w:pPr>
        <w:rPr>
          <w:rFonts w:hint="eastAsia" w:ascii="宋体" w:hAnsi="宋体" w:eastAsia="宋体" w:cs="宋体"/>
          <w:sz w:val="24"/>
          <w:szCs w:val="24"/>
        </w:rPr>
      </w:pPr>
      <w:r>
        <w:rPr>
          <w:rFonts w:hint="eastAsia" w:ascii="宋体" w:hAnsi="宋体" w:eastAsia="宋体" w:cs="宋体"/>
          <w:sz w:val="24"/>
          <w:szCs w:val="24"/>
        </w:rPr>
        <w:t>3．聚类 2 （Cluster 2）－＂近期高水平阶段＂：</w:t>
      </w:r>
    </w:p>
    <w:p w14:paraId="3BDFF052">
      <w:pPr>
        <w:rPr>
          <w:rFonts w:hint="eastAsia" w:ascii="宋体" w:hAnsi="宋体" w:eastAsia="宋体" w:cs="宋体"/>
          <w:sz w:val="24"/>
          <w:szCs w:val="24"/>
        </w:rPr>
      </w:pPr>
      <w:r>
        <w:rPr>
          <w:rFonts w:hint="eastAsia" w:ascii="宋体" w:hAnsi="宋体" w:eastAsia="宋体" w:cs="宋体"/>
          <w:sz w:val="24"/>
          <w:szCs w:val="24"/>
        </w:rPr>
        <w:t>包含年份：2018，2019，2020，2021，2022，2023，2024。</w:t>
      </w:r>
    </w:p>
    <w:p w14:paraId="43D0F8EB">
      <w:pPr>
        <w:rPr>
          <w:rFonts w:hint="eastAsia" w:ascii="宋体" w:hAnsi="宋体" w:eastAsia="宋体" w:cs="宋体"/>
          <w:sz w:val="24"/>
          <w:szCs w:val="24"/>
        </w:rPr>
      </w:pPr>
      <w:r>
        <w:rPr>
          <w:rFonts w:hint="eastAsia" w:ascii="宋体" w:hAnsi="宋体" w:eastAsia="宋体" w:cs="宋体"/>
          <w:sz w:val="24"/>
          <w:szCs w:val="24"/>
        </w:rPr>
        <w:t>特征：这一阶段的 人均收入、人均消费 和 社保支出 均达到了新的高水平，代表了近年的经济发展状况。</w:t>
      </w:r>
    </w:p>
    <w:p w14:paraId="53E0C434">
      <w:pPr>
        <w:rPr>
          <w:rFonts w:hint="eastAsia" w:ascii="宋体" w:hAnsi="宋体" w:eastAsia="宋体" w:cs="宋体"/>
          <w:sz w:val="24"/>
          <w:szCs w:val="24"/>
        </w:rPr>
      </w:pPr>
      <w:r>
        <w:rPr>
          <w:rFonts w:hint="eastAsia" w:ascii="宋体" w:hAnsi="宋体" w:eastAsia="宋体" w:cs="宋体"/>
          <w:sz w:val="24"/>
          <w:szCs w:val="24"/>
        </w:rPr>
        <w:t>结论：聚类分析表明，居民消费行为并非简单的线性增长，而是嵌入在具有不同宏观特征的经济发展阶段中。</w:t>
      </w:r>
    </w:p>
    <w:p w14:paraId="391942DC">
      <w:pPr>
        <w:rPr>
          <w:rFonts w:hint="eastAsia" w:ascii="宋体" w:hAnsi="宋体" w:eastAsia="宋体" w:cs="宋体"/>
          <w:sz w:val="24"/>
          <w:szCs w:val="24"/>
        </w:rPr>
      </w:pPr>
    </w:p>
    <w:p w14:paraId="066CC847">
      <w:pPr>
        <w:pStyle w:val="2"/>
        <w:bidi w:val="0"/>
        <w:rPr>
          <w:rFonts w:hint="eastAsia"/>
        </w:rPr>
      </w:pPr>
      <w:r>
        <w:rPr>
          <w:rFonts w:hint="eastAsia"/>
        </w:rPr>
        <w:t>5．总结论</w:t>
      </w:r>
    </w:p>
    <w:p w14:paraId="482AAC97">
      <w:pPr>
        <w:rPr>
          <w:rFonts w:hint="eastAsia" w:ascii="宋体" w:hAnsi="宋体" w:eastAsia="宋体" w:cs="宋体"/>
          <w:sz w:val="24"/>
          <w:szCs w:val="24"/>
        </w:rPr>
      </w:pPr>
      <w:r>
        <w:rPr>
          <w:rFonts w:hint="eastAsia" w:ascii="宋体" w:hAnsi="宋体" w:eastAsia="宋体" w:cs="宋体"/>
          <w:sz w:val="24"/>
          <w:szCs w:val="24"/>
        </w:rPr>
        <w:t>本报告基于 2007-2024 年国家统计局数据，运用描述性统计、相关性检验、主成分分析和聚类分析等方法，对影响中国居民人均消费水平的关键因素进行了探究，</w:t>
      </w:r>
    </w:p>
    <w:p w14:paraId="1BC83CF6">
      <w:pPr>
        <w:rPr>
          <w:rFonts w:hint="eastAsia" w:ascii="宋体" w:hAnsi="宋体" w:eastAsia="宋体" w:cs="宋体"/>
          <w:sz w:val="24"/>
          <w:szCs w:val="24"/>
        </w:rPr>
      </w:pPr>
      <w:r>
        <w:rPr>
          <w:rFonts w:hint="eastAsia" w:ascii="宋体" w:hAnsi="宋体" w:eastAsia="宋体" w:cs="宋体"/>
          <w:sz w:val="24"/>
          <w:szCs w:val="24"/>
        </w:rPr>
        <w:t>得出以下主要结论：</w:t>
      </w:r>
    </w:p>
    <w:p w14:paraId="0306308F">
      <w:pPr>
        <w:rPr>
          <w:rFonts w:hint="eastAsia" w:ascii="宋体" w:hAnsi="宋体" w:eastAsia="宋体" w:cs="宋体"/>
          <w:sz w:val="24"/>
          <w:szCs w:val="24"/>
        </w:rPr>
      </w:pPr>
    </w:p>
    <w:p w14:paraId="15803071">
      <w:pPr>
        <w:numPr>
          <w:ilvl w:val="0"/>
          <w:numId w:val="5"/>
        </w:numPr>
        <w:rPr>
          <w:rFonts w:hint="eastAsia" w:ascii="宋体" w:hAnsi="宋体" w:eastAsia="宋体" w:cs="宋体"/>
          <w:sz w:val="24"/>
          <w:szCs w:val="24"/>
        </w:rPr>
      </w:pPr>
      <w:r>
        <w:rPr>
          <w:rFonts w:hint="eastAsia" w:ascii="宋体" w:hAnsi="宋体" w:eastAsia="宋体" w:cs="宋体"/>
          <w:sz w:val="24"/>
          <w:szCs w:val="24"/>
        </w:rPr>
        <w:t>收入是核心驱动力： 居民人均可支配收入 是影响 居民人均消费支出 的最核心和统计上最显著的驱动因素。t-检验显示两者相关系数高达 0.9988</w:t>
      </w:r>
      <m:oMath>
        <m:r>
          <m:rPr/>
          <w:rPr>
            <w:rFonts w:hint="default" w:ascii="Cambria Math" w:hAnsi="Cambria Math"/>
            <w:sz w:val="24"/>
          </w:rPr>
          <m:t>(p&lt;2.2</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−16</m:t>
            </m:r>
            <m:ctrlPr>
              <w:rPr>
                <w:rFonts w:ascii="Cambria Math" w:hAnsi="Cambria Math"/>
                <w:sz w:val="24"/>
              </w:rPr>
            </m:ctrlPr>
          </m:sup>
        </m:sSup>
        <m:r>
          <m:rPr/>
          <w:rPr>
            <w:rFonts w:hint="default" w:ascii="Cambria Math" w:hAnsi="Cambria Math"/>
            <w:sz w:val="24"/>
          </w:rPr>
          <m:t>)</m:t>
        </m:r>
      </m:oMath>
      <w:r>
        <w:rPr>
          <w:rFonts w:hint="eastAsia" w:ascii="宋体" w:hAnsi="宋体" w:eastAsia="宋体" w:cs="宋体"/>
          <w:sz w:val="24"/>
          <w:szCs w:val="24"/>
        </w:rPr>
        <w:t xml:space="preserve"> ，表明消费增长高度依赖于收入增长。</w:t>
      </w:r>
    </w:p>
    <w:p w14:paraId="710D8543">
      <w:pPr>
        <w:numPr>
          <w:numId w:val="0"/>
        </w:numPr>
        <w:rPr>
          <w:rFonts w:hint="eastAsia" w:ascii="宋体" w:hAnsi="宋体" w:eastAsia="宋体" w:cs="宋体"/>
          <w:sz w:val="24"/>
          <w:szCs w:val="24"/>
        </w:rPr>
      </w:pPr>
    </w:p>
    <w:p w14:paraId="2076E714">
      <w:pPr>
        <w:numPr>
          <w:ilvl w:val="0"/>
          <w:numId w:val="5"/>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共线性与因子整合： 人均可支配收入 与 国家财政社会保障和就业支出 存在高度多重共线性（r = 0.998），表明两者在研究期间内是同步增长的。PCA 分析成功将它们整合为 “经济增长与保障因子” (PC1)，成为解释宏观环境的最主要因素（贡献率 81.06%）。</w:t>
      </w:r>
    </w:p>
    <w:p w14:paraId="3768AD20">
      <w:pPr>
        <w:numPr>
          <w:numId w:val="0"/>
        </w:numPr>
        <w:ind w:leftChars="0"/>
        <w:rPr>
          <w:rFonts w:hint="eastAsia" w:ascii="宋体" w:hAnsi="宋体" w:eastAsia="宋体" w:cs="宋体"/>
          <w:sz w:val="24"/>
          <w:szCs w:val="24"/>
        </w:rPr>
      </w:pPr>
    </w:p>
    <w:p w14:paraId="15E2D4C5">
      <w:pPr>
        <w:numPr>
          <w:ilvl w:val="0"/>
          <w:numId w:val="5"/>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物价的负向影响： CPI (物价指数) 与 人均消费支出 呈现显著的中度负相关（r = -0.573）。这表明在通胀压力较大的年份，居民的实际消费增长可能会受到抑制。</w:t>
      </w:r>
    </w:p>
    <w:p w14:paraId="04841E87">
      <w:pPr>
        <w:numPr>
          <w:numId w:val="0"/>
        </w:numPr>
        <w:ind w:leftChars="0"/>
        <w:rPr>
          <w:rFonts w:hint="eastAsia" w:ascii="宋体" w:hAnsi="宋体" w:eastAsia="宋体" w:cs="宋体"/>
          <w:sz w:val="24"/>
          <w:szCs w:val="24"/>
        </w:rPr>
      </w:pPr>
    </w:p>
    <w:p w14:paraId="1F199EE3">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4.</w:t>
      </w:r>
      <w:r>
        <w:rPr>
          <w:rFonts w:hint="eastAsia" w:ascii="宋体" w:hAnsi="宋体" w:eastAsia="宋体" w:cs="宋体"/>
          <w:sz w:val="24"/>
          <w:szCs w:val="24"/>
        </w:rPr>
        <w:t>经济发展的阶段性： K-means 聚类分析将 2007-2024 年清晰地划分为三个不同的宏观经济阶段（早期高波动、中期平稳增长、近期高水平），表明居民的消费决策是在不同特征的宏观环境中进行的</w:t>
      </w:r>
      <w:r>
        <w:rPr>
          <w:rFonts w:hint="eastAsia" w:ascii="宋体" w:hAnsi="宋体" w:eastAsia="宋体" w:cs="宋体"/>
          <w:sz w:val="24"/>
          <w:szCs w:val="24"/>
          <w:lang w:eastAsia="zh-CN"/>
        </w:rPr>
        <w:t>。</w:t>
      </w:r>
    </w:p>
    <w:p w14:paraId="1B8FFE1C">
      <w:pPr>
        <w:rPr>
          <w:rFonts w:hint="eastAsia" w:ascii="宋体" w:hAnsi="宋体" w:eastAsia="宋体" w:cs="宋体"/>
          <w:sz w:val="24"/>
          <w:szCs w:val="24"/>
          <w:lang w:eastAsia="zh-CN"/>
        </w:rPr>
      </w:pPr>
    </w:p>
    <w:p w14:paraId="7389D5BB">
      <w:pPr>
        <w:rPr>
          <w:rFonts w:hint="eastAsia" w:ascii="宋体" w:hAnsi="宋体" w:eastAsia="宋体" w:cs="宋体"/>
          <w:sz w:val="24"/>
          <w:szCs w:val="24"/>
          <w:lang w:eastAsia="zh-CN"/>
        </w:rPr>
      </w:pPr>
    </w:p>
    <w:p w14:paraId="159B3D95">
      <w:pPr>
        <w:rPr>
          <w:rFonts w:hint="eastAsia" w:ascii="宋体" w:hAnsi="宋体" w:eastAsia="宋体" w:cs="宋体"/>
          <w:sz w:val="24"/>
          <w:szCs w:val="24"/>
          <w:lang w:eastAsia="zh-CN"/>
        </w:rPr>
      </w:pPr>
    </w:p>
    <w:p w14:paraId="065A5649">
      <w:pPr>
        <w:pStyle w:val="2"/>
        <w:bidi w:val="0"/>
        <w:rPr>
          <w:rFonts w:hint="eastAsia"/>
          <w:lang w:val="en-US" w:eastAsia="zh-CN"/>
        </w:rPr>
      </w:pPr>
      <w:r>
        <w:rPr>
          <w:rFonts w:hint="eastAsia"/>
          <w:lang w:val="en-US" w:eastAsia="zh-CN"/>
        </w:rPr>
        <w:t>附录（R代码）</w:t>
      </w:r>
    </w:p>
    <w:p w14:paraId="07AEB07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--- 1. 环境准备与数据导入 ---</w:t>
      </w:r>
    </w:p>
    <w:p w14:paraId="20C7CD6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1.1 加载所需R包</w:t>
      </w:r>
    </w:p>
    <w:p w14:paraId="0BFBA854">
      <w:pPr>
        <w:rPr>
          <w:rFonts w:hint="eastAsia" w:asciiTheme="minorEastAsia" w:hAnsiTheme="minorEastAsia" w:eastAsiaTheme="minorEastAsia" w:cstheme="minorEastAsia"/>
          <w:sz w:val="18"/>
          <w:szCs w:val="18"/>
          <w:lang w:val="en-US" w:eastAsia="zh-CN"/>
        </w:rPr>
      </w:pPr>
    </w:p>
    <w:p w14:paraId="6421D21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核心包</w:t>
      </w:r>
    </w:p>
    <w:p w14:paraId="51D2396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library(readxl)     # 读取 Excel</w:t>
      </w:r>
    </w:p>
    <w:p w14:paraId="4D34F0C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library(dplyr)      # 数据处理</w:t>
      </w:r>
    </w:p>
    <w:p w14:paraId="2CEB486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library(ggplot2)    # 数据可视化</w:t>
      </w:r>
    </w:p>
    <w:p w14:paraId="1C0CAEB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library(GGally)     # 高级相关性矩阵</w:t>
      </w:r>
    </w:p>
    <w:p w14:paraId="156C4D9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library(factoextra) # PCA 和聚类分析可视化</w:t>
      </w:r>
    </w:p>
    <w:p w14:paraId="29FD802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library(gridExtra)  # 排列多个图形</w:t>
      </w:r>
    </w:p>
    <w:p w14:paraId="3088D90A">
      <w:pPr>
        <w:rPr>
          <w:rFonts w:hint="eastAsia" w:asciiTheme="minorEastAsia" w:hAnsiTheme="minorEastAsia" w:eastAsiaTheme="minorEastAsia" w:cstheme="minorEastAsia"/>
          <w:sz w:val="18"/>
          <w:szCs w:val="18"/>
          <w:lang w:val="en-US" w:eastAsia="zh-CN"/>
        </w:rPr>
      </w:pPr>
    </w:p>
    <w:p w14:paraId="079D45A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补充可视化包</w:t>
      </w:r>
    </w:p>
    <w:p w14:paraId="102CF44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library(aplpack)    # 脸谱图</w:t>
      </w:r>
    </w:p>
    <w:p w14:paraId="6F786BC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library(fmsb)       # 雷达图</w:t>
      </w:r>
    </w:p>
    <w:p w14:paraId="44883191">
      <w:pPr>
        <w:rPr>
          <w:rFonts w:hint="eastAsia" w:asciiTheme="minorEastAsia" w:hAnsiTheme="minorEastAsia" w:eastAsiaTheme="minorEastAsia" w:cstheme="minorEastAsia"/>
          <w:sz w:val="18"/>
          <w:szCs w:val="18"/>
          <w:lang w:val="en-US" w:eastAsia="zh-CN"/>
        </w:rPr>
      </w:pPr>
    </w:p>
    <w:p w14:paraId="2A96589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1.2 导入数据</w:t>
      </w:r>
    </w:p>
    <w:p w14:paraId="2439346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df_raw &lt;- read_excel(path = "C:/study/多元统计分析/小组报告/数据合集.xls") </w:t>
      </w:r>
    </w:p>
    <w:p w14:paraId="0BC86A5D">
      <w:pPr>
        <w:rPr>
          <w:rFonts w:hint="eastAsia" w:asciiTheme="minorEastAsia" w:hAnsiTheme="minorEastAsia" w:eastAsiaTheme="minorEastAsia" w:cstheme="minorEastAsia"/>
          <w:sz w:val="18"/>
          <w:szCs w:val="18"/>
          <w:lang w:val="en-US" w:eastAsia="zh-CN"/>
        </w:rPr>
      </w:pPr>
    </w:p>
    <w:p w14:paraId="5539465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1.3 重命名中文列名为英文 (关键步骤!)</w:t>
      </w:r>
    </w:p>
    <w:p w14:paraId="33C49AF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df &lt;- df_raw %&gt;%</w:t>
      </w:r>
    </w:p>
    <w:p w14:paraId="7DD9043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rename(</w:t>
      </w:r>
    </w:p>
    <w:p w14:paraId="6997CB4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Year = `年份`,</w:t>
      </w:r>
    </w:p>
    <w:p w14:paraId="3F45E4B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Y_Consume = `居民人均消费支出(元)`, </w:t>
      </w:r>
    </w:p>
    <w:p w14:paraId="584A13C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X1_Income = `居民人均可支配收入(元)`,</w:t>
      </w:r>
    </w:p>
    <w:p w14:paraId="293700C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X2_CPI = `居民消费价格指数(上年=100)`,</w:t>
      </w:r>
    </w:p>
    <w:p w14:paraId="043C5C8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X3_Social = `国家财政社会保障和就业支出(亿元)`</w:t>
      </w:r>
    </w:p>
    <w:p w14:paraId="33C7AD9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w:t>
      </w:r>
    </w:p>
    <w:p w14:paraId="31186217">
      <w:pPr>
        <w:rPr>
          <w:rFonts w:hint="eastAsia" w:asciiTheme="minorEastAsia" w:hAnsiTheme="minorEastAsia" w:eastAsiaTheme="minorEastAsia" w:cstheme="minorEastAsia"/>
          <w:sz w:val="18"/>
          <w:szCs w:val="18"/>
          <w:lang w:val="en-US" w:eastAsia="zh-CN"/>
        </w:rPr>
      </w:pPr>
    </w:p>
    <w:p w14:paraId="7A70A2F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1.4 查看数据结构 (确保重命名成功)</w:t>
      </w:r>
    </w:p>
    <w:p w14:paraId="1B13EF4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print("--- 1. 数据导入与重命名 ---")</w:t>
      </w:r>
    </w:p>
    <w:p w14:paraId="0793A98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print("数据前6行 (已重命名):")</w:t>
      </w:r>
    </w:p>
    <w:p w14:paraId="1AFBE08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print(head(df))</w:t>
      </w:r>
    </w:p>
    <w:p w14:paraId="5B9FB08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print("数据结构 (已重命名):")</w:t>
      </w:r>
    </w:p>
    <w:p w14:paraId="3C9CB30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str(df)</w:t>
      </w:r>
    </w:p>
    <w:p w14:paraId="755195AD">
      <w:pPr>
        <w:rPr>
          <w:rFonts w:hint="eastAsia" w:asciiTheme="minorEastAsia" w:hAnsiTheme="minorEastAsia" w:eastAsiaTheme="minorEastAsia" w:cstheme="minorEastAsia"/>
          <w:sz w:val="18"/>
          <w:szCs w:val="18"/>
          <w:lang w:val="en-US" w:eastAsia="zh-CN"/>
        </w:rPr>
      </w:pPr>
    </w:p>
    <w:p w14:paraId="75269613">
      <w:pPr>
        <w:rPr>
          <w:rFonts w:hint="eastAsia" w:asciiTheme="minorEastAsia" w:hAnsiTheme="minorEastAsia" w:eastAsiaTheme="minorEastAsia" w:cstheme="minorEastAsia"/>
          <w:sz w:val="18"/>
          <w:szCs w:val="18"/>
          <w:lang w:val="en-US" w:eastAsia="zh-CN"/>
        </w:rPr>
      </w:pPr>
    </w:p>
    <w:p w14:paraId="1117136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--- 2. 数据描述与可视化 ---</w:t>
      </w:r>
    </w:p>
    <w:p w14:paraId="66E2AAD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print("--- 2. 数据描述与可视化 ---")</w:t>
      </w:r>
    </w:p>
    <w:p w14:paraId="0181AB4C">
      <w:pPr>
        <w:rPr>
          <w:rFonts w:hint="eastAsia" w:asciiTheme="minorEastAsia" w:hAnsiTheme="minorEastAsia" w:eastAsiaTheme="minorEastAsia" w:cstheme="minorEastAsia"/>
          <w:sz w:val="18"/>
          <w:szCs w:val="18"/>
          <w:lang w:val="en-US" w:eastAsia="zh-CN"/>
        </w:rPr>
      </w:pPr>
    </w:p>
    <w:p w14:paraId="0C06809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2.1 收入与消费支出趋势 (折线图)</w:t>
      </w:r>
    </w:p>
    <w:p w14:paraId="40F41E9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p1 &lt;- ggplot(df, aes(x = Year)) +</w:t>
      </w:r>
    </w:p>
    <w:p w14:paraId="2F65776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geom_line(aes(y = Y_Consume, color = "人均消费支出"), linewidth = 1.2) + # 使用 linewidth</w:t>
      </w:r>
    </w:p>
    <w:p w14:paraId="13BF257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geom_line(aes(y = X1_Income, color = "人均可支配收入"), linewidth = 1.2) +</w:t>
      </w:r>
    </w:p>
    <w:p w14:paraId="5BE2B60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labs(title = "图1: 2007-2024年 居民人均收入与消费支出趋势",</w:t>
      </w:r>
    </w:p>
    <w:p w14:paraId="43E7113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y = "金额 (元)", x = "年份", color = "指标") +</w:t>
      </w:r>
    </w:p>
    <w:p w14:paraId="1B9E0A8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theme_minimal(base_size = 14)</w:t>
      </w:r>
    </w:p>
    <w:p w14:paraId="7ACFAA2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print(p1)</w:t>
      </w:r>
    </w:p>
    <w:p w14:paraId="64B6E3C3">
      <w:pPr>
        <w:rPr>
          <w:rFonts w:hint="eastAsia" w:asciiTheme="minorEastAsia" w:hAnsiTheme="minorEastAsia" w:eastAsiaTheme="minorEastAsia" w:cstheme="minorEastAsia"/>
          <w:sz w:val="18"/>
          <w:szCs w:val="18"/>
          <w:lang w:val="en-US" w:eastAsia="zh-CN"/>
        </w:rPr>
      </w:pPr>
    </w:p>
    <w:p w14:paraId="439537D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2.2 收入与消费支出散点图 (核心关系)</w:t>
      </w:r>
    </w:p>
    <w:p w14:paraId="3DAAC22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p2 &lt;- ggplot(df, aes(x = X1_Income, y = Y_Consume)) +</w:t>
      </w:r>
    </w:p>
    <w:p w14:paraId="5F6A70B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geom_point(color = "blue", size = 3, alpha = 0.7) +</w:t>
      </w:r>
    </w:p>
    <w:p w14:paraId="527F90D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geom_smooth(method = "lm", se = FALSE, color = "red", linetype = "dashed") +</w:t>
      </w:r>
    </w:p>
    <w:p w14:paraId="3585AB5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labs(title = "图2: 收入与消费散点图",</w:t>
      </w:r>
    </w:p>
    <w:p w14:paraId="5C74B50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x = "人均可支配收入 (元)",</w:t>
      </w:r>
    </w:p>
    <w:p w14:paraId="1792585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y = "人均消费支出 (元)") +</w:t>
      </w:r>
    </w:p>
    <w:p w14:paraId="2C89566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theme_minimal(base_size = 14)</w:t>
      </w:r>
    </w:p>
    <w:p w14:paraId="61ED911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print(p2)</w:t>
      </w:r>
    </w:p>
    <w:p w14:paraId="69544E78">
      <w:pPr>
        <w:rPr>
          <w:rFonts w:hint="eastAsia" w:asciiTheme="minorEastAsia" w:hAnsiTheme="minorEastAsia" w:eastAsiaTheme="minorEastAsia" w:cstheme="minorEastAsia"/>
          <w:sz w:val="18"/>
          <w:szCs w:val="18"/>
          <w:lang w:val="en-US" w:eastAsia="zh-CN"/>
        </w:rPr>
      </w:pPr>
    </w:p>
    <w:p w14:paraId="59D56AA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2.3 其他因素趋势图</w:t>
      </w:r>
    </w:p>
    <w:p w14:paraId="1458E45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p3 &lt;- ggplot(df, aes(x = Year)) +</w:t>
      </w:r>
    </w:p>
    <w:p w14:paraId="254CEB7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geom_line(aes(y = X2_CPI), color = "orange", linewidth = 1.2) +</w:t>
      </w:r>
    </w:p>
    <w:p w14:paraId="43AAC53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labs(title = "图3a: CPI 趋势 (上年=100)", y = "CPI", x = "年份") +</w:t>
      </w:r>
    </w:p>
    <w:p w14:paraId="358F4EF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theme_minimal(base_size = 14)</w:t>
      </w:r>
    </w:p>
    <w:p w14:paraId="53614671">
      <w:pPr>
        <w:rPr>
          <w:rFonts w:hint="eastAsia" w:asciiTheme="minorEastAsia" w:hAnsiTheme="minorEastAsia" w:eastAsiaTheme="minorEastAsia" w:cstheme="minorEastAsia"/>
          <w:sz w:val="18"/>
          <w:szCs w:val="18"/>
          <w:lang w:val="en-US" w:eastAsia="zh-CN"/>
        </w:rPr>
      </w:pPr>
    </w:p>
    <w:p w14:paraId="616BECD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p4 &lt;- ggplot(df, aes(x = Year)) +</w:t>
      </w:r>
    </w:p>
    <w:p w14:paraId="36D0812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geom_line(aes(y = X3_Social), color = "purple", linewidth = 1.2) +</w:t>
      </w:r>
    </w:p>
    <w:p w14:paraId="2E6675A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labs(title = "图3b: 社保就业支出趋势", y = "金额 (亿元)", x = "年份") +</w:t>
      </w:r>
    </w:p>
    <w:p w14:paraId="1A0AFC9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theme_minimal(base_size = 14)</w:t>
      </w:r>
    </w:p>
    <w:p w14:paraId="20EF6AEF">
      <w:pPr>
        <w:rPr>
          <w:rFonts w:hint="eastAsia" w:asciiTheme="minorEastAsia" w:hAnsiTheme="minorEastAsia" w:eastAsiaTheme="minorEastAsia" w:cstheme="minorEastAsia"/>
          <w:sz w:val="18"/>
          <w:szCs w:val="18"/>
          <w:lang w:val="en-US" w:eastAsia="zh-CN"/>
        </w:rPr>
      </w:pPr>
    </w:p>
    <w:p w14:paraId="659C39C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print(p3)</w:t>
      </w:r>
    </w:p>
    <w:p w14:paraId="11C1773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print(p4)</w:t>
      </w:r>
    </w:p>
    <w:p w14:paraId="1AA51323">
      <w:pPr>
        <w:rPr>
          <w:rFonts w:hint="eastAsia" w:asciiTheme="minorEastAsia" w:hAnsiTheme="minorEastAsia" w:eastAsiaTheme="minorEastAsia" w:cstheme="minorEastAsia"/>
          <w:sz w:val="18"/>
          <w:szCs w:val="18"/>
          <w:lang w:val="en-US" w:eastAsia="zh-CN"/>
        </w:rPr>
      </w:pPr>
    </w:p>
    <w:p w14:paraId="4A8C384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(准备用于可视化的数值数据框)</w:t>
      </w:r>
    </w:p>
    <w:p w14:paraId="1B7A230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df_numeric &lt;- df %&gt;% select(-Year)</w:t>
      </w:r>
    </w:p>
    <w:p w14:paraId="36F05F21">
      <w:pPr>
        <w:rPr>
          <w:rFonts w:hint="eastAsia" w:asciiTheme="minorEastAsia" w:hAnsiTheme="minorEastAsia" w:eastAsiaTheme="minorEastAsia" w:cstheme="minorEastAsia"/>
          <w:sz w:val="18"/>
          <w:szCs w:val="18"/>
          <w:lang w:val="en-US" w:eastAsia="zh-CN"/>
        </w:rPr>
      </w:pPr>
    </w:p>
    <w:p w14:paraId="1561A78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2.4 补充：箱型图 (Boxplot)</w:t>
      </w:r>
    </w:p>
    <w:p w14:paraId="7D24365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print("图X: 箱型图 (原始数据)")</w:t>
      </w:r>
    </w:p>
    <w:p w14:paraId="08AEBF5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boxplot(df_numeric, </w:t>
      </w:r>
    </w:p>
    <w:p w14:paraId="6B06E47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horizontal = TRUE, # 水平放置</w:t>
      </w:r>
    </w:p>
    <w:p w14:paraId="04B9820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las = 1,           # 标签水平</w:t>
      </w:r>
    </w:p>
    <w:p w14:paraId="772C7F9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col = c("#00AFBB", "#E7B800", "#FC4E07", "#8B008B"), </w:t>
      </w:r>
    </w:p>
    <w:p w14:paraId="2C9E8E8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main = "图X: 各变量箱型图 (原始数据)")</w:t>
      </w:r>
    </w:p>
    <w:p w14:paraId="5BF172F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(标准化数据箱型图 - 注意: df_scaled 在 3.5 节才定义, 移到 3.5 节后运行)</w:t>
      </w:r>
    </w:p>
    <w:p w14:paraId="3112B97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boxplot(df_scaled, </w:t>
      </w:r>
    </w:p>
    <w:p w14:paraId="60A59B0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horizontal = TRUE, </w:t>
      </w:r>
    </w:p>
    <w:p w14:paraId="67BEBC4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las = 1, </w:t>
      </w:r>
    </w:p>
    <w:p w14:paraId="5BA7157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col = c("#00AFBB", "#E7B800", "#FC4E07", "#8B008B"),</w:t>
      </w:r>
    </w:p>
    <w:p w14:paraId="10A94E1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main = "图X: 标准化数据(df_scaled)的箱型图")</w:t>
      </w:r>
    </w:p>
    <w:p w14:paraId="0979CF41">
      <w:pPr>
        <w:rPr>
          <w:rFonts w:hint="eastAsia" w:asciiTheme="minorEastAsia" w:hAnsiTheme="minorEastAsia" w:eastAsiaTheme="minorEastAsia" w:cstheme="minorEastAsia"/>
          <w:sz w:val="18"/>
          <w:szCs w:val="18"/>
          <w:lang w:val="en-US" w:eastAsia="zh-CN"/>
        </w:rPr>
      </w:pPr>
    </w:p>
    <w:p w14:paraId="7F534F1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2.5 补充：矩阵散点图 (Pairs Plot)</w:t>
      </w:r>
    </w:p>
    <w:p w14:paraId="15C427B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print("图X: 矩阵散点图")</w:t>
      </w:r>
    </w:p>
    <w:p w14:paraId="593559E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pairs(df_numeric, </w:t>
      </w:r>
    </w:p>
    <w:p w14:paraId="4C2B31C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col = "blue", </w:t>
      </w:r>
    </w:p>
    <w:p w14:paraId="4EFEC76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pch = 19,       </w:t>
      </w:r>
    </w:p>
    <w:p w14:paraId="44E1113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main = "图X: 矩阵散点图")</w:t>
      </w:r>
    </w:p>
    <w:p w14:paraId="52F9DD1B">
      <w:pPr>
        <w:rPr>
          <w:rFonts w:hint="eastAsia" w:asciiTheme="minorEastAsia" w:hAnsiTheme="minorEastAsia" w:eastAsiaTheme="minorEastAsia" w:cstheme="minorEastAsia"/>
          <w:sz w:val="18"/>
          <w:szCs w:val="18"/>
          <w:lang w:val="en-US" w:eastAsia="zh-CN"/>
        </w:rPr>
      </w:pPr>
    </w:p>
    <w:p w14:paraId="10C5045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2.6 补充：脸谱图 (Faces Plot)</w:t>
      </w:r>
    </w:p>
    <w:p w14:paraId="3FF080D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print("图X: 脸谱图")</w:t>
      </w:r>
    </w:p>
    <w:p w14:paraId="5626C03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faces(df_numeric, </w:t>
      </w:r>
    </w:p>
    <w:p w14:paraId="30A2958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labels = df$Year, # 用年份作为标签</w:t>
      </w:r>
    </w:p>
    <w:p w14:paraId="6828457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cex = 1.0,        # 脸的大小</w:t>
      </w:r>
    </w:p>
    <w:p w14:paraId="09DC3C6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main = "图X: 年份脸谱图")</w:t>
      </w:r>
    </w:p>
    <w:p w14:paraId="5CEFC3F3">
      <w:pPr>
        <w:rPr>
          <w:rFonts w:hint="eastAsia" w:asciiTheme="minorEastAsia" w:hAnsiTheme="minorEastAsia" w:eastAsiaTheme="minorEastAsia" w:cstheme="minorEastAsia"/>
          <w:sz w:val="18"/>
          <w:szCs w:val="18"/>
          <w:lang w:val="en-US" w:eastAsia="zh-CN"/>
        </w:rPr>
      </w:pPr>
    </w:p>
    <w:p w14:paraId="043E7809">
      <w:pPr>
        <w:rPr>
          <w:rFonts w:hint="eastAsia" w:asciiTheme="minorEastAsia" w:hAnsiTheme="minorEastAsia" w:eastAsiaTheme="minorEastAsia" w:cstheme="minorEastAsia"/>
          <w:sz w:val="18"/>
          <w:szCs w:val="18"/>
          <w:lang w:val="en-US" w:eastAsia="zh-CN"/>
        </w:rPr>
      </w:pPr>
    </w:p>
    <w:p w14:paraId="28EC434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--- 3. 数据统计分析 ---</w:t>
      </w:r>
    </w:p>
    <w:p w14:paraId="3E64062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print("--- 3. 数据统计分析 ---")</w:t>
      </w:r>
    </w:p>
    <w:p w14:paraId="02ED4112">
      <w:pPr>
        <w:rPr>
          <w:rFonts w:hint="eastAsia" w:asciiTheme="minorEastAsia" w:hAnsiTheme="minorEastAsia" w:eastAsiaTheme="minorEastAsia" w:cstheme="minorEastAsia"/>
          <w:sz w:val="18"/>
          <w:szCs w:val="18"/>
          <w:lang w:val="en-US" w:eastAsia="zh-CN"/>
        </w:rPr>
      </w:pPr>
    </w:p>
    <w:p w14:paraId="684B82E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3.1 描述性统计</w:t>
      </w:r>
    </w:p>
    <w:p w14:paraId="7898B4E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print("描述性统计汇总:")</w:t>
      </w:r>
    </w:p>
    <w:p w14:paraId="02417CA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print(summary(df_numeric))</w:t>
      </w:r>
    </w:p>
    <w:p w14:paraId="6DA15047">
      <w:pPr>
        <w:rPr>
          <w:rFonts w:hint="eastAsia" w:asciiTheme="minorEastAsia" w:hAnsiTheme="minorEastAsia" w:eastAsiaTheme="minorEastAsia" w:cstheme="minorEastAsia"/>
          <w:sz w:val="18"/>
          <w:szCs w:val="18"/>
          <w:lang w:val="en-US" w:eastAsia="zh-CN"/>
        </w:rPr>
      </w:pPr>
    </w:p>
    <w:p w14:paraId="2F99890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3.2 协方差矩阵 (Covariance)</w:t>
      </w:r>
    </w:p>
    <w:p w14:paraId="1202AC3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print("协方差矩阵:")</w:t>
      </w:r>
    </w:p>
    <w:p w14:paraId="5F0BC78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cov_matrix &lt;- cov(df_numeric)</w:t>
      </w:r>
    </w:p>
    <w:p w14:paraId="2A99D37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print(round(cov_matrix, 2))</w:t>
      </w:r>
    </w:p>
    <w:p w14:paraId="1CE335F4">
      <w:pPr>
        <w:rPr>
          <w:rFonts w:hint="eastAsia" w:asciiTheme="minorEastAsia" w:hAnsiTheme="minorEastAsia" w:eastAsiaTheme="minorEastAsia" w:cstheme="minorEastAsia"/>
          <w:sz w:val="18"/>
          <w:szCs w:val="18"/>
          <w:lang w:val="en-US" w:eastAsia="zh-CN"/>
        </w:rPr>
      </w:pPr>
    </w:p>
    <w:p w14:paraId="4CFFB50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3.3 相关系数矩阵 (Correlation Matrix)</w:t>
      </w:r>
    </w:p>
    <w:p w14:paraId="1A853A7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print("相关系数矩阵:")</w:t>
      </w:r>
    </w:p>
    <w:p w14:paraId="3D48C01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cor_matrix &lt;- cor(df_numeric)</w:t>
      </w:r>
    </w:p>
    <w:p w14:paraId="677C134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print(round(cor_matrix, 3)) </w:t>
      </w:r>
    </w:p>
    <w:p w14:paraId="6050108D">
      <w:pPr>
        <w:rPr>
          <w:rFonts w:hint="eastAsia" w:asciiTheme="minorEastAsia" w:hAnsiTheme="minorEastAsia" w:eastAsiaTheme="minorEastAsia" w:cstheme="minorEastAsia"/>
          <w:sz w:val="18"/>
          <w:szCs w:val="18"/>
          <w:lang w:val="en-US" w:eastAsia="zh-CN"/>
        </w:rPr>
      </w:pPr>
    </w:p>
    <w:p w14:paraId="2BEA31C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3.4 可视化相关系数矩阵 (ggcorr)</w:t>
      </w:r>
    </w:p>
    <w:p w14:paraId="21F6DE1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(修正：移除了多余的 cmap 参数)</w:t>
      </w:r>
    </w:p>
    <w:p w14:paraId="67591DD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p_cor &lt;- ggcorr(df_numeric, </w:t>
      </w:r>
    </w:p>
    <w:p w14:paraId="5F0DB0E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label = TRUE, </w:t>
      </w:r>
    </w:p>
    <w:p w14:paraId="341ABAF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label_round = 2, </w:t>
      </w:r>
    </w:p>
    <w:p w14:paraId="7A0BADF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label_size = 4,</w:t>
      </w:r>
    </w:p>
    <w:p w14:paraId="341E03D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low = "#6D9EC1", </w:t>
      </w:r>
    </w:p>
    <w:p w14:paraId="5144BAD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mid = "white", </w:t>
      </w:r>
    </w:p>
    <w:p w14:paraId="6741836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high = "#E46726",</w:t>
      </w:r>
    </w:p>
    <w:p w14:paraId="37109A1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hjust = 0.75) +</w:t>
      </w:r>
    </w:p>
    <w:p w14:paraId="017ECD7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labs(title = "图4: 经济指标相关性热力图") +</w:t>
      </w:r>
    </w:p>
    <w:p w14:paraId="1601F84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theme(plot.title = element_text(hjust = 0.5))</w:t>
      </w:r>
    </w:p>
    <w:p w14:paraId="0CE967D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print(p_cor)</w:t>
      </w:r>
    </w:p>
    <w:p w14:paraId="62518CF4">
      <w:pPr>
        <w:rPr>
          <w:rFonts w:hint="eastAsia" w:asciiTheme="minorEastAsia" w:hAnsiTheme="minorEastAsia" w:eastAsiaTheme="minorEastAsia" w:cstheme="minorEastAsia"/>
          <w:sz w:val="18"/>
          <w:szCs w:val="18"/>
          <w:lang w:val="en-US" w:eastAsia="zh-CN"/>
        </w:rPr>
      </w:pPr>
    </w:p>
    <w:p w14:paraId="6A98C0C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3.5 补充：数据标准化 (Scaling)</w:t>
      </w:r>
    </w:p>
    <w:p w14:paraId="7016635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print("数据标准化 (前6行):")</w:t>
      </w:r>
    </w:p>
    <w:p w14:paraId="41A4D13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df_scaled &lt;- scale(df_numeric)</w:t>
      </w:r>
    </w:p>
    <w:p w14:paraId="228BA91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print(head(df_scaled))</w:t>
      </w:r>
    </w:p>
    <w:p w14:paraId="48C84D17">
      <w:pPr>
        <w:rPr>
          <w:rFonts w:hint="eastAsia" w:asciiTheme="minorEastAsia" w:hAnsiTheme="minorEastAsia" w:eastAsiaTheme="minorEastAsia" w:cstheme="minorEastAsia"/>
          <w:sz w:val="18"/>
          <w:szCs w:val="18"/>
          <w:lang w:val="en-US" w:eastAsia="zh-CN"/>
        </w:rPr>
      </w:pPr>
    </w:p>
    <w:p w14:paraId="7D31B52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标准化数据的协方差矩阵就是相关系数矩阵</w:t>
      </w:r>
    </w:p>
    <w:p w14:paraId="60C6361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print("标准化数据的协方差矩阵 (应等于相关系数矩阵):")</w:t>
      </w:r>
    </w:p>
    <w:p w14:paraId="371C446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print(round(cov(df_scaled), 3))</w:t>
      </w:r>
    </w:p>
    <w:p w14:paraId="7EF784C7">
      <w:pPr>
        <w:rPr>
          <w:rFonts w:hint="eastAsia" w:asciiTheme="minorEastAsia" w:hAnsiTheme="minorEastAsia" w:eastAsiaTheme="minorEastAsia" w:cstheme="minorEastAsia"/>
          <w:sz w:val="18"/>
          <w:szCs w:val="18"/>
          <w:lang w:val="en-US" w:eastAsia="zh-CN"/>
        </w:rPr>
      </w:pPr>
    </w:p>
    <w:p w14:paraId="102EEB2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(将 2.4 节的标准化箱型图移到这里运行) ***</w:t>
      </w:r>
    </w:p>
    <w:p w14:paraId="7E13E36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print("图X: 标准化数据(df_scaled)的箱型图")</w:t>
      </w:r>
    </w:p>
    <w:p w14:paraId="0F0354C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boxplot(df_scaled, </w:t>
      </w:r>
    </w:p>
    <w:p w14:paraId="3CFE8B8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horizontal = TRUE, </w:t>
      </w:r>
    </w:p>
    <w:p w14:paraId="6283398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las = 1, </w:t>
      </w:r>
    </w:p>
    <w:p w14:paraId="0BB904B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col = c("#00AFBB", "#E7B800", "#FC4E07", "#8B008B"),</w:t>
      </w:r>
    </w:p>
    <w:p w14:paraId="01539F0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main = "图X: 标准化数据(df_scaled)的箱型图")</w:t>
      </w:r>
    </w:p>
    <w:p w14:paraId="3B0EC6E2">
      <w:pPr>
        <w:rPr>
          <w:rFonts w:hint="eastAsia" w:asciiTheme="minorEastAsia" w:hAnsiTheme="minorEastAsia" w:eastAsiaTheme="minorEastAsia" w:cstheme="minorEastAsia"/>
          <w:sz w:val="18"/>
          <w:szCs w:val="18"/>
          <w:lang w:val="en-US" w:eastAsia="zh-CN"/>
        </w:rPr>
      </w:pPr>
    </w:p>
    <w:p w14:paraId="1D75770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3.6 补充：轮廓图 (Profile Plot) - *必须在标准化之后*</w:t>
      </w:r>
    </w:p>
    <w:p w14:paraId="60E8792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print("图X: 轮廓图 (标准化数据)")</w:t>
      </w:r>
    </w:p>
    <w:p w14:paraId="372AEF7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matplot(df$Year, df_scaled, </w:t>
      </w:r>
    </w:p>
    <w:p w14:paraId="0ED7FB0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type = "l",        # 'l' 代表线条</w:t>
      </w:r>
    </w:p>
    <w:p w14:paraId="2D23501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lty = 1,           # 线型 (都是实线)</w:t>
      </w:r>
    </w:p>
    <w:p w14:paraId="3B73982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lwd = 2,           # 线宽</w:t>
      </w:r>
    </w:p>
    <w:p w14:paraId="4196B49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col = c(1, 2, 3, 4), # 颜色 (黑, 红, 绿, 蓝/紫)</w:t>
      </w:r>
    </w:p>
    <w:p w14:paraId="50F4FE8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xlab = "年份", </w:t>
      </w:r>
    </w:p>
    <w:p w14:paraId="577B826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ylab = "标准化值 (Z-score)", </w:t>
      </w:r>
    </w:p>
    <w:p w14:paraId="24F9AD7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main = "图X: 标准化数据轮廓图")</w:t>
      </w:r>
    </w:p>
    <w:p w14:paraId="0BDF8722">
      <w:pPr>
        <w:rPr>
          <w:rFonts w:hint="eastAsia" w:asciiTheme="minorEastAsia" w:hAnsiTheme="minorEastAsia" w:eastAsiaTheme="minorEastAsia" w:cstheme="minorEastAsia"/>
          <w:sz w:val="18"/>
          <w:szCs w:val="18"/>
          <w:lang w:val="en-US" w:eastAsia="zh-CN"/>
        </w:rPr>
      </w:pPr>
    </w:p>
    <w:p w14:paraId="52B8C5F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添加图例</w:t>
      </w:r>
    </w:p>
    <w:p w14:paraId="38D6EBC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legend("bottomleft", </w:t>
      </w:r>
    </w:p>
    <w:p w14:paraId="013EF27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legend = colnames(df_scaled), </w:t>
      </w:r>
    </w:p>
    <w:p w14:paraId="7A26246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col = c(1, 2, 3, 4), </w:t>
      </w:r>
    </w:p>
    <w:p w14:paraId="33BF3EB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lty = 1, </w:t>
      </w:r>
    </w:p>
    <w:p w14:paraId="78AF186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lwd = 2)</w:t>
      </w:r>
    </w:p>
    <w:p w14:paraId="14E2F622">
      <w:pPr>
        <w:rPr>
          <w:rFonts w:hint="eastAsia" w:asciiTheme="minorEastAsia" w:hAnsiTheme="minorEastAsia" w:eastAsiaTheme="minorEastAsia" w:cstheme="minorEastAsia"/>
          <w:sz w:val="18"/>
          <w:szCs w:val="18"/>
          <w:lang w:val="en-US" w:eastAsia="zh-CN"/>
        </w:rPr>
      </w:pPr>
    </w:p>
    <w:p w14:paraId="7D7ED40E">
      <w:pPr>
        <w:rPr>
          <w:rFonts w:hint="eastAsia" w:asciiTheme="minorEastAsia" w:hAnsiTheme="minorEastAsia" w:eastAsiaTheme="minorEastAsia" w:cstheme="minorEastAsia"/>
          <w:sz w:val="18"/>
          <w:szCs w:val="18"/>
          <w:lang w:val="en-US" w:eastAsia="zh-CN"/>
        </w:rPr>
      </w:pPr>
    </w:p>
    <w:p w14:paraId="6A7A231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--- 4. 课程方法研究 ---</w:t>
      </w:r>
    </w:p>
    <w:p w14:paraId="0A9AAF9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print("--- 4. 课程方法研究 ---")</w:t>
      </w:r>
    </w:p>
    <w:p w14:paraId="24A0919A">
      <w:pPr>
        <w:rPr>
          <w:rFonts w:hint="eastAsia" w:asciiTheme="minorEastAsia" w:hAnsiTheme="minorEastAsia" w:eastAsiaTheme="minorEastAsia" w:cstheme="minorEastAsia"/>
          <w:sz w:val="18"/>
          <w:szCs w:val="18"/>
          <w:lang w:val="en-US" w:eastAsia="zh-CN"/>
        </w:rPr>
      </w:pPr>
    </w:p>
    <w:p w14:paraId="0438AA8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--- 4.1 方法一：假设检验 (t-检验) ---</w:t>
      </w:r>
    </w:p>
    <w:p w14:paraId="0C02E0A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print("--- 4.1 方法一：t-检验 ---")</w:t>
      </w:r>
    </w:p>
    <w:p w14:paraId="26911A6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检验收入与消费的相关性</w:t>
      </w:r>
    </w:p>
    <w:p w14:paraId="1132271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test_result &lt;- cor.test(df$Y_Consume, df$X1_Income)</w:t>
      </w:r>
    </w:p>
    <w:p w14:paraId="01F00E0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print("收入与消费的相关性检验 (t-检验):")</w:t>
      </w:r>
    </w:p>
    <w:p w14:paraId="7A3B5A8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print(test_result)</w:t>
      </w:r>
    </w:p>
    <w:p w14:paraId="7F691025">
      <w:pPr>
        <w:rPr>
          <w:rFonts w:hint="eastAsia" w:asciiTheme="minorEastAsia" w:hAnsiTheme="minorEastAsia" w:eastAsiaTheme="minorEastAsia" w:cstheme="minorEastAsia"/>
          <w:sz w:val="18"/>
          <w:szCs w:val="18"/>
          <w:lang w:val="en-US" w:eastAsia="zh-CN"/>
        </w:rPr>
      </w:pPr>
    </w:p>
    <w:p w14:paraId="6D72A047">
      <w:pPr>
        <w:rPr>
          <w:rFonts w:hint="eastAsia" w:asciiTheme="minorEastAsia" w:hAnsiTheme="minorEastAsia" w:eastAsiaTheme="minorEastAsia" w:cstheme="minorEastAsia"/>
          <w:sz w:val="18"/>
          <w:szCs w:val="18"/>
          <w:lang w:val="en-US" w:eastAsia="zh-CN"/>
        </w:rPr>
      </w:pPr>
    </w:p>
    <w:p w14:paraId="162AD06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--- 4.2 方法二：主成分分析 (PCA) ---</w:t>
      </w:r>
    </w:p>
    <w:p w14:paraId="6D89A7C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print("--- 4.2 方法二：PCA ---")</w:t>
      </w:r>
    </w:p>
    <w:p w14:paraId="49C6FC0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4.2.1 仅对自变量(X)进行PCA</w:t>
      </w:r>
    </w:p>
    <w:p w14:paraId="3A234DB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df_pca_input &lt;- df %&gt;% select(X1_Income, X2_CPI, X3_Social)</w:t>
      </w:r>
    </w:p>
    <w:p w14:paraId="7251D173">
      <w:pPr>
        <w:rPr>
          <w:rFonts w:hint="eastAsia" w:asciiTheme="minorEastAsia" w:hAnsiTheme="minorEastAsia" w:eastAsiaTheme="minorEastAsia" w:cstheme="minorEastAsia"/>
          <w:sz w:val="18"/>
          <w:szCs w:val="18"/>
          <w:lang w:val="en-US" w:eastAsia="zh-CN"/>
        </w:rPr>
      </w:pPr>
    </w:p>
    <w:p w14:paraId="5954040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4.2.2 执行PCA</w:t>
      </w:r>
    </w:p>
    <w:p w14:paraId="3725C2F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scale. = TRUE 是关键, 必须进行标准化</w:t>
      </w:r>
    </w:p>
    <w:p w14:paraId="76AD2DC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pca_result &lt;- prcomp(df_pca_input, scale. = TRUE)</w:t>
      </w:r>
    </w:p>
    <w:p w14:paraId="683BE209">
      <w:pPr>
        <w:rPr>
          <w:rFonts w:hint="eastAsia" w:asciiTheme="minorEastAsia" w:hAnsiTheme="minorEastAsia" w:eastAsiaTheme="minorEastAsia" w:cstheme="minorEastAsia"/>
          <w:sz w:val="18"/>
          <w:szCs w:val="18"/>
          <w:lang w:val="en-US" w:eastAsia="zh-CN"/>
        </w:rPr>
      </w:pPr>
    </w:p>
    <w:p w14:paraId="12B8A2B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4.2.3 分析PCA结果</w:t>
      </w:r>
    </w:p>
    <w:p w14:paraId="13715E1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print("PCA 结果摘要 (各主成分的重要性):")</w:t>
      </w:r>
    </w:p>
    <w:p w14:paraId="4A44855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print(summary(pca_result))</w:t>
      </w:r>
    </w:p>
    <w:p w14:paraId="0E76A3F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print("PCA 载荷矩阵 (Rotation):")</w:t>
      </w:r>
    </w:p>
    <w:p w14:paraId="48A0E12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print(pca_result$rotation)</w:t>
      </w:r>
    </w:p>
    <w:p w14:paraId="285CBD49">
      <w:pPr>
        <w:rPr>
          <w:rFonts w:hint="eastAsia" w:asciiTheme="minorEastAsia" w:hAnsiTheme="minorEastAsia" w:eastAsiaTheme="minorEastAsia" w:cstheme="minorEastAsia"/>
          <w:sz w:val="18"/>
          <w:szCs w:val="18"/>
          <w:lang w:val="en-US" w:eastAsia="zh-CN"/>
        </w:rPr>
      </w:pPr>
    </w:p>
    <w:p w14:paraId="13312FC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4.2.4 可视化PCA</w:t>
      </w:r>
    </w:p>
    <w:p w14:paraId="0777503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p_pca_eig &lt;- fviz_eig(pca_result, addlabels = TRUE, </w:t>
      </w:r>
    </w:p>
    <w:p w14:paraId="46C2890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title = "图5: PCA 碎石图 - 各主成分方差贡献率")</w:t>
      </w:r>
    </w:p>
    <w:p w14:paraId="2D1EC4E8">
      <w:pPr>
        <w:rPr>
          <w:rFonts w:hint="eastAsia" w:asciiTheme="minorEastAsia" w:hAnsiTheme="minorEastAsia" w:eastAsiaTheme="minorEastAsia" w:cstheme="minorEastAsia"/>
          <w:sz w:val="18"/>
          <w:szCs w:val="18"/>
          <w:lang w:val="en-US" w:eastAsia="zh-CN"/>
        </w:rPr>
      </w:pPr>
    </w:p>
    <w:p w14:paraId="5406C77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(2) 变量贡献图 (Biplot)</w:t>
      </w:r>
    </w:p>
    <w:p w14:paraId="55B751E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p_pca_biplot &lt;- fviz_pca_var(pca_result, </w:t>
      </w:r>
    </w:p>
    <w:p w14:paraId="1FF2BF0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col.var = "contrib", # 按贡献度上色</w:t>
      </w:r>
    </w:p>
    <w:p w14:paraId="14574C8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gradient.cols = c("#00AFBB", "#E7B800", "#FC4E07"),</w:t>
      </w:r>
    </w:p>
    <w:p w14:paraId="6E2D5E9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repel = TRUE, # 避免标签重叠</w:t>
      </w:r>
    </w:p>
    <w:p w14:paraId="1A6E058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title = "图6: PCA 变量贡献图")</w:t>
      </w:r>
    </w:p>
    <w:p w14:paraId="612107B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print(p_pca_eig)</w:t>
      </w:r>
    </w:p>
    <w:p w14:paraId="2355CE3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print(p_pca_biplot)</w:t>
      </w:r>
    </w:p>
    <w:p w14:paraId="0A2DC408">
      <w:pPr>
        <w:rPr>
          <w:rFonts w:hint="eastAsia" w:asciiTheme="minorEastAsia" w:hAnsiTheme="minorEastAsia" w:eastAsiaTheme="minorEastAsia" w:cstheme="minorEastAsia"/>
          <w:sz w:val="18"/>
          <w:szCs w:val="18"/>
          <w:lang w:val="en-US" w:eastAsia="zh-CN"/>
        </w:rPr>
      </w:pPr>
    </w:p>
    <w:p w14:paraId="27FF8F95">
      <w:pPr>
        <w:rPr>
          <w:rFonts w:hint="eastAsia" w:asciiTheme="minorEastAsia" w:hAnsiTheme="minorEastAsia" w:eastAsiaTheme="minorEastAsia" w:cstheme="minorEastAsia"/>
          <w:sz w:val="18"/>
          <w:szCs w:val="18"/>
          <w:lang w:val="en-US" w:eastAsia="zh-CN"/>
        </w:rPr>
      </w:pPr>
    </w:p>
    <w:p w14:paraId="7576BE9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--- 4.3 方法三：聚类分析 (K-means) ---</w:t>
      </w:r>
    </w:p>
    <w:p w14:paraId="3C0F162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print("--- 4.3 方法三：K-means (基于PCA) ---")</w:t>
      </w:r>
    </w:p>
    <w:p w14:paraId="0640AE9D">
      <w:pPr>
        <w:rPr>
          <w:rFonts w:hint="eastAsia" w:asciiTheme="minorEastAsia" w:hAnsiTheme="minorEastAsia" w:eastAsiaTheme="minorEastAsia" w:cstheme="minorEastAsia"/>
          <w:sz w:val="18"/>
          <w:szCs w:val="18"/>
          <w:lang w:val="en-US" w:eastAsia="zh-CN"/>
        </w:rPr>
      </w:pPr>
    </w:p>
    <w:p w14:paraId="738ADD7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4.3.1  获取PCA降维后的数据</w:t>
      </w:r>
    </w:p>
    <w:p w14:paraId="5DFD3EA7">
      <w:pPr>
        <w:rPr>
          <w:rFonts w:hint="eastAsia" w:asciiTheme="minorEastAsia" w:hAnsiTheme="minorEastAsia" w:eastAsiaTheme="minorEastAsia" w:cstheme="minorEastAsia"/>
          <w:sz w:val="18"/>
          <w:szCs w:val="18"/>
          <w:lang w:val="en-US" w:eastAsia="zh-CN"/>
        </w:rPr>
      </w:pPr>
    </w:p>
    <w:p w14:paraId="53178CB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df_cluster_input_pca &lt;- pca_result$x[, 1:2]</w:t>
      </w:r>
    </w:p>
    <w:p w14:paraId="37BDC145">
      <w:pPr>
        <w:rPr>
          <w:rFonts w:hint="eastAsia" w:asciiTheme="minorEastAsia" w:hAnsiTheme="minorEastAsia" w:eastAsiaTheme="minorEastAsia" w:cstheme="minorEastAsia"/>
          <w:sz w:val="18"/>
          <w:szCs w:val="18"/>
          <w:lang w:val="en-US" w:eastAsia="zh-CN"/>
        </w:rPr>
      </w:pPr>
    </w:p>
    <w:p w14:paraId="4C8B479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print("用于聚类的数据 (PC1 和 PC2 的得分):")</w:t>
      </w:r>
    </w:p>
    <w:p w14:paraId="6DFB746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print(head(df_cluster_input_pca))</w:t>
      </w:r>
    </w:p>
    <w:p w14:paraId="619495C6">
      <w:pPr>
        <w:rPr>
          <w:rFonts w:hint="eastAsia" w:asciiTheme="minorEastAsia" w:hAnsiTheme="minorEastAsia" w:eastAsiaTheme="minorEastAsia" w:cstheme="minorEastAsia"/>
          <w:sz w:val="18"/>
          <w:szCs w:val="18"/>
          <w:lang w:val="en-US" w:eastAsia="zh-CN"/>
        </w:rPr>
      </w:pPr>
    </w:p>
    <w:p w14:paraId="768B825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4.3.2 寻找最佳聚类数 K </w:t>
      </w:r>
    </w:p>
    <w:p w14:paraId="31D53527">
      <w:pPr>
        <w:rPr>
          <w:rFonts w:hint="eastAsia" w:asciiTheme="minorEastAsia" w:hAnsiTheme="minorEastAsia" w:eastAsiaTheme="minorEastAsia" w:cstheme="minorEastAsia"/>
          <w:sz w:val="18"/>
          <w:szCs w:val="18"/>
          <w:lang w:val="en-US" w:eastAsia="zh-CN"/>
        </w:rPr>
      </w:pPr>
    </w:p>
    <w:p w14:paraId="4C61A8E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p_elbow &lt;- fviz_nbclust(df_cluster_input_pca, kmeans, method = "wss") +</w:t>
      </w:r>
    </w:p>
    <w:p w14:paraId="0B2D6BA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labs(title = "图7: 最佳聚类数 (基于PCA)")</w:t>
      </w:r>
    </w:p>
    <w:p w14:paraId="3D69131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print(p_elbow) # 观察图形, 我们仍然假设 K=3</w:t>
      </w:r>
    </w:p>
    <w:p w14:paraId="01F723AB">
      <w:pPr>
        <w:rPr>
          <w:rFonts w:hint="eastAsia" w:asciiTheme="minorEastAsia" w:hAnsiTheme="minorEastAsia" w:eastAsiaTheme="minorEastAsia" w:cstheme="minorEastAsia"/>
          <w:sz w:val="18"/>
          <w:szCs w:val="18"/>
          <w:lang w:val="en-US" w:eastAsia="zh-CN"/>
        </w:rPr>
      </w:pPr>
    </w:p>
    <w:p w14:paraId="206DE6E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4.3.3 执行 K-means 聚类 (假设 K=3)</w:t>
      </w:r>
    </w:p>
    <w:p w14:paraId="425281C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set.seed(123) # 设置随机种子</w:t>
      </w:r>
    </w:p>
    <w:p w14:paraId="15CDADB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(输入数据已改为 df_cluster_input_pca)</w:t>
      </w:r>
    </w:p>
    <w:p w14:paraId="0438F34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km_result_pca &lt;- kmeans(df_cluster_input_pca, centers = 3, nstart = 25)</w:t>
      </w:r>
    </w:p>
    <w:p w14:paraId="551B7841">
      <w:pPr>
        <w:rPr>
          <w:rFonts w:hint="eastAsia" w:asciiTheme="minorEastAsia" w:hAnsiTheme="minorEastAsia" w:eastAsiaTheme="minorEastAsia" w:cstheme="minorEastAsia"/>
          <w:sz w:val="18"/>
          <w:szCs w:val="18"/>
          <w:lang w:val="en-US" w:eastAsia="zh-CN"/>
        </w:rPr>
      </w:pPr>
    </w:p>
    <w:p w14:paraId="0C68142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4.3.4 将聚类结果添加回原始数据</w:t>
      </w:r>
    </w:p>
    <w:p w14:paraId="1A58EE9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(我们使用新变量名 Cluster_PCA 以免混淆)</w:t>
      </w:r>
    </w:p>
    <w:p w14:paraId="3A081E4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df_final_pca &lt;- df %&gt;% mutate(Cluster_PCA = as.factor(km_result_pca$cluster))</w:t>
      </w:r>
    </w:p>
    <w:p w14:paraId="1DC9E2EA">
      <w:pPr>
        <w:rPr>
          <w:rFonts w:hint="eastAsia" w:asciiTheme="minorEastAsia" w:hAnsiTheme="minorEastAsia" w:eastAsiaTheme="minorEastAsia" w:cstheme="minorEastAsia"/>
          <w:sz w:val="18"/>
          <w:szCs w:val="18"/>
          <w:lang w:val="en-US" w:eastAsia="zh-CN"/>
        </w:rPr>
      </w:pPr>
    </w:p>
    <w:p w14:paraId="6508D37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print("聚类结果 (各年份所属类别, 基于PCA):")</w:t>
      </w:r>
    </w:p>
    <w:p w14:paraId="539C943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print(df_final_pca %&gt;% select(Year, Cluster_PCA))</w:t>
      </w:r>
    </w:p>
    <w:p w14:paraId="47F4448A">
      <w:pPr>
        <w:rPr>
          <w:rFonts w:hint="eastAsia" w:asciiTheme="minorEastAsia" w:hAnsiTheme="minorEastAsia" w:eastAsiaTheme="minorEastAsia" w:cstheme="minorEastAsia"/>
          <w:sz w:val="18"/>
          <w:szCs w:val="18"/>
          <w:lang w:val="en-US" w:eastAsia="zh-CN"/>
        </w:rPr>
      </w:pPr>
    </w:p>
    <w:p w14:paraId="71D9AB3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4.3.5 可视化聚类结果</w:t>
      </w:r>
    </w:p>
    <w:p w14:paraId="2AC09E0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p_cluster_pca &lt;- fviz_cluster(km_result_pca, data = df_cluster_input_pca,</w:t>
      </w:r>
    </w:p>
    <w:p w14:paraId="4044E07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geom = c("point", "text"), </w:t>
      </w:r>
    </w:p>
    <w:p w14:paraId="72DC661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repel = TRUE,</w:t>
      </w:r>
    </w:p>
    <w:p w14:paraId="06D8612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ggtheme = theme_minimal(),</w:t>
      </w:r>
    </w:p>
    <w:p w14:paraId="5008D76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main = "图8 (新): K-means 年份聚类 (基于PCA结果)") +</w:t>
      </w:r>
    </w:p>
    <w:p w14:paraId="53A63D4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labs(x = "PC1 (经济增长与保障因子)", y = "PC2 (物价波动因子)") +</w:t>
      </w:r>
    </w:p>
    <w:p w14:paraId="0F771B9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scale_fill_brewer(palette = "Set1") +</w:t>
      </w:r>
    </w:p>
    <w:p w14:paraId="0FAEB2E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scale_color_brewer(palette = "Set1")</w:t>
      </w:r>
    </w:p>
    <w:p w14:paraId="2B7E629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print(p_cluster_pca)</w:t>
      </w:r>
    </w:p>
    <w:p w14:paraId="289293B7">
      <w:pPr>
        <w:rPr>
          <w:rFonts w:hint="eastAsia" w:asciiTheme="minorEastAsia" w:hAnsiTheme="minorEastAsia" w:eastAsiaTheme="minorEastAsia" w:cstheme="minorEastAsia"/>
          <w:sz w:val="18"/>
          <w:szCs w:val="18"/>
          <w:lang w:val="en-US" w:eastAsia="zh-CN"/>
        </w:rPr>
      </w:pPr>
    </w:p>
    <w:p w14:paraId="6123844C">
      <w:pPr>
        <w:rPr>
          <w:rFonts w:hint="eastAsia" w:ascii="宋体" w:hAnsi="宋体" w:eastAsia="宋体" w:cs="宋体"/>
          <w:sz w:val="24"/>
          <w:szCs w:val="24"/>
        </w:rPr>
      </w:pPr>
    </w:p>
    <w:p w14:paraId="10AB160E">
      <w:pPr>
        <w:rPr>
          <w:rFonts w:hint="eastAsia" w:ascii="宋体" w:hAnsi="宋体" w:eastAsia="宋体" w:cs="宋体"/>
          <w:sz w:val="24"/>
          <w:szCs w:val="24"/>
        </w:rPr>
      </w:pPr>
    </w:p>
    <w:sect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B813B"/>
    <w:multiLevelType w:val="singleLevel"/>
    <w:tmpl w:val="917B813B"/>
    <w:lvl w:ilvl="0" w:tentative="0">
      <w:start w:val="1"/>
      <w:numFmt w:val="decimal"/>
      <w:lvlText w:val="%1."/>
      <w:lvlJc w:val="left"/>
      <w:pPr>
        <w:tabs>
          <w:tab w:val="left" w:pos="312"/>
        </w:tabs>
      </w:pPr>
    </w:lvl>
  </w:abstractNum>
  <w:abstractNum w:abstractNumId="1">
    <w:nsid w:val="CF092B84"/>
    <w:multiLevelType w:val="singleLevel"/>
    <w:tmpl w:val="CF092B84"/>
    <w:lvl w:ilvl="0" w:tentative="0">
      <w:start w:val="1"/>
      <w:numFmt w:val="bullet"/>
      <w:lvlText w:val=""/>
      <w:lvlJc w:val="left"/>
      <w:pPr>
        <w:tabs>
          <w:tab w:val="left" w:pos="1080"/>
        </w:tabs>
        <w:ind w:left="720" w:hanging="360"/>
      </w:pPr>
      <w:rPr>
        <w:rFonts w:hint="default" w:ascii="Symbol" w:hAnsi="Symbol"/>
      </w:rPr>
    </w:lvl>
  </w:abstractNum>
  <w:abstractNum w:abstractNumId="2">
    <w:nsid w:val="D67F5454"/>
    <w:multiLevelType w:val="singleLevel"/>
    <w:tmpl w:val="D67F5454"/>
    <w:lvl w:ilvl="0" w:tentative="0">
      <w:start w:val="1"/>
      <w:numFmt w:val="decimal"/>
      <w:suff w:val="nothing"/>
      <w:lvlText w:val="%1．"/>
      <w:lvlJc w:val="left"/>
    </w:lvl>
  </w:abstractNum>
  <w:abstractNum w:abstractNumId="3">
    <w:nsid w:val="0053208E"/>
    <w:multiLevelType w:val="singleLevel"/>
    <w:tmpl w:val="0053208E"/>
    <w:lvl w:ilvl="0" w:tentative="0">
      <w:start w:val="1"/>
      <w:numFmt w:val="bullet"/>
      <w:lvlText w:val=""/>
      <w:lvlJc w:val="left"/>
      <w:pPr>
        <w:tabs>
          <w:tab w:val="left" w:pos="1080"/>
        </w:tabs>
        <w:ind w:left="720" w:hanging="360"/>
      </w:pPr>
      <w:rPr>
        <w:rFonts w:hint="default" w:ascii="Symbol" w:hAnsi="Symbol"/>
      </w:rPr>
    </w:lvl>
  </w:abstractNum>
  <w:abstractNum w:abstractNumId="4">
    <w:nsid w:val="32B2DBC2"/>
    <w:multiLevelType w:val="singleLevel"/>
    <w:tmpl w:val="32B2DBC2"/>
    <w:lvl w:ilvl="0" w:tentative="0">
      <w:start w:val="3"/>
      <w:numFmt w:val="decimal"/>
      <w:suff w:val="nothing"/>
      <w:lvlText w:val="%1．"/>
      <w:lvlJc w:val="left"/>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1AB2499"/>
    <w:rsid w:val="44C71B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2"/>
      <w:szCs w:val="22"/>
      <w:lang w:val="zh-CN"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2"/>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unhideWhenUsed/>
    <w:uiPriority w:val="99"/>
    <w:tblPr>
      <w:tblCellMar>
        <w:top w:w="80" w:type="dxa"/>
        <w:left w:w="160" w:type="dxa"/>
        <w:bottom w:w="80" w:type="dxa"/>
        <w:right w:w="160"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 w:type="character" w:customStyle="1" w:styleId="9">
    <w:name w:val="Verbatim Char"/>
    <w:uiPriority w:val="0"/>
    <w:rPr>
      <w:rFonts w:ascii="Consolas" w:hAnsi="Consolas"/>
      <w:sz w:val="22"/>
    </w:rPr>
  </w:style>
  <w:style w:type="table" w:customStyle="1" w:styleId="10">
    <w:name w:val="Normal Grid"/>
    <w:basedOn w:val="5"/>
    <w:uiPriority w:val="39"/>
    <w:pPr>
      <w:spacing w:after="0" w:line="240" w:lineRule="auto"/>
    </w:pPr>
    <w:tblPr>
      <w:tblCellMar>
        <w:top w:w="80" w:type="dxa"/>
        <w:left w:w="160" w:type="dxa"/>
        <w:bottom w:w="80" w:type="dxa"/>
        <w:right w:w="160" w:type="dxa"/>
      </w:tblCellMar>
    </w:tblPr>
  </w:style>
  <w:style w:type="character" w:customStyle="1" w:styleId="11">
    <w:name w:val="标题 1 Char"/>
    <w:link w:val="2"/>
    <w:uiPriority w:val="0"/>
    <w:rPr>
      <w:b/>
      <w:kern w:val="44"/>
      <w:sz w:val="44"/>
    </w:rPr>
  </w:style>
  <w:style w:type="character" w:customStyle="1" w:styleId="12">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1479</Words>
  <Characters>1921</Characters>
  <TotalTime>26</TotalTime>
  <ScaleCrop>false</ScaleCrop>
  <LinksUpToDate>false</LinksUpToDate>
  <CharactersWithSpaces>2005</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2025-10-26T10:54:00Z</dcterms:created>
  <dc:creator>html-to-docx</dc:creator>
  <cp:keywords>html-to-docx</cp:keywords>
  <cp:lastModifiedBy>林鑫</cp:lastModifiedBy>
  <dcterms:modified xsi:type="dcterms:W3CDTF">2025-10-26T12:25:40Z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eyJoZGlkIjoiMGFlNjQyMDNjNzk0OWY3ZmViZTVmNDI3MDQ2MmE5ODciLCJ1c2VySWQiOiI4MTQxNzAxMDEifQ==</vt:lpwstr>
  </property>
  <property fmtid="{D5CDD505-2E9C-101B-9397-08002B2CF9AE}" pid="3" name="KSOProductBuildVer">
    <vt:lpwstr>2052-12.1.0.23125</vt:lpwstr>
  </property>
  <property fmtid="{D5CDD505-2E9C-101B-9397-08002B2CF9AE}" pid="4" name="ICV">
    <vt:lpwstr>F8BAB15218D045579737FC0F6992CFA3_13</vt:lpwstr>
  </property>
</Properties>
</file>