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18E5">
      <w:pPr>
        <w:jc w:val="center"/>
        <w:rPr>
          <w:rFonts w:hint="eastAsia"/>
        </w:rPr>
      </w:pPr>
    </w:p>
    <w:p w14:paraId="7997025B">
      <w:pPr>
        <w:jc w:val="center"/>
        <w:rPr>
          <w:rFonts w:hint="eastAsia"/>
        </w:rPr>
      </w:pPr>
    </w:p>
    <w:p w14:paraId="5A3D024B">
      <w:pPr>
        <w:jc w:val="center"/>
        <w:rPr>
          <w:rFonts w:hint="eastAsia"/>
        </w:rPr>
      </w:pPr>
    </w:p>
    <w:p w14:paraId="61E093B1">
      <w:pPr>
        <w:jc w:val="center"/>
        <w:rPr>
          <w:rFonts w:hint="eastAsia"/>
        </w:rPr>
      </w:pPr>
      <w:r>
        <w:drawing>
          <wp:inline distT="0" distB="0" distL="0" distR="0">
            <wp:extent cx="3382645" cy="1131570"/>
            <wp:effectExtent l="0" t="0" r="8255" b="0"/>
            <wp:docPr id="1" name="图片 1" descr="JNDX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NDX_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489" cy="113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A374">
      <w:pPr>
        <w:jc w:val="center"/>
        <w:rPr>
          <w:rFonts w:hint="eastAsia"/>
        </w:rPr>
      </w:pPr>
    </w:p>
    <w:p w14:paraId="2FA72C2C">
      <w:pPr>
        <w:jc w:val="center"/>
        <w:rPr>
          <w:rFonts w:hint="eastAsia"/>
        </w:rPr>
      </w:pPr>
    </w:p>
    <w:p w14:paraId="67620354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时间序列分析实验</w:t>
      </w:r>
    </w:p>
    <w:p w14:paraId="53CA662C">
      <w:pPr>
        <w:jc w:val="center"/>
        <w:rPr>
          <w:rFonts w:hint="eastAsia"/>
          <w:b/>
          <w:bCs/>
          <w:sz w:val="44"/>
        </w:rPr>
      </w:pPr>
    </w:p>
    <w:p w14:paraId="3BAAFF3A">
      <w:pPr>
        <w:spacing w:line="300" w:lineRule="auto"/>
        <w:ind w:left="1311" w:hanging="1312" w:hangingChars="298"/>
        <w:rPr>
          <w:rFonts w:hint="default" w:eastAsiaTheme="minorEastAsia"/>
          <w:sz w:val="44"/>
          <w:u w:val="single"/>
          <w:lang w:val="en-US" w:eastAsia="zh-CN"/>
        </w:rPr>
      </w:pPr>
      <w:r>
        <w:rPr>
          <w:b/>
          <w:bCs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328295</wp:posOffset>
                </wp:positionV>
                <wp:extent cx="4229100" cy="0"/>
                <wp:effectExtent l="9525" t="12700" r="9525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2pt;margin-top:25.85pt;height:0pt;width:333pt;z-index:251659264;mso-width-relative:page;mso-height-relative:page;" filled="f" stroked="t" coordsize="21600,21600" o:gfxdata="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CTi8NYAAAAJAQAA&#10;DwAAAAAAAAABACAAAAAiAAAAZHJzL2Rvd25yZXYueG1sUEsBAhQAFAAAAAgAh07iQA0GFfriAQAA&#10;qwMAAA4AAAAAAAAAAQAgAAAAJQ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44"/>
        </w:rPr>
        <w:t>题目：</w:t>
      </w:r>
      <w:r>
        <w:rPr>
          <w:sz w:val="44"/>
          <w:u w:val="single"/>
        </w:rPr>
        <w:t xml:space="preserve"> </w:t>
      </w:r>
      <w:r>
        <w:rPr>
          <w:rFonts w:hint="eastAsia"/>
          <w:sz w:val="44"/>
          <w:u w:val="single"/>
          <w:lang w:val="en-US" w:eastAsia="zh-CN"/>
        </w:rPr>
        <w:t>1915-2004年澳大利亚每年与枪支有关的凶杀案死亡率序列平稳性分析</w:t>
      </w:r>
    </w:p>
    <w:p w14:paraId="2A0E164F">
      <w:pPr>
        <w:spacing w:line="300" w:lineRule="auto"/>
        <w:ind w:left="1311" w:hanging="1311" w:hangingChars="298"/>
        <w:rPr>
          <w:rFonts w:hint="eastAsia"/>
          <w:sz w:val="44"/>
          <w:u w:val="single"/>
        </w:rPr>
      </w:pPr>
    </w:p>
    <w:p w14:paraId="0FFA3F8D">
      <w:pPr>
        <w:spacing w:line="300" w:lineRule="auto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44"/>
        </w:rPr>
        <w:t xml:space="preserve">                   </w:t>
      </w:r>
    </w:p>
    <w:p w14:paraId="0C1D4782">
      <w:pPr>
        <w:spacing w:line="30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专    业 </w:t>
      </w:r>
      <w:r>
        <w:rPr>
          <w:rFonts w:hint="eastAsia"/>
          <w:sz w:val="36"/>
          <w:u w:val="single"/>
        </w:rPr>
        <w:t xml:space="preserve">     </w:t>
      </w:r>
      <w:r>
        <w:rPr>
          <w:rFonts w:hint="eastAsia"/>
          <w:sz w:val="36"/>
          <w:u w:val="single"/>
          <w:lang w:val="en-US" w:eastAsia="zh-CN"/>
        </w:rPr>
        <w:t>信息与计算科学</w:t>
      </w:r>
      <w:r>
        <w:rPr>
          <w:rFonts w:hint="eastAsia"/>
          <w:sz w:val="36"/>
          <w:u w:val="single"/>
        </w:rPr>
        <w:t xml:space="preserve">   </w:t>
      </w:r>
    </w:p>
    <w:p w14:paraId="5A4CF1E9">
      <w:pPr>
        <w:spacing w:line="36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学    号 </w:t>
      </w:r>
      <w:r>
        <w:rPr>
          <w:rFonts w:hint="eastAsia"/>
          <w:sz w:val="36"/>
          <w:u w:val="single"/>
        </w:rPr>
        <w:t xml:space="preserve">     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rFonts w:hint="eastAsia"/>
          <w:sz w:val="36"/>
          <w:u w:val="single"/>
        </w:rPr>
        <w:t xml:space="preserve">      </w:t>
      </w:r>
    </w:p>
    <w:p w14:paraId="54E94D83">
      <w:pPr>
        <w:spacing w:line="360" w:lineRule="auto"/>
        <w:ind w:firstLine="1080" w:firstLineChars="300"/>
        <w:rPr>
          <w:rFonts w:hint="eastAsia"/>
          <w:sz w:val="36"/>
          <w:u w:val="single"/>
        </w:rPr>
      </w:pPr>
      <w:r>
        <w:rPr>
          <w:rFonts w:hint="eastAsia"/>
          <w:sz w:val="36"/>
        </w:rPr>
        <w:t xml:space="preserve">姓    名 </w:t>
      </w:r>
      <w:r>
        <w:rPr>
          <w:rFonts w:hint="eastAsia"/>
          <w:sz w:val="36"/>
          <w:u w:val="single"/>
        </w:rPr>
        <w:t xml:space="preserve">      </w:t>
      </w:r>
      <w:r>
        <w:rPr>
          <w:rFonts w:hint="eastAsia"/>
          <w:sz w:val="36"/>
          <w:u w:val="single"/>
          <w:lang w:val="en-US" w:eastAsia="zh-CN"/>
        </w:rPr>
        <w:t>林鑫</w:t>
      </w:r>
      <w:r>
        <w:rPr>
          <w:rFonts w:hint="eastAsia"/>
          <w:sz w:val="36"/>
          <w:u w:val="single"/>
        </w:rPr>
        <w:t xml:space="preserve">             </w:t>
      </w:r>
    </w:p>
    <w:p w14:paraId="251E2708">
      <w:pPr>
        <w:spacing w:line="360" w:lineRule="auto"/>
        <w:ind w:firstLine="1080" w:firstLineChars="300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/>
          <w:sz w:val="36"/>
        </w:rPr>
        <w:t xml:space="preserve">学    院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</w:t>
      </w:r>
      <w:r>
        <w:rPr>
          <w:rFonts w:hint="eastAsia" w:ascii="黑体" w:eastAsia="黑体"/>
          <w:b w:val="0"/>
          <w:bCs/>
          <w:sz w:val="36"/>
          <w:szCs w:val="36"/>
          <w:u w:val="single"/>
          <w:lang w:val="en-US" w:eastAsia="zh-CN"/>
        </w:rPr>
        <w:t>理学院</w:t>
      </w:r>
      <w:r>
        <w:rPr>
          <w:rFonts w:hint="eastAsia" w:ascii="黑体" w:eastAsia="黑体"/>
          <w:b w:val="0"/>
          <w:bCs/>
          <w:sz w:val="36"/>
          <w:szCs w:val="36"/>
          <w:u w:val="single"/>
        </w:rPr>
        <w:t xml:space="preserve">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</w:t>
      </w:r>
    </w:p>
    <w:p w14:paraId="5C59512C">
      <w:pPr>
        <w:spacing w:line="300" w:lineRule="auto"/>
        <w:rPr>
          <w:rFonts w:hint="eastAsia" w:eastAsia="楷体_GB2312"/>
          <w:b/>
          <w:bCs/>
          <w:sz w:val="32"/>
        </w:rPr>
      </w:pPr>
    </w:p>
    <w:p w14:paraId="5F460485">
      <w:pPr>
        <w:spacing w:line="300" w:lineRule="auto"/>
        <w:rPr>
          <w:rFonts w:hint="eastAsia" w:eastAsia="楷体_GB2312"/>
          <w:b/>
          <w:bCs/>
          <w:sz w:val="32"/>
        </w:rPr>
      </w:pPr>
    </w:p>
    <w:p w14:paraId="324F9AC3">
      <w:pPr>
        <w:spacing w:line="300" w:lineRule="auto"/>
        <w:jc w:val="center"/>
        <w:rPr>
          <w:rFonts w:hint="eastAsia"/>
          <w:kern w:val="0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二〇二五</w:t>
      </w:r>
      <w:r>
        <w:rPr>
          <w:rFonts w:hint="eastAsia"/>
          <w:sz w:val="36"/>
          <w:szCs w:val="36"/>
        </w:rPr>
        <w:t>年</w:t>
      </w:r>
      <w:r>
        <w:rPr>
          <w:rFonts w:hint="eastAsia"/>
          <w:sz w:val="36"/>
          <w:szCs w:val="36"/>
          <w:lang w:val="en-US" w:eastAsia="zh-CN"/>
        </w:rPr>
        <w:t>九</w:t>
      </w:r>
      <w:r>
        <w:rPr>
          <w:rFonts w:hint="eastAsia"/>
          <w:sz w:val="36"/>
          <w:szCs w:val="36"/>
        </w:rPr>
        <w:t>月</w:t>
      </w:r>
    </w:p>
    <w:p w14:paraId="3A1D8411">
      <w:pPr>
        <w:rPr>
          <w:rFonts w:hint="eastAsia"/>
        </w:rPr>
      </w:pPr>
    </w:p>
    <w:p w14:paraId="2EE3A8A0">
      <w:pPr>
        <w:rPr>
          <w:rFonts w:hint="eastAsia"/>
        </w:rPr>
      </w:pPr>
    </w:p>
    <w:p w14:paraId="1849C836">
      <w:pPr>
        <w:rPr>
          <w:rFonts w:hint="eastAsia"/>
        </w:rPr>
      </w:pPr>
    </w:p>
    <w:p w14:paraId="4B6439D8">
      <w:pPr>
        <w:rPr>
          <w:rFonts w:hint="eastAsia"/>
        </w:rPr>
      </w:pPr>
    </w:p>
    <w:p w14:paraId="6EBD5D2C">
      <w:pPr>
        <w:numPr>
          <w:ilvl w:val="0"/>
          <w:numId w:val="1"/>
        </w:numPr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该序列的时序图如下：</w:t>
      </w:r>
    </w:p>
    <w:p w14:paraId="0910AC2D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sz w:val="36"/>
          <w:szCs w:val="36"/>
          <w:lang w:val="en-US" w:eastAsia="zh-CN"/>
        </w:rPr>
        <w:drawing>
          <wp:inline distT="0" distB="0" distL="114300" distR="114300">
            <wp:extent cx="6534785" cy="2178685"/>
            <wp:effectExtent l="0" t="0" r="3175" b="635"/>
            <wp:docPr id="6" name="图片 6" descr="死亡率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死亡率时序图"/>
                    <pic:cNvPicPr>
                      <a:picLocks noChangeAspect="1"/>
                    </pic:cNvPicPr>
                  </pic:nvPicPr>
                  <pic:blipFill>
                    <a:blip r:embed="rId5"/>
                    <a:srcRect l="-102" r="-102"/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DCE9">
      <w:pPr>
        <w:numPr>
          <w:numId w:val="0"/>
        </w:numPr>
        <w:ind w:leftChars="0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从图中（澳大利亚每十万人死亡率 1915–2004）可以直观判断该时间序列的平稳性：</w:t>
      </w:r>
    </w:p>
    <w:p w14:paraId="44FBD6A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整体趋势：1915 年至 1950 年前后，死亡率整体呈下降趋势；1950–1980 年左右则有一个较明显的上升趋势；1980 年之后死亡率又逐步下降。可以看到存在 长期趋势性变化，这说明序列不平稳。</w:t>
      </w:r>
    </w:p>
    <w:p w14:paraId="195635A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波动幅度：序列在不同时期的波动性也不一致，比如 1915–1930 年波动较大，1950–1980 年波动比较集中在 0.5–0.7 之间，而 1990 年以后又逐步下降并趋于平稳。也就是说 方差不恒定。</w:t>
      </w:r>
    </w:p>
    <w:p w14:paraId="1A742FA9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均值水平：不同阶段均值水平明显不同（早期偏高，中期偏高，末期偏低），说明均值随时间变化。</w:t>
      </w:r>
    </w:p>
    <w:p w14:paraId="326CC944">
      <w:pPr>
        <w:numPr>
          <w:numId w:val="0"/>
        </w:numPr>
        <w:ind w:leftChars="0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直观结论：该序列非平稳序列</w:t>
      </w:r>
    </w:p>
    <w:p w14:paraId="0FC54EAE">
      <w:pPr>
        <w:numPr>
          <w:numId w:val="0"/>
        </w:numPr>
        <w:ind w:leftChars="0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 w14:paraId="661CDD14">
      <w:pPr>
        <w:numPr>
          <w:numId w:val="0"/>
        </w:numPr>
        <w:ind w:leftChars="0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 w14:paraId="4BDC7F42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该序列的自相关</w:t>
      </w:r>
      <w:bookmarkStart w:id="0" w:name="_GoBack"/>
      <w:bookmarkEnd w:id="0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图如下</w:t>
      </w:r>
    </w:p>
    <w:p w14:paraId="58D770B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drawing>
          <wp:inline distT="0" distB="0" distL="114300" distR="114300">
            <wp:extent cx="5273040" cy="3954780"/>
            <wp:effectExtent l="0" t="0" r="0" b="7620"/>
            <wp:docPr id="7" name="图片 7" descr="死亡率自相关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死亡率自相关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49D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图中 ACF 在滞后 1、2、3… 处仍然显著大于零，之后逐渐衰减，并且在滞后 10 以后仍然显著为负，再慢慢回升。这种 缓慢衰减 的特征，说明序列存在较强的相关性，往往是非平稳序列的表现。</w:t>
      </w:r>
    </w:p>
    <w:p w14:paraId="4132033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若序列是平稳的，ACF 一般会在很少的滞后阶数（比如几阶以内）后迅速衰减至 0，并且落在置信区间范围内。但在图中，ACF 的显著性持续存在到较大滞后阶（&gt;10 阶），并呈现拖尾特征。</w:t>
      </w:r>
    </w:p>
    <w:p w14:paraId="5B5ADBF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5C450D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 w14:paraId="1488449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结论：序列非平稳</w:t>
      </w:r>
    </w:p>
    <w:p w14:paraId="0BF1ECF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 w14:paraId="4B0EAC2B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一阶差分后的序列图和自相关图</w:t>
      </w:r>
    </w:p>
    <w:p w14:paraId="342DB9E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sz w:val="36"/>
          <w:szCs w:val="36"/>
          <w:lang w:val="en-US" w:eastAsia="zh-CN"/>
        </w:rPr>
        <w:drawing>
          <wp:inline distT="0" distB="0" distL="114300" distR="114300">
            <wp:extent cx="5266690" cy="1755775"/>
            <wp:effectExtent l="0" t="0" r="6350" b="12065"/>
            <wp:docPr id="9" name="图片 9" descr="死亡率一阶差分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死亡率一阶差分序列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A18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sz w:val="36"/>
          <w:szCs w:val="36"/>
          <w:lang w:val="en-US" w:eastAsia="zh-CN"/>
        </w:rPr>
        <w:drawing>
          <wp:inline distT="0" distB="0" distL="114300" distR="114300">
            <wp:extent cx="5273040" cy="3954780"/>
            <wp:effectExtent l="0" t="0" r="0" b="7620"/>
            <wp:docPr id="10" name="图片 10" descr="一阶差分序列自相关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阶差分序列自相关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629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一阶差分序列图</w:t>
      </w:r>
    </w:p>
    <w:p w14:paraId="73D8BD9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83FA9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序列整体在 0 附近上下波动，没有明显的趋势性。</w:t>
      </w:r>
    </w:p>
    <w:p w14:paraId="4BB5448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波动幅度大致保持稳定，没有出现随时间增长而变大或变小的现象。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这说明均值稳定、方差稳定，具备平稳序列的直观特征。</w:t>
      </w:r>
    </w:p>
    <w:p w14:paraId="4D8FFCB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59BB9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一阶差分后的自相关图（ACF）</w:t>
      </w:r>
    </w:p>
    <w:p w14:paraId="24B4B28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B333D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滞后 1 阶自相关系数显著为负，之后大部分滞后阶的相关系数落在置信区间内，只有少数点轻微超出。</w:t>
      </w:r>
    </w:p>
    <w:p w14:paraId="0FA417F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整体表现为“截尾”或快速衰减，而不是像原始序列那样的缓慢拖尾。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这说明一阶差分序列基本满足平稳性要求。</w:t>
      </w:r>
    </w:p>
    <w:p w14:paraId="51B145C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764EA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结论：一阶差分后序列平稳</w:t>
      </w:r>
    </w:p>
    <w:p w14:paraId="1046D6F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6"/>
          <w:szCs w:val="36"/>
          <w:lang w:val="en-US" w:eastAsia="zh-CN"/>
        </w:rPr>
      </w:pPr>
    </w:p>
    <w:p w14:paraId="5F0C913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6"/>
          <w:szCs w:val="36"/>
          <w:lang w:val="en-US" w:eastAsia="zh-CN"/>
        </w:rPr>
      </w:pPr>
    </w:p>
    <w:p w14:paraId="2C794A5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6"/>
          <w:szCs w:val="36"/>
          <w:lang w:val="en-US" w:eastAsia="zh-CN"/>
        </w:rPr>
      </w:pPr>
    </w:p>
    <w:p w14:paraId="18CDCA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宋体" w:hAnsi="宋体" w:eastAsia="宋体" w:cs="宋体"/>
          <w:sz w:val="36"/>
          <w:szCs w:val="36"/>
          <w:lang w:val="en-US" w:eastAsia="zh-CN"/>
        </w:rPr>
      </w:pPr>
    </w:p>
    <w:p w14:paraId="340B70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 w:cs="宋体"/>
          <w:sz w:val="36"/>
          <w:szCs w:val="36"/>
          <w:lang w:val="en-US" w:eastAsia="zh-CN"/>
        </w:rPr>
      </w:pPr>
      <w:r>
        <w:rPr>
          <w:rFonts w:hint="eastAsia" w:cs="宋体"/>
          <w:sz w:val="36"/>
          <w:szCs w:val="36"/>
          <w:lang w:val="en-US" w:eastAsia="zh-CN"/>
        </w:rPr>
        <w:t>附录代码：</w:t>
      </w:r>
    </w:p>
    <w:p w14:paraId="0237CB6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import pandas as pd</w:t>
      </w:r>
    </w:p>
    <w:p w14:paraId="3130833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import matplotlib.pyplot as plt</w:t>
      </w:r>
    </w:p>
    <w:p w14:paraId="7234339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import matplotlib</w:t>
      </w:r>
    </w:p>
    <w:p w14:paraId="602E0B6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statsmodels.graphics.tsaplots import plot_acf, plot_pacf</w:t>
      </w:r>
    </w:p>
    <w:p w14:paraId="58F7628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statsmodels.tsa.stattools import adfuller</w:t>
      </w:r>
    </w:p>
    <w:p w14:paraId="13FDEEA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B2931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设置中文字体和负号正常显示</w:t>
      </w:r>
    </w:p>
    <w:p w14:paraId="3BAF4D1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matplotlib.rcParams['font.sans-serif'] = ['SimHei']      # 黑体</w:t>
      </w:r>
    </w:p>
    <w:p w14:paraId="31B1610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matplotlib.rcParams['axes.unicode_minus'] = False        # 正常显示负号</w:t>
      </w:r>
    </w:p>
    <w:p w14:paraId="21BC34D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1621B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===============================</w:t>
      </w:r>
    </w:p>
    <w:p w14:paraId="6953E08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1. 读取数据（跳过第一行）</w:t>
      </w:r>
    </w:p>
    <w:p w14:paraId="6777D93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===============================</w:t>
      </w:r>
    </w:p>
    <w:p w14:paraId="2775DC2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file_path = r"C:\study\时间序列分析\时间序列分析——部分习题数据\习题2.7数据.txt"</w:t>
      </w:r>
    </w:p>
    <w:p w14:paraId="19011AB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9F8A9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data = pd.read_csv(</w:t>
      </w:r>
    </w:p>
    <w:p w14:paraId="4F0678A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file_path,</w:t>
      </w:r>
    </w:p>
    <w:p w14:paraId="62135F4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sep=r"\s+",          # 自动识别空格/Tab</w:t>
      </w:r>
    </w:p>
    <w:p w14:paraId="56997EC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header=None,          # 不要用文件第一行作为列名</w:t>
      </w:r>
    </w:p>
    <w:p w14:paraId="47E6269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names=["年份", "死亡率"],</w:t>
      </w:r>
    </w:p>
    <w:p w14:paraId="18BFAEB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encoding="gbk",</w:t>
      </w:r>
    </w:p>
    <w:p w14:paraId="66D12DA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skiprows=1            # ✅ 跳过第一行的“年”</w:t>
      </w:r>
    </w:p>
    <w:p w14:paraId="508FF53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)</w:t>
      </w:r>
    </w:p>
    <w:p w14:paraId="39EBEC7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B0CBE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转换年份为时间索引</w:t>
      </w:r>
    </w:p>
    <w:p w14:paraId="359C970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data["年份"] = pd.to_datetime(data["年份"], format="%Y")</w:t>
      </w:r>
    </w:p>
    <w:p w14:paraId="2D56FF7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data.set_index("年份", inplace=True)</w:t>
      </w:r>
    </w:p>
    <w:p w14:paraId="0CA0A6A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37636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print("数据预览：")</w:t>
      </w:r>
    </w:p>
    <w:p w14:paraId="2BA2178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print(data.head())</w:t>
      </w:r>
    </w:p>
    <w:p w14:paraId="3DCA31C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85DFA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1B247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2. 绘制时序图并保存</w:t>
      </w:r>
    </w:p>
    <w:p w14:paraId="30F38AD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09912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plt.figure(figsize=(12, 4))</w:t>
      </w:r>
    </w:p>
    <w:p w14:paraId="6C7E672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plt.plot(data.index, data["死亡率"], marker="o")</w:t>
      </w:r>
    </w:p>
    <w:p w14:paraId="5829EE8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plt.title("澳大利亚每十万人死亡率（1915-2004）")</w:t>
      </w:r>
    </w:p>
    <w:p w14:paraId="3E011F7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plt.ylabel("死亡率")</w:t>
      </w:r>
    </w:p>
    <w:p w14:paraId="1211B96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plt.xlabel("年份")</w:t>
      </w:r>
    </w:p>
    <w:p w14:paraId="497B3FC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plt.grid(True)</w:t>
      </w:r>
    </w:p>
    <w:p w14:paraId="566866C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plt.savefig("死亡率时序图.png") # 保存为PNG图片</w:t>
      </w:r>
    </w:p>
    <w:p w14:paraId="23C2B97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plt.close() # 关闭图形，避免显示</w:t>
      </w:r>
    </w:p>
    <w:p w14:paraId="40CB234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45C48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3. 绘制自相关图</w:t>
      </w:r>
    </w:p>
    <w:p w14:paraId="6962898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plt.figure(figsize=(12, 4))</w:t>
      </w:r>
    </w:p>
    <w:p w14:paraId="679145E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plot_acf(data["死亡率"], lags=40)    # 自相关图</w:t>
      </w:r>
    </w:p>
    <w:p w14:paraId="2E9E549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plt.title("死亡率自相关图（ACF）")</w:t>
      </w:r>
    </w:p>
    <w:p w14:paraId="095C85B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plt.savefig("死亡率自相关图.png") # 保存为PNG图片</w:t>
      </w:r>
    </w:p>
    <w:p w14:paraId="5DE4BC3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plt.close() # 关闭图形，避免显示</w:t>
      </w:r>
    </w:p>
    <w:p w14:paraId="2E1B0F2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D0086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7C387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31229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4. 一阶差分</w:t>
      </w:r>
    </w:p>
    <w:p w14:paraId="3EAF0CE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data_diff = data["死亡率"].diff().dropna()  # 一阶差分，去掉NaN</w:t>
      </w:r>
    </w:p>
    <w:p w14:paraId="73BCE53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25AA0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绘制一阶差分序列时序图并保存</w:t>
      </w:r>
    </w:p>
    <w:p w14:paraId="2344E52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plt.figure(figsize=(12, 4))</w:t>
      </w:r>
    </w:p>
    <w:p w14:paraId="7AE432B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plt.plot(data_diff.index, data_diff, marker="o")</w:t>
      </w:r>
    </w:p>
    <w:p w14:paraId="0DDD2BE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plt.title("死亡率一阶差分序列")</w:t>
      </w:r>
    </w:p>
    <w:p w14:paraId="16B4C4F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plt.xlabel("年份")</w:t>
      </w:r>
    </w:p>
    <w:p w14:paraId="54AFF20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plt.ylabel("一阶差分")</w:t>
      </w:r>
    </w:p>
    <w:p w14:paraId="4BBA667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plt.grid(True)</w:t>
      </w:r>
    </w:p>
    <w:p w14:paraId="2564FB6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plt.savefig("死亡率一阶差分序列图.png") # 保存为PNG图片</w:t>
      </w:r>
    </w:p>
    <w:p w14:paraId="451DACF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plt.close() # 关闭图形，避免显示</w:t>
      </w:r>
    </w:p>
    <w:p w14:paraId="6066B15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5EC91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AB3831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5. 绘制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一阶差分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自相关图</w:t>
      </w:r>
    </w:p>
    <w:p w14:paraId="623F9FB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plt.figure(figsize=(12, 4))</w:t>
      </w:r>
    </w:p>
    <w:p w14:paraId="68A4CAC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plot_acf(data_diff, lags=40)</w:t>
      </w:r>
    </w:p>
    <w:p w14:paraId="59C2B39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plt.title("一阶差分序列自相关图（ACF）")</w:t>
      </w:r>
    </w:p>
    <w:p w14:paraId="18221C2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plt.savefig("一阶差分序列自相关图.png") # 保存为PNG图片</w:t>
      </w:r>
    </w:p>
    <w:p w14:paraId="497781B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plt.close() # 关闭图形，避免显示</w:t>
      </w:r>
    </w:p>
    <w:p w14:paraId="38B677F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F6B3C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3DEC3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F6E1A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965FC3"/>
    <w:multiLevelType w:val="singleLevel"/>
    <w:tmpl w:val="3B965FC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8B"/>
    <w:rsid w:val="000E52D0"/>
    <w:rsid w:val="001545AB"/>
    <w:rsid w:val="00286CA5"/>
    <w:rsid w:val="0045187D"/>
    <w:rsid w:val="00E31490"/>
    <w:rsid w:val="00F70C8B"/>
    <w:rsid w:val="359E4B33"/>
    <w:rsid w:val="4CC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1064</Words>
  <Characters>3279</Characters>
  <Lines>162</Lines>
  <Paragraphs>46</Paragraphs>
  <TotalTime>20</TotalTime>
  <ScaleCrop>false</ScaleCrop>
  <LinksUpToDate>false</LinksUpToDate>
  <CharactersWithSpaces>3648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2024-09-12T13:24:00Z</dcterms:created>
  <dc:creator>榴晓 过</dc:creator>
  <cp:lastModifiedBy>林鑫</cp:lastModifiedBy>
  <dcterms:modified xsi:type="dcterms:W3CDTF">2025-09-14T10:08:50Z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9F602080CD31474BB2F394E8F65DEAA0_12</vt:lpwstr>
  </property>
</Properties>
</file>