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0D5CE">
      <w:pPr>
        <w:kinsoku w:val="0"/>
        <w:overflowPunct w:val="0"/>
        <w:autoSpaceDE w:val="0"/>
        <w:autoSpaceDN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《矩阵计算》实验三</w:t>
      </w:r>
    </w:p>
    <w:p w14:paraId="58872969">
      <w:pPr>
        <w:kinsoku w:val="0"/>
        <w:overflowPunct w:val="0"/>
        <w:autoSpaceDE w:val="0"/>
        <w:autoSpaceDN w:val="0"/>
        <w:spacing w:line="360" w:lineRule="auto"/>
        <w:jc w:val="center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专业： 信息与计算科学系   学号：</w:t>
      </w:r>
      <w:r>
        <w:rPr>
          <w:rFonts w:hint="eastAsia"/>
          <w:sz w:val="24"/>
          <w:szCs w:val="24"/>
          <w:lang w:val="en-US" w:eastAsia="zh-CN"/>
        </w:rPr>
        <w:t>1043220122</w:t>
      </w:r>
      <w:r>
        <w:rPr>
          <w:rFonts w:hint="eastAsia"/>
          <w:sz w:val="24"/>
          <w:szCs w:val="24"/>
        </w:rPr>
        <w:t xml:space="preserve">    姓名：</w:t>
      </w:r>
      <w:r>
        <w:rPr>
          <w:rFonts w:hint="eastAsia"/>
          <w:sz w:val="24"/>
          <w:szCs w:val="24"/>
          <w:lang w:val="en-US" w:eastAsia="zh-CN"/>
        </w:rPr>
        <w:t>林鑫</w:t>
      </w:r>
      <w:r>
        <w:rPr>
          <w:rFonts w:hint="eastAsia"/>
          <w:sz w:val="24"/>
          <w:szCs w:val="24"/>
        </w:rPr>
        <w:t xml:space="preserve">  上机时间：202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</w:t>
      </w:r>
      <w:r>
        <w:rPr>
          <w:rFonts w:hint="default"/>
          <w:sz w:val="24"/>
          <w:szCs w:val="24"/>
          <w:lang w:val="en-US"/>
        </w:rPr>
        <w:t>8</w:t>
      </w:r>
    </w:p>
    <w:p w14:paraId="544C785C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一、实验名称：求解可逆下三角阵的逆矩阵</w:t>
      </w:r>
    </w:p>
    <w:p w14:paraId="14B24BC0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二、实验目的：掌握前代法的简单应用</w:t>
      </w:r>
    </w:p>
    <w:p w14:paraId="1710AE90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三、实验内容和要求：</w:t>
      </w:r>
    </w:p>
    <w:p w14:paraId="3FC7BA94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1.打开MATLAB软件，设置保存路径。</w:t>
      </w:r>
      <w:r>
        <w:rPr>
          <w:sz w:val="24"/>
          <w:szCs w:val="24"/>
        </w:rPr>
        <w:t xml:space="preserve"> </w:t>
      </w:r>
    </w:p>
    <w:p w14:paraId="74C4BA38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用不选主元</w:t>
      </w:r>
      <w:r>
        <w:rPr>
          <w:rFonts w:hint="default"/>
          <w:sz w:val="24"/>
          <w:szCs w:val="24"/>
          <w:lang w:val="en-US" w:eastAsia="zh-CN"/>
        </w:rPr>
        <w:t>Gauss</w:t>
      </w:r>
      <w:r>
        <w:rPr>
          <w:rFonts w:hint="eastAsia"/>
          <w:sz w:val="24"/>
          <w:szCs w:val="24"/>
          <w:lang w:val="en-US" w:eastAsia="zh-CN"/>
        </w:rPr>
        <w:t>消去法和</w:t>
      </w:r>
      <w:r>
        <w:rPr>
          <w:rFonts w:hint="eastAsia"/>
          <w:sz w:val="24"/>
          <w:szCs w:val="24"/>
        </w:rPr>
        <w:t>列主元Gauss消去法，求解84阶方程组</w:t>
      </w:r>
      <m:oMath>
        <m:r>
          <m:rPr/>
          <w:rPr>
            <w:rFonts w:ascii="Cambria Math" w:hAnsi="Cambria Math"/>
            <w:sz w:val="24"/>
            <w:szCs w:val="24"/>
          </w:rPr>
          <m:t>.</m:t>
        </m:r>
      </m:oMath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要求：写出矩阵</w:t>
      </w:r>
      <w:r>
        <w:rPr>
          <w:rFonts w:hint="default"/>
          <w:sz w:val="24"/>
          <w:szCs w:val="24"/>
          <w:lang w:val="en-US" w:eastAsia="zh-CN"/>
        </w:rPr>
        <w:t>L,U</w:t>
      </w:r>
      <w:r>
        <w:rPr>
          <w:rFonts w:hint="eastAsia"/>
          <w:sz w:val="24"/>
          <w:szCs w:val="24"/>
          <w:lang w:val="en-US" w:eastAsia="zh-CN"/>
        </w:rPr>
        <w:t>还有排列矩阵</w:t>
      </w:r>
      <w:r>
        <w:rPr>
          <w:rFonts w:hint="default"/>
          <w:sz w:val="24"/>
          <w:szCs w:val="24"/>
          <w:lang w:val="en-US" w:eastAsia="zh-CN"/>
        </w:rPr>
        <w:t>P</w:t>
      </w:r>
      <w:r>
        <w:rPr>
          <w:rFonts w:hint="eastAsia"/>
          <w:sz w:val="24"/>
          <w:szCs w:val="24"/>
          <w:lang w:val="en-US" w:eastAsia="zh-CN"/>
        </w:rPr>
        <w:t>），最后将计算结果和方程的精确解进行比较，谈谈你对</w:t>
      </w:r>
      <w:r>
        <w:rPr>
          <w:rFonts w:hint="default"/>
          <w:sz w:val="24"/>
          <w:szCs w:val="24"/>
          <w:lang w:val="en-US" w:eastAsia="zh-CN"/>
        </w:rPr>
        <w:t>Gauss</w:t>
      </w:r>
      <w:r>
        <w:rPr>
          <w:rFonts w:hint="eastAsia"/>
          <w:sz w:val="24"/>
          <w:szCs w:val="24"/>
          <w:lang w:val="en-US" w:eastAsia="zh-CN"/>
        </w:rPr>
        <w:t>消去法的看法。</w:t>
      </w:r>
    </w:p>
    <w:p w14:paraId="143CDAA4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position w:val="-4"/>
          <w:sz w:val="24"/>
          <w:szCs w:val="24"/>
        </w:rPr>
        <w:object>
          <v:shape id="_x0000_i1025" o:spt="75" type="#_x0000_t75" style="height:14.15pt;width:9.1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sz w:val="24"/>
          <w:szCs w:val="24"/>
        </w:rPr>
        <w:drawing>
          <wp:inline distT="0" distB="0" distL="0" distR="0">
            <wp:extent cx="3451860" cy="4603750"/>
            <wp:effectExtent l="0" t="4445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58266" cy="461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8500">
      <w:pPr>
        <w:numPr>
          <w:ilvl w:val="0"/>
          <w:numId w:val="1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系数矩阵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为40阶</w:t>
      </w:r>
      <w:r>
        <w:rPr>
          <w:rFonts w:hint="default"/>
          <w:sz w:val="24"/>
          <w:szCs w:val="24"/>
          <w:lang w:val="en-US" w:eastAsia="zh-CN"/>
        </w:rPr>
        <w:t>Hilbert</w:t>
      </w:r>
      <w:r>
        <w:rPr>
          <w:rFonts w:hint="eastAsia"/>
          <w:sz w:val="24"/>
          <w:szCs w:val="24"/>
          <w:lang w:val="en-US" w:eastAsia="zh-CN"/>
        </w:rPr>
        <w:t>矩阵，即系数矩阵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>的第i行第j列元素为</w:t>
      </w:r>
      <m:oMath>
        <m:sSub>
          <m:sSubPr>
            <m:ctrlPr>
              <w:rPr>
                <w:rFonts w:hint="default" w:ascii="DejaVu Math TeX Gyre" w:hAnsi="DejaVu Math TeX Gyre"/>
                <w:sz w:val="24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4"/>
              </w:rPr>
              <m:t>a</m:t>
            </m:r>
            <m:ctrlPr>
              <w:rPr>
                <w:rFonts w:ascii="DejaVu Math TeX Gyre" w:hAnsi="DejaVu Math TeX Gyre"/>
                <w:sz w:val="24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4"/>
              </w:rPr>
              <m:t>ij</m:t>
            </m:r>
            <m:ctrlPr>
              <w:rPr>
                <w:rFonts w:ascii="DejaVu Math TeX Gyre" w:hAnsi="DejaVu Math TeX Gyre"/>
                <w:sz w:val="24"/>
              </w:rPr>
            </m:ctrlPr>
          </m:sub>
        </m:sSub>
        <m:r>
          <m:rPr/>
          <w:rPr>
            <w:rFonts w:hint="default" w:ascii="DejaVu Math TeX Gyre" w:hAnsi="DejaVu Math TeX Gyre"/>
            <w:sz w:val="24"/>
          </w:rPr>
          <m:t>=</m:t>
        </m:r>
        <m:f>
          <m:fPr>
            <m:ctrlPr>
              <w:rPr>
                <w:rFonts w:hint="default" w:ascii="DejaVu Math TeX Gyre" w:hAnsi="DejaVu Math TeX Gyre"/>
                <w:i/>
                <w:sz w:val="24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4"/>
              </w:rPr>
              <m:t>1</m:t>
            </m:r>
            <m:ctrlPr>
              <w:rPr>
                <w:rFonts w:ascii="DejaVu Math TeX Gyre" w:hAnsi="DejaVu Math TeX Gyre"/>
                <w:sz w:val="24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4"/>
              </w:rPr>
              <m:t>i+j−1</m:t>
            </m:r>
            <m:ctrlPr>
              <w:rPr>
                <w:rFonts w:ascii="DejaVu Math TeX Gyre" w:hAnsi="DejaVu Math TeX Gyre"/>
                <w:sz w:val="24"/>
              </w:rPr>
            </m:ctrlPr>
          </m:den>
        </m:f>
      </m:oMath>
      <w:r>
        <w:rPr>
          <w:rFonts w:hint="default" w:hAnsi="DejaVu Math TeX Gyre"/>
          <w:i w:val="0"/>
          <w:sz w:val="24"/>
          <w:lang w:val="en-US"/>
        </w:rPr>
        <w:t xml:space="preserve">, </w:t>
      </w:r>
      <w:r>
        <w:rPr>
          <w:rFonts w:hint="eastAsia" w:hAnsi="DejaVu Math TeX Gyre"/>
          <w:i w:val="0"/>
          <w:sz w:val="24"/>
          <w:lang w:val="en-US" w:eastAsia="zh-CN"/>
        </w:rPr>
        <w:t>向量b的第</w:t>
      </w:r>
      <w:r>
        <w:rPr>
          <w:rFonts w:hint="default" w:hAnsi="DejaVu Math TeX Gyre"/>
          <w:i w:val="0"/>
          <w:sz w:val="24"/>
          <w:lang w:val="en-US" w:eastAsia="zh-CN"/>
        </w:rPr>
        <w:t>i</w:t>
      </w:r>
      <w:r>
        <w:rPr>
          <w:rFonts w:hint="eastAsia" w:hAnsi="DejaVu Math TeX Gyre"/>
          <w:i w:val="0"/>
          <w:sz w:val="24"/>
          <w:lang w:val="en-US" w:eastAsia="zh-CN"/>
        </w:rPr>
        <w:t>个分量为</w:t>
      </w:r>
    </w:p>
    <w:p w14:paraId="52A8A2ED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/>
                  <w:sz w:val="24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4"/>
                </w:rPr>
                <m:t>b</m:t>
              </m:r>
              <m:ctrlPr>
                <w:rPr>
                  <w:rFonts w:ascii="DejaVu Math TeX Gyre" w:hAnsi="DejaVu Math TeX Gyre"/>
                  <w:sz w:val="24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4"/>
                </w:rPr>
                <m:t>i</m:t>
              </m:r>
              <m:ctrlPr>
                <w:rPr>
                  <w:rFonts w:ascii="DejaVu Math TeX Gyre" w:hAnsi="DejaVu Math TeX Gyre"/>
                  <w:sz w:val="24"/>
                </w:rPr>
              </m:ctrlPr>
            </m:sub>
          </m:sSub>
          <m:r>
            <m:rPr/>
            <w:rPr>
              <w:rFonts w:hint="default" w:ascii="DejaVu Math TeX Gyre" w:hAnsi="DejaVu Math TeX Gyre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DejaVu Math TeX Gyre" w:hAnsi="DejaVu Math TeX Gyre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DejaVu Math TeX Gyre" w:hAnsi="DejaVu Math TeX Gyre"/>
                  <w:sz w:val="24"/>
                </w:rPr>
                <m:t>j=1</m:t>
              </m:r>
              <m:ctrlPr>
                <w:rPr>
                  <w:rFonts w:ascii="DejaVu Math TeX Gyre" w:hAnsi="DejaVu Math TeX Gyre"/>
                  <w:sz w:val="24"/>
                </w:rPr>
              </m:ctrlPr>
            </m:sub>
            <m:sup>
              <m:r>
                <m:rPr/>
                <w:rPr>
                  <w:rFonts w:hint="default" w:ascii="DejaVu Math TeX Gyre" w:hAnsi="DejaVu Math TeX Gyre"/>
                  <w:sz w:val="24"/>
                </w:rPr>
                <m:t>n</m:t>
              </m:r>
              <m:ctrlPr>
                <w:rPr>
                  <w:rFonts w:ascii="DejaVu Math TeX Gyre" w:hAnsi="DejaVu Math TeX Gyre"/>
                  <w:sz w:val="24"/>
                </w:rPr>
              </m:ctrlPr>
            </m:sup>
            <m:e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4"/>
                    </w:rPr>
                    <m:t>i+j−1</m:t>
                  </m:r>
                  <m:ctrlPr>
                    <w:rPr>
                      <w:rFonts w:ascii="DejaVu Math TeX Gyre" w:hAnsi="DejaVu Math TeX Gyre"/>
                      <w:sz w:val="24"/>
                    </w:rPr>
                  </m:ctrlPr>
                </m:den>
              </m:f>
              <m:ctrlPr>
                <w:rPr>
                  <w:rFonts w:hint="default" w:ascii="DejaVu Math TeX Gyre" w:hAnsi="DejaVu Math TeX Gyre"/>
                  <w:i/>
                  <w:sz w:val="24"/>
                </w:rPr>
              </m:ctrlPr>
            </m:e>
          </m:nary>
        </m:oMath>
      </m:oMathPara>
    </w:p>
    <w:p w14:paraId="147523A4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求线性方程组</w:t>
      </w:r>
      <w:r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  <w:t>Ax=b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的解。</w:t>
      </w:r>
    </w:p>
    <w:p w14:paraId="484A31B8">
      <w:pPr>
        <w:numPr>
          <w:ilvl w:val="0"/>
          <w:numId w:val="1"/>
        </w:numPr>
        <w:kinsoku w:val="0"/>
        <w:overflowPunct w:val="0"/>
        <w:autoSpaceDE w:val="0"/>
        <w:autoSpaceDN w:val="0"/>
        <w:spacing w:line="360" w:lineRule="auto"/>
        <w:ind w:left="0" w:leftChars="0" w:firstLine="0" w:firstLineChars="0"/>
        <w:jc w:val="left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估计</w:t>
      </w:r>
      <w:r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到20阶</w:t>
      </w:r>
      <w:r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  <w:t>Hilbert</w:t>
      </w: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矩阵的</w:t>
      </w:r>
      <m:oMath>
        <m:r>
          <m:rPr/>
          <w:rPr>
            <w:rFonts w:hint="default" w:ascii="Cambria Math"/>
          </w:rPr>
          <m:t>∞</m:t>
        </m:r>
      </m:oMath>
      <w:r>
        <w:rPr>
          <w:rFonts w:hint="eastAsia"/>
          <w:i w:val="0"/>
          <w:lang w:val="en-US" w:eastAsia="zh-CN"/>
        </w:rPr>
        <w:t>范数的条件数</w:t>
      </w:r>
    </w:p>
    <w:p w14:paraId="6C4D8572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四、实验过程（步骤）：</w:t>
      </w:r>
    </w:p>
    <w:p w14:paraId="750563C4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1.双击MATLAB图标，将路径设置为自己的U盘。</w:t>
      </w:r>
    </w:p>
    <w:p w14:paraId="6AD1520F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2.分析分量形式：</w:t>
      </w:r>
    </w:p>
    <w:p w14:paraId="7B45ED07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44A30ED1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3.在MATLAB程序窗口编辑如下程序：</w:t>
      </w:r>
    </w:p>
    <w:p w14:paraId="3E7C49B5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4124802B">
      <w:pPr>
        <w:numPr>
          <w:ilvl w:val="0"/>
          <w:numId w:val="2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实验结果分析：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第二题：</w:t>
      </w:r>
      <w:r>
        <w:drawing>
          <wp:inline distT="0" distB="0" distL="114300" distR="114300">
            <wp:extent cx="6838950" cy="3280410"/>
            <wp:effectExtent l="0" t="0" r="381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5E44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05300" cy="2308860"/>
            <wp:effectExtent l="0" t="0" r="762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564380" cy="4069080"/>
            <wp:effectExtent l="0" t="0" r="762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585460" cy="1554480"/>
            <wp:effectExtent l="0" t="0" r="762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33060" cy="1828800"/>
            <wp:effectExtent l="0" t="0" r="762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误差结果：</w:t>
      </w:r>
    </w:p>
    <w:p w14:paraId="0678BA0F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5.3684e+08</w:t>
      </w:r>
    </w:p>
    <w:p w14:paraId="09D16E46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1.0737e+09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对矩阵（主对角 6，上对角 1，下对角 8，n=84）计算得到：</w:t>
      </w:r>
    </w:p>
    <w:p w14:paraId="4CA7FF01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</w:p>
    <w:p w14:paraId="11EFB840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2-范数条件数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κ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(A)≈ 5.2123e16</m:t>
        </m:r>
      </m:oMath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—— 这个量级说明矩阵非常接近奇异（在双精度机器精度</w:t>
      </w:r>
      <m:oMath>
        <m:r>
          <m:rPr/>
          <w:rPr>
            <w:rFonts w:hint="default" w:ascii="Cambria Math" w:hAnsi="Cambria Math"/>
            <w:sz w:val="21"/>
          </w:rPr>
          <m:t>ε≈2.2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1</m:t>
        </m:r>
        <m:sSup>
          <m:sSupPr>
            <m:ctrlPr>
              <w:rPr>
                <w:rFonts w:hint="default" w:ascii="Cambria Math" w:hAnsi="Cambria Math"/>
                <w:sz w:val="21"/>
              </w:rPr>
            </m:ctrlPr>
          </m:sSupPr>
          <m:e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e>
          <m:sup>
            <m:r>
              <m:rPr/>
              <w:rPr>
                <w:rFonts w:hint="default" w:ascii="Cambria Math" w:hAnsi="Cambria Math"/>
                <w:sz w:val="21"/>
              </w:rPr>
              <m:t>−16</m:t>
            </m:r>
            <m:ctrlPr>
              <w:rPr>
                <w:rFonts w:ascii="Cambria Math" w:hAnsi="Cambria Math"/>
                <w:sz w:val="21"/>
              </w:rPr>
            </m:ctrlPr>
          </m:sup>
        </m:sSup>
      </m:oMath>
      <w:r>
        <w:rPr>
          <w:rFonts w:hint="eastAsia"/>
          <w:lang w:val="en-US" w:eastAsia="zh-CN"/>
        </w:rPr>
        <w:t>的尺度上），对此进行求解得到的数值结果基本没有有效数字。</w:t>
      </w:r>
      <w:bookmarkStart w:id="0" w:name="_GoBack"/>
      <w:bookmarkEnd w:id="0"/>
    </w:p>
    <w:p w14:paraId="708F5BB7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</w:p>
    <w:p w14:paraId="1BC5C76A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对gauss消元的看法：</w:t>
      </w:r>
    </w:p>
    <w:p w14:paraId="44BEFC44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算法的“稳定性” vs 问题的“病态性”</w:t>
      </w:r>
    </w:p>
    <w:p w14:paraId="5589674D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这是最重要的概念，也是实验的核心。</w:t>
      </w:r>
    </w:p>
    <w:p w14:paraId="6A8349DD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问题的病态性 ：这是问题本身的属性，由 </w:t>
      </w:r>
      <m:oMath>
        <m:r>
          <m:rPr/>
          <w:rPr>
            <w:rFonts w:hint="default" w:ascii="Cambria Math" w:hAnsi="Cambria Math"/>
            <w:sz w:val="24"/>
          </w:rPr>
          <m:t>κ(A)</m:t>
        </m:r>
      </m:oMath>
      <w:r>
        <w:rPr>
          <w:rFonts w:hint="default"/>
          <w:sz w:val="24"/>
          <w:szCs w:val="24"/>
          <w:lang w:val="en-US" w:eastAsia="zh-CN"/>
        </w:rPr>
        <w:t xml:space="preserve"> 决定，和我们用什么算法解它无关。</w:t>
      </w:r>
    </w:p>
    <w:p w14:paraId="04C71D06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算法的稳定性 ：这是算法的属性。</w:t>
      </w:r>
    </w:p>
    <w:p w14:paraId="4F2FDDE3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gauss1 (无主元) 是数值不稳定的。就算问题本身是良态的（</w:t>
      </w:r>
      <m:oMath>
        <m:r>
          <m:rPr/>
          <w:rPr>
            <w:rFonts w:hint="default" w:ascii="Cambria Math" w:hAnsi="Cambria Math"/>
            <w:sz w:val="24"/>
          </w:rPr>
          <m:t>κ(A)</m:t>
        </m:r>
      </m:oMath>
      <w:r>
        <w:rPr>
          <w:rFonts w:hint="default"/>
          <w:sz w:val="24"/>
          <w:szCs w:val="24"/>
          <w:lang w:val="en-US" w:eastAsia="zh-CN"/>
        </w:rPr>
        <w:t xml:space="preserve"> 很小），只要计算中途出现一个很小的主元（比如</w:t>
      </w:r>
      <m:oMath>
        <m:r>
          <m:rPr/>
          <w:rPr>
            <w:rFonts w:hint="default" w:ascii="Cambria Math" w:hAnsi="Cambria Math"/>
            <w:sz w:val="24"/>
          </w:rPr>
          <m:t>1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−10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  <w:sz w:val="24"/>
          <w:szCs w:val="24"/>
          <w:lang w:val="en-US" w:eastAsia="zh-CN"/>
        </w:rPr>
        <w:t>），除以它就会导致乘数 m 巨大，从而严重放大舍入误差，毁掉整个计算。</w:t>
      </w:r>
    </w:p>
    <w:p w14:paraId="33756AE2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gauss2 (列主元) 是向后稳定 的。这是评价一个数值算法好坏的黄金标准。它保证了计算出的解</w:t>
      </w:r>
      <m:oMath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default"/>
          <w:sz w:val="24"/>
          <w:szCs w:val="24"/>
          <w:lang w:val="en-US" w:eastAsia="zh-CN"/>
        </w:rPr>
        <w:t xml:space="preserve"> 是某个“附近问题”</w:t>
      </w:r>
      <m:oMath>
        <m:r>
          <m:rPr/>
          <w:rPr>
            <w:rFonts w:hint="default" w:ascii="Cambria Math" w:hAnsi="Cambria Math"/>
            <w:sz w:val="24"/>
          </w:rPr>
          <m:t>(A+δA)</m:t>
        </m:r>
        <m:acc>
          <m:accPr>
            <m:ctrlPr>
              <w:rPr>
                <w:rFonts w:hint="default" w:ascii="Cambria Math" w:hAnsi="Cambria Math"/>
                <w:sz w:val="24"/>
              </w:rPr>
            </m:ctrlPr>
          </m:acc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</m:acc>
        <m:r>
          <m:rPr/>
          <w:rPr>
            <w:rFonts w:hint="default" w:ascii="Cambria Math" w:hAnsi="Cambria Math"/>
            <w:sz w:val="24"/>
          </w:rPr>
          <m:t>=b</m:t>
        </m:r>
      </m:oMath>
      <w:r>
        <w:rPr>
          <w:rFonts w:hint="default"/>
          <w:sz w:val="24"/>
          <w:szCs w:val="24"/>
          <w:lang w:val="en-US" w:eastAsia="zh-CN"/>
        </w:rPr>
        <w:t xml:space="preserve"> 的精确解。它通过选主元，确保了乘数 </w:t>
      </w:r>
      <m:oMath>
        <m:r>
          <m:rPr/>
          <w:rPr>
            <w:rFonts w:hint="default" w:ascii="Cambria Math" w:hAnsi="Cambria Math"/>
            <w:sz w:val="24"/>
          </w:rPr>
          <m:t>|m|≤1</m:t>
        </m:r>
      </m:oMath>
      <w:r>
        <w:rPr>
          <w:rFonts w:hint="default"/>
          <w:sz w:val="24"/>
          <w:szCs w:val="24"/>
          <w:lang w:val="en-US" w:eastAsia="zh-CN"/>
        </w:rPr>
        <w:t>，有效控制了计算过程中误差的累积。</w:t>
      </w:r>
    </w:p>
    <w:p w14:paraId="150DD79E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</w:p>
    <w:p w14:paraId="67488A6A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“选主元” 是高斯消去法的灵魂</w:t>
      </w:r>
    </w:p>
    <w:p w14:paraId="3B681544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gauss1 (无主元) 在实际中几乎无用，除非事先知道矩阵是对角占优 或正定的，这些特殊矩阵能保证主元不会过小，从而保证了稳定性。</w:t>
      </w:r>
    </w:p>
    <w:p w14:paraId="23E4477F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gauss2 (列主元) 才是真正在工程和科学计算中被使用的方法。它用很小的额外开销（查找最大值）换取了算法的数值稳定性，使其可以“安全”地用于求解非病态的线性方程组。</w:t>
      </w:r>
    </w:p>
    <w:p w14:paraId="20D3E8BD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算法的局限性：稳定算法也救不了病态问题</w:t>
      </w:r>
    </w:p>
    <w:p w14:paraId="5AB31041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实验清晰地表明：一个稳定的算法（gauss2）也无法在一个病态问题（高条件数矩阵）上得到精确的解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7E21750F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gauss2 保证了计算过程是可靠的，但由于问题本身对微小扰动（舍入误差）极其敏感，所以“病态性”这个“原罪”导致了最终解的巨大误差。</w:t>
      </w:r>
    </w:p>
    <w:p w14:paraId="724D7D99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这告诉我们，在解决实际问题时，我们不仅要选择一个稳定的算法，还必须分析我们问题的“病态性”。如果问题是病态的，可能需要更高精度的算术，或者从根本上重新构建模型（即“正则化”）。</w:t>
      </w:r>
    </w:p>
    <w:p w14:paraId="528E895B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</w:p>
    <w:p w14:paraId="32309FCB">
      <w:pPr>
        <w:numPr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</w:p>
    <w:p w14:paraId="3055BC2D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</w:pPr>
    </w:p>
    <w:p w14:paraId="3A89B447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第三题：（其中gauss2,fwd_sub和back_sub与上题目相同）</w:t>
      </w:r>
    </w:p>
    <w:p w14:paraId="4258E9EC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3246120" cy="3878580"/>
            <wp:effectExtent l="0" t="0" r="0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F230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4564380" cy="4069080"/>
            <wp:effectExtent l="0" t="0" r="762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227A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5585460" cy="1554480"/>
            <wp:effectExtent l="0" t="0" r="762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8342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5433060" cy="1828800"/>
            <wp:effectExtent l="0" t="0" r="762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D181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</w:pPr>
    </w:p>
    <w:p w14:paraId="1EAAE76A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第四题：</w:t>
      </w:r>
    </w:p>
    <w:p w14:paraId="4ED28E96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</w:pPr>
      <w:r>
        <w:drawing>
          <wp:inline distT="0" distB="0" distL="114300" distR="114300">
            <wp:extent cx="3352800" cy="2651760"/>
            <wp:effectExtent l="0" t="0" r="0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08D2">
      <w:pPr>
        <w:numPr>
          <w:ilvl w:val="0"/>
          <w:numId w:val="0"/>
        </w:num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lang w:val="en-US" w:eastAsia="zh-CN"/>
        </w:rPr>
      </w:pPr>
    </w:p>
    <w:sectPr>
      <w:pgSz w:w="11907" w:h="16839"/>
      <w:pgMar w:top="851" w:right="567" w:bottom="1701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A9D4A"/>
    <w:multiLevelType w:val="singleLevel"/>
    <w:tmpl w:val="8ECA9D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B524464"/>
    <w:multiLevelType w:val="singleLevel"/>
    <w:tmpl w:val="6B524464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339"/>
    <w:rsid w:val="00002003"/>
    <w:rsid w:val="000316F8"/>
    <w:rsid w:val="000604F9"/>
    <w:rsid w:val="0006160A"/>
    <w:rsid w:val="000C6962"/>
    <w:rsid w:val="00106FB0"/>
    <w:rsid w:val="00173990"/>
    <w:rsid w:val="001D50B3"/>
    <w:rsid w:val="002B5183"/>
    <w:rsid w:val="002D4339"/>
    <w:rsid w:val="00341FC4"/>
    <w:rsid w:val="00354E50"/>
    <w:rsid w:val="003D1792"/>
    <w:rsid w:val="003F2853"/>
    <w:rsid w:val="00425EB4"/>
    <w:rsid w:val="00445458"/>
    <w:rsid w:val="004D7C8D"/>
    <w:rsid w:val="005820F7"/>
    <w:rsid w:val="00584951"/>
    <w:rsid w:val="005D5F76"/>
    <w:rsid w:val="00637142"/>
    <w:rsid w:val="006C6460"/>
    <w:rsid w:val="006D3D54"/>
    <w:rsid w:val="00734F00"/>
    <w:rsid w:val="0073763C"/>
    <w:rsid w:val="007827C7"/>
    <w:rsid w:val="00804088"/>
    <w:rsid w:val="00823FDC"/>
    <w:rsid w:val="00865FC7"/>
    <w:rsid w:val="00886BEE"/>
    <w:rsid w:val="008960A3"/>
    <w:rsid w:val="008E1AD7"/>
    <w:rsid w:val="00904E9B"/>
    <w:rsid w:val="00920074"/>
    <w:rsid w:val="0092257D"/>
    <w:rsid w:val="00925D07"/>
    <w:rsid w:val="00927064"/>
    <w:rsid w:val="0095382C"/>
    <w:rsid w:val="00A84A9C"/>
    <w:rsid w:val="00A9293B"/>
    <w:rsid w:val="00AD62A2"/>
    <w:rsid w:val="00B3720D"/>
    <w:rsid w:val="00C05A2B"/>
    <w:rsid w:val="00C45333"/>
    <w:rsid w:val="00CC4388"/>
    <w:rsid w:val="00D34D3E"/>
    <w:rsid w:val="00D65753"/>
    <w:rsid w:val="00DA7EFC"/>
    <w:rsid w:val="00E0598F"/>
    <w:rsid w:val="00E60CF5"/>
    <w:rsid w:val="00F06E10"/>
    <w:rsid w:val="00F22ABC"/>
    <w:rsid w:val="00F554C3"/>
    <w:rsid w:val="1FE97FCC"/>
    <w:rsid w:val="245C0BEB"/>
    <w:rsid w:val="2B6D7BEA"/>
    <w:rsid w:val="5BAEC6FE"/>
    <w:rsid w:val="6FAB44B9"/>
    <w:rsid w:val="778F55A9"/>
    <w:rsid w:val="97FB8578"/>
    <w:rsid w:val="BFFF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styleId="14">
    <w:name w:val="Placeholder Text"/>
    <w:basedOn w:val="11"/>
    <w:semiHidden/>
    <w:qFormat/>
    <w:uiPriority w:val="99"/>
    <w:rPr>
      <w:color w:val="808080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character" w:customStyle="1" w:styleId="16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517</Words>
  <Characters>644</Characters>
  <Lines>2</Lines>
  <Paragraphs>1</Paragraphs>
  <TotalTime>90</TotalTime>
  <ScaleCrop>false</ScaleCrop>
  <LinksUpToDate>false</LinksUpToDate>
  <CharactersWithSpaces>681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2018-01-17T07:54:00Z</dcterms:created>
  <dc:creator>NTKO</dc:creator>
  <cp:lastModifiedBy>林鑫</cp:lastModifiedBy>
  <dcterms:modified xsi:type="dcterms:W3CDTF">2025-11-18T11:04:59Z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0BDA4C986EF94B77D1550069E136C2F3_42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