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E24" w:rsidRPr="00EE2E24" w:rsidRDefault="00EE2E24" w:rsidP="00EE2E24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bookmarkStart w:id="0" w:name="_GoBack"/>
      <w:r w:rsidRPr="00EE2E24">
        <w:rPr>
          <w:rFonts w:ascii="微软雅黑" w:eastAsia="微软雅黑" w:hAnsi="微软雅黑" w:hint="eastAsia"/>
          <w:b/>
          <w:sz w:val="32"/>
          <w:szCs w:val="32"/>
        </w:rPr>
        <w:t>问题</w:t>
      </w:r>
      <w:r w:rsidRPr="00EE2E24">
        <w:rPr>
          <w:rFonts w:ascii="微软雅黑" w:eastAsia="微软雅黑" w:hAnsi="微软雅黑"/>
          <w:b/>
          <w:sz w:val="32"/>
          <w:szCs w:val="32"/>
        </w:rPr>
        <w:t>3</w:t>
      </w:r>
      <w:r w:rsidRPr="00EE2E24">
        <w:rPr>
          <w:rFonts w:ascii="微软雅黑" w:eastAsia="微软雅黑" w:hAnsi="微软雅黑" w:hint="eastAsia"/>
          <w:b/>
          <w:sz w:val="32"/>
          <w:szCs w:val="32"/>
        </w:rPr>
        <w:t>：</w:t>
      </w:r>
      <w:r w:rsidRPr="00EE2E24">
        <w:rPr>
          <w:rFonts w:ascii="微软雅黑" w:eastAsia="微软雅黑" w:hAnsi="微软雅黑"/>
          <w:b/>
          <w:sz w:val="32"/>
          <w:szCs w:val="32"/>
        </w:rPr>
        <w:t>"苏超"热潮</w:t>
      </w:r>
      <w:r>
        <w:rPr>
          <w:rFonts w:ascii="微软雅黑" w:eastAsia="微软雅黑" w:hAnsi="微软雅黑" w:hint="eastAsia"/>
          <w:b/>
          <w:sz w:val="32"/>
          <w:szCs w:val="32"/>
        </w:rPr>
        <w:t>，</w:t>
      </w:r>
      <w:r w:rsidRPr="00EE2E24">
        <w:rPr>
          <w:rFonts w:ascii="微软雅黑" w:eastAsia="微软雅黑" w:hAnsi="微软雅黑"/>
          <w:b/>
          <w:sz w:val="32"/>
          <w:szCs w:val="32"/>
        </w:rPr>
        <w:t>助推江苏经济</w:t>
      </w:r>
    </w:p>
    <w:p w:rsidR="00EE2E24" w:rsidRPr="00EE2E24" w:rsidRDefault="00EE2E24" w:rsidP="00EE2E24">
      <w:pPr>
        <w:spacing w:line="360" w:lineRule="auto"/>
        <w:rPr>
          <w:rFonts w:ascii="宋体" w:eastAsia="宋体" w:hAnsi="宋体"/>
        </w:rPr>
      </w:pPr>
    </w:p>
    <w:bookmarkEnd w:id="0"/>
    <w:p w:rsidR="00EE2E24" w:rsidRPr="00116AE3" w:rsidRDefault="00EE2E24" w:rsidP="00EE2E2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16AE3">
        <w:rPr>
          <w:rFonts w:ascii="Times New Roman" w:eastAsia="宋体" w:hAnsi="Times New Roman" w:cs="Times New Roman"/>
          <w:sz w:val="24"/>
          <w:szCs w:val="24"/>
        </w:rPr>
        <w:t>问题背景：</w:t>
      </w:r>
    </w:p>
    <w:p w:rsidR="00EE2E24" w:rsidRPr="00116AE3" w:rsidRDefault="00EE2E24" w:rsidP="00EE2E24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116AE3">
        <w:rPr>
          <w:rFonts w:ascii="Times New Roman" w:eastAsia="宋体" w:hAnsi="Times New Roman" w:cs="Times New Roman"/>
          <w:sz w:val="24"/>
          <w:szCs w:val="24"/>
        </w:rPr>
        <w:t>江苏省作为长三角经济核心区，其</w:t>
      </w:r>
      <w:r w:rsidRPr="00116AE3">
        <w:rPr>
          <w:rFonts w:ascii="Times New Roman" w:eastAsia="宋体" w:hAnsi="Times New Roman" w:cs="Times New Roman"/>
          <w:sz w:val="24"/>
          <w:szCs w:val="24"/>
        </w:rPr>
        <w:t>13</w:t>
      </w:r>
      <w:r w:rsidRPr="00116AE3">
        <w:rPr>
          <w:rFonts w:ascii="Times New Roman" w:eastAsia="宋体" w:hAnsi="Times New Roman" w:cs="Times New Roman"/>
          <w:sz w:val="24"/>
          <w:szCs w:val="24"/>
        </w:rPr>
        <w:t>个地级市的发展呈现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苏南领跑、苏中追赶、苏北转型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的梯度特征。</w:t>
      </w:r>
      <w:r w:rsidRPr="00116AE3">
        <w:rPr>
          <w:rFonts w:ascii="Times New Roman" w:eastAsia="宋体" w:hAnsi="Times New Roman" w:cs="Times New Roman"/>
          <w:sz w:val="24"/>
          <w:szCs w:val="24"/>
        </w:rPr>
        <w:t>2025</w:t>
      </w:r>
      <w:r w:rsidRPr="00116AE3">
        <w:rPr>
          <w:rFonts w:ascii="Times New Roman" w:eastAsia="宋体" w:hAnsi="Times New Roman" w:cs="Times New Roman"/>
          <w:sz w:val="24"/>
          <w:szCs w:val="24"/>
        </w:rPr>
        <w:t>年</w:t>
      </w:r>
      <w:r w:rsidRPr="00116AE3">
        <w:rPr>
          <w:rFonts w:ascii="Times New Roman" w:eastAsia="宋体" w:hAnsi="Times New Roman" w:cs="Times New Roman"/>
          <w:sz w:val="24"/>
          <w:szCs w:val="24"/>
        </w:rPr>
        <w:t>，随着</w:t>
      </w:r>
      <w:bookmarkStart w:id="1" w:name="OLE_LINK4"/>
      <w:bookmarkStart w:id="2" w:name="OLE_LINK5"/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苏超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bookmarkEnd w:id="1"/>
      <w:bookmarkEnd w:id="2"/>
      <w:r w:rsidRPr="00116AE3">
        <w:rPr>
          <w:rFonts w:ascii="Times New Roman" w:eastAsia="宋体" w:hAnsi="Times New Roman" w:cs="Times New Roman"/>
          <w:sz w:val="24"/>
          <w:szCs w:val="24"/>
        </w:rPr>
        <w:t>（江苏城市超级联赛）等区域性赛事热度攀升，城市软实力（如体育基础设施投入、赛事经济带动效应）成为综合实力评价的新维度。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苏超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赛事直接带动体育场馆建设、门票及周边消费，</w:t>
      </w:r>
      <w:r w:rsidRPr="00116AE3">
        <w:rPr>
          <w:rFonts w:ascii="Times New Roman" w:eastAsia="宋体" w:hAnsi="Times New Roman" w:cs="Times New Roman"/>
          <w:sz w:val="24"/>
          <w:szCs w:val="24"/>
        </w:rPr>
        <w:t>2024</w:t>
      </w:r>
      <w:r w:rsidRPr="00116AE3">
        <w:rPr>
          <w:rFonts w:ascii="Times New Roman" w:eastAsia="宋体" w:hAnsi="Times New Roman" w:cs="Times New Roman"/>
          <w:sz w:val="24"/>
          <w:szCs w:val="24"/>
        </w:rPr>
        <w:t>年苏州赛区单场平均创造</w:t>
      </w:r>
      <w:r w:rsidRPr="00116AE3">
        <w:rPr>
          <w:rFonts w:ascii="Times New Roman" w:eastAsia="宋体" w:hAnsi="Times New Roman" w:cs="Times New Roman"/>
          <w:sz w:val="24"/>
          <w:szCs w:val="24"/>
        </w:rPr>
        <w:t>500</w:t>
      </w:r>
      <w:r w:rsidRPr="00116AE3">
        <w:rPr>
          <w:rFonts w:ascii="Times New Roman" w:eastAsia="宋体" w:hAnsi="Times New Roman" w:cs="Times New Roman"/>
          <w:sz w:val="24"/>
          <w:szCs w:val="24"/>
        </w:rPr>
        <w:t>万元消费额（数据来源：江苏省体育局）。间接促进旅游、餐饮等第三产业，南京赛区周边酒店入住率提升</w:t>
      </w:r>
      <w:r w:rsidRPr="00116AE3">
        <w:rPr>
          <w:rFonts w:ascii="Times New Roman" w:eastAsia="宋体" w:hAnsi="Times New Roman" w:cs="Times New Roman"/>
          <w:sz w:val="24"/>
          <w:szCs w:val="24"/>
        </w:rPr>
        <w:t>23%</w:t>
      </w:r>
      <w:r w:rsidRPr="00116AE3">
        <w:rPr>
          <w:rFonts w:ascii="Times New Roman" w:eastAsia="宋体" w:hAnsi="Times New Roman" w:cs="Times New Roman"/>
          <w:sz w:val="24"/>
          <w:szCs w:val="24"/>
        </w:rPr>
        <w:t>。长期看，赛事品牌效应吸引企业赞助投资，如南通市通过赛事签约</w:t>
      </w:r>
      <w:r w:rsidRPr="00116AE3">
        <w:rPr>
          <w:rFonts w:ascii="Times New Roman" w:eastAsia="宋体" w:hAnsi="Times New Roman" w:cs="Times New Roman"/>
          <w:sz w:val="24"/>
          <w:szCs w:val="24"/>
        </w:rPr>
        <w:t>3</w:t>
      </w:r>
      <w:r w:rsidRPr="00116AE3">
        <w:rPr>
          <w:rFonts w:ascii="Times New Roman" w:eastAsia="宋体" w:hAnsi="Times New Roman" w:cs="Times New Roman"/>
          <w:sz w:val="24"/>
          <w:szCs w:val="24"/>
        </w:rPr>
        <w:t>个体育装备制造项目，总投资达</w:t>
      </w:r>
      <w:r w:rsidRPr="00116AE3">
        <w:rPr>
          <w:rFonts w:ascii="Times New Roman" w:eastAsia="宋体" w:hAnsi="Times New Roman" w:cs="Times New Roman"/>
          <w:sz w:val="24"/>
          <w:szCs w:val="24"/>
        </w:rPr>
        <w:t>12</w:t>
      </w:r>
      <w:r w:rsidRPr="00116AE3">
        <w:rPr>
          <w:rFonts w:ascii="Times New Roman" w:eastAsia="宋体" w:hAnsi="Times New Roman" w:cs="Times New Roman"/>
          <w:sz w:val="24"/>
          <w:szCs w:val="24"/>
        </w:rPr>
        <w:t>亿元。体育经济正成为江苏高质量发展的新动能。相关</w:t>
      </w:r>
      <w:r w:rsidRPr="00116AE3">
        <w:rPr>
          <w:rFonts w:ascii="Times New Roman" w:eastAsia="宋体" w:hAnsi="Times New Roman" w:cs="Times New Roman"/>
          <w:sz w:val="24"/>
          <w:szCs w:val="24"/>
        </w:rPr>
        <w:t>数据来源</w:t>
      </w:r>
      <w:r w:rsidRPr="00116AE3">
        <w:rPr>
          <w:rFonts w:ascii="Times New Roman" w:eastAsia="宋体" w:hAnsi="Times New Roman" w:cs="Times New Roman"/>
          <w:sz w:val="24"/>
          <w:szCs w:val="24"/>
        </w:rPr>
        <w:t>可以参考</w:t>
      </w:r>
      <w:r w:rsidRPr="00116AE3">
        <w:rPr>
          <w:rFonts w:ascii="Times New Roman" w:eastAsia="宋体" w:hAnsi="Times New Roman" w:cs="Times New Roman"/>
          <w:sz w:val="24"/>
          <w:szCs w:val="24"/>
        </w:rPr>
        <w:t>国家统计局提供的规模以上工业企业数据，与江苏省统计局的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体育产业专项调查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数据可形成互补。</w:t>
      </w:r>
      <w:r w:rsidRPr="00116AE3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:rsidR="00EE2E24" w:rsidRPr="00116AE3" w:rsidRDefault="00EE2E24" w:rsidP="00EE2E24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116AE3">
        <w:rPr>
          <w:rFonts w:ascii="Times New Roman" w:eastAsia="宋体" w:hAnsi="Times New Roman" w:cs="Times New Roman"/>
          <w:sz w:val="24"/>
          <w:szCs w:val="24"/>
        </w:rPr>
        <w:t>2.</w:t>
      </w:r>
      <w:r w:rsidRPr="00116AE3">
        <w:rPr>
          <w:rFonts w:ascii="Times New Roman" w:eastAsia="宋体" w:hAnsi="Times New Roman" w:cs="Times New Roman"/>
          <w:sz w:val="24"/>
          <w:szCs w:val="24"/>
        </w:rPr>
        <w:t>请你们团队收集相关数据，完成以下问题：</w:t>
      </w:r>
    </w:p>
    <w:p w:rsidR="00EE2E24" w:rsidRPr="00116AE3" w:rsidRDefault="00EE2E24" w:rsidP="00EE2E24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116AE3">
        <w:rPr>
          <w:rFonts w:ascii="Times New Roman" w:eastAsia="宋体" w:hAnsi="Times New Roman" w:cs="Times New Roman"/>
          <w:b/>
          <w:sz w:val="24"/>
          <w:szCs w:val="24"/>
        </w:rPr>
        <w:t>问题</w:t>
      </w:r>
      <w:r w:rsidRPr="00116AE3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116AE3">
        <w:rPr>
          <w:rFonts w:ascii="Times New Roman" w:eastAsia="宋体" w:hAnsi="Times New Roman" w:cs="Times New Roman"/>
          <w:b/>
          <w:sz w:val="24"/>
          <w:szCs w:val="24"/>
        </w:rPr>
        <w:t>：数据关联建模</w:t>
      </w:r>
    </w:p>
    <w:p w:rsidR="00EE2E24" w:rsidRPr="00116AE3" w:rsidRDefault="00EE2E24" w:rsidP="00116AE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6AE3">
        <w:rPr>
          <w:rFonts w:ascii="Times New Roman" w:eastAsia="宋体" w:hAnsi="Times New Roman" w:cs="Times New Roman"/>
          <w:sz w:val="24"/>
          <w:szCs w:val="24"/>
        </w:rPr>
        <w:t>建立赛事热度指数（</w:t>
      </w:r>
      <w:r w:rsidRPr="00116AE3">
        <w:rPr>
          <w:rFonts w:ascii="Times New Roman" w:eastAsia="宋体" w:hAnsi="Times New Roman" w:cs="Times New Roman"/>
          <w:sz w:val="24"/>
          <w:szCs w:val="24"/>
        </w:rPr>
        <w:t>SHI</w:t>
      </w:r>
      <w:r w:rsidRPr="00116AE3">
        <w:rPr>
          <w:rFonts w:ascii="Times New Roman" w:eastAsia="宋体" w:hAnsi="Times New Roman" w:cs="Times New Roman"/>
          <w:sz w:val="24"/>
          <w:szCs w:val="24"/>
        </w:rPr>
        <w:t>）与区域消费增长率的量化关系，构建包含门票收入、周边消费、媒体曝光度的</w:t>
      </w:r>
      <w:r w:rsidRPr="00116AE3">
        <w:rPr>
          <w:rFonts w:ascii="Times New Roman" w:eastAsia="宋体" w:hAnsi="Times New Roman" w:cs="Times New Roman"/>
          <w:sz w:val="24"/>
          <w:szCs w:val="24"/>
        </w:rPr>
        <w:t>SHI</w:t>
      </w:r>
      <w:r w:rsidRPr="00116AE3">
        <w:rPr>
          <w:rFonts w:ascii="Times New Roman" w:eastAsia="宋体" w:hAnsi="Times New Roman" w:cs="Times New Roman"/>
          <w:sz w:val="24"/>
          <w:szCs w:val="24"/>
        </w:rPr>
        <w:t>计算公式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，</w:t>
      </w:r>
      <w:r w:rsidRPr="00116AE3">
        <w:rPr>
          <w:rFonts w:ascii="Times New Roman" w:eastAsia="宋体" w:hAnsi="Times New Roman" w:cs="Times New Roman"/>
          <w:sz w:val="24"/>
          <w:szCs w:val="24"/>
        </w:rPr>
        <w:t>使用</w:t>
      </w:r>
      <w:r w:rsidRPr="00116AE3">
        <w:rPr>
          <w:rFonts w:ascii="Times New Roman" w:eastAsia="宋体" w:hAnsi="Times New Roman" w:cs="Times New Roman"/>
          <w:sz w:val="24"/>
          <w:szCs w:val="24"/>
        </w:rPr>
        <w:t>Pearson</w:t>
      </w:r>
      <w:r w:rsidRPr="00116AE3">
        <w:rPr>
          <w:rFonts w:ascii="Times New Roman" w:eastAsia="宋体" w:hAnsi="Times New Roman" w:cs="Times New Roman"/>
          <w:sz w:val="24"/>
          <w:szCs w:val="24"/>
        </w:rPr>
        <w:t>相关系数验证</w:t>
      </w:r>
      <w:r w:rsidRPr="00116AE3">
        <w:rPr>
          <w:rFonts w:ascii="Times New Roman" w:eastAsia="宋体" w:hAnsi="Times New Roman" w:cs="Times New Roman"/>
          <w:sz w:val="24"/>
          <w:szCs w:val="24"/>
        </w:rPr>
        <w:t>SHI</w:t>
      </w:r>
      <w:r w:rsidRPr="00116AE3">
        <w:rPr>
          <w:rFonts w:ascii="Times New Roman" w:eastAsia="宋体" w:hAnsi="Times New Roman" w:cs="Times New Roman"/>
          <w:sz w:val="24"/>
          <w:szCs w:val="24"/>
        </w:rPr>
        <w:t>与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无锡、</w:t>
      </w:r>
      <w:r w:rsidRPr="00116AE3">
        <w:rPr>
          <w:rFonts w:ascii="Times New Roman" w:eastAsia="宋体" w:hAnsi="Times New Roman" w:cs="Times New Roman"/>
          <w:sz w:val="24"/>
          <w:szCs w:val="24"/>
        </w:rPr>
        <w:t>南京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、</w:t>
      </w:r>
      <w:r w:rsidRPr="00116AE3">
        <w:rPr>
          <w:rFonts w:ascii="Times New Roman" w:eastAsia="宋体" w:hAnsi="Times New Roman" w:cs="Times New Roman"/>
          <w:sz w:val="24"/>
          <w:szCs w:val="24"/>
        </w:rPr>
        <w:t>苏州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等</w:t>
      </w:r>
      <w:r w:rsidRPr="00116AE3">
        <w:rPr>
          <w:rFonts w:ascii="Times New Roman" w:eastAsia="宋体" w:hAnsi="Times New Roman" w:cs="Times New Roman"/>
          <w:sz w:val="24"/>
          <w:szCs w:val="24"/>
        </w:rPr>
        <w:t>社会消费品零售总额的关联性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EE2E24" w:rsidRPr="00116AE3" w:rsidRDefault="00EE2E24" w:rsidP="00EE2E24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116AE3">
        <w:rPr>
          <w:rFonts w:ascii="Times New Roman" w:eastAsia="宋体" w:hAnsi="Times New Roman" w:cs="Times New Roman"/>
          <w:b/>
          <w:sz w:val="24"/>
          <w:szCs w:val="24"/>
        </w:rPr>
        <w:t>问题</w:t>
      </w:r>
      <w:r w:rsidRPr="00116AE3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116AE3">
        <w:rPr>
          <w:rFonts w:ascii="Times New Roman" w:eastAsia="宋体" w:hAnsi="Times New Roman" w:cs="Times New Roman"/>
          <w:b/>
          <w:sz w:val="24"/>
          <w:szCs w:val="24"/>
        </w:rPr>
        <w:t>：经济贡献预测</w:t>
      </w:r>
    </w:p>
    <w:p w:rsidR="00116AE3" w:rsidRPr="00116AE3" w:rsidRDefault="00116AE3" w:rsidP="00116AE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6AE3">
        <w:rPr>
          <w:rFonts w:ascii="Times New Roman" w:eastAsia="宋体" w:hAnsi="Times New Roman" w:cs="Times New Roman"/>
          <w:sz w:val="24"/>
          <w:szCs w:val="24"/>
        </w:rPr>
        <w:t>选择</w:t>
      </w:r>
      <w:r w:rsidRPr="00116AE3">
        <w:rPr>
          <w:rFonts w:ascii="Times New Roman" w:eastAsia="宋体" w:hAnsi="Times New Roman" w:cs="Times New Roman"/>
          <w:sz w:val="24"/>
          <w:szCs w:val="24"/>
        </w:rPr>
        <w:t>赛事频次、企业赞助增长率、体育就业人口</w:t>
      </w:r>
      <w:r w:rsidRPr="00116AE3">
        <w:rPr>
          <w:rFonts w:ascii="Times New Roman" w:eastAsia="宋体" w:hAnsi="Times New Roman" w:cs="Times New Roman"/>
          <w:sz w:val="24"/>
          <w:szCs w:val="24"/>
        </w:rPr>
        <w:t>等指标，构建</w:t>
      </w:r>
      <w:r w:rsidR="00EE2E24" w:rsidRPr="00116AE3">
        <w:rPr>
          <w:rFonts w:ascii="Times New Roman" w:eastAsia="宋体" w:hAnsi="Times New Roman" w:cs="Times New Roman"/>
          <w:sz w:val="24"/>
          <w:szCs w:val="24"/>
        </w:rPr>
        <w:t>多元回归模型预测苏超对</w:t>
      </w:r>
      <w:r w:rsidRPr="00116AE3">
        <w:rPr>
          <w:rFonts w:ascii="Times New Roman" w:eastAsia="宋体" w:hAnsi="Times New Roman" w:cs="Times New Roman"/>
          <w:sz w:val="24"/>
          <w:szCs w:val="24"/>
        </w:rPr>
        <w:t>江苏省</w:t>
      </w:r>
      <w:r w:rsidR="00EE2E24" w:rsidRPr="00116AE3">
        <w:rPr>
          <w:rFonts w:ascii="Times New Roman" w:eastAsia="宋体" w:hAnsi="Times New Roman" w:cs="Times New Roman"/>
          <w:sz w:val="24"/>
          <w:szCs w:val="24"/>
        </w:rPr>
        <w:t>GDP</w:t>
      </w:r>
      <w:r w:rsidR="00EE2E24" w:rsidRPr="00116AE3">
        <w:rPr>
          <w:rFonts w:ascii="Times New Roman" w:eastAsia="宋体" w:hAnsi="Times New Roman" w:cs="Times New Roman"/>
          <w:sz w:val="24"/>
          <w:szCs w:val="24"/>
        </w:rPr>
        <w:t>的贡献率</w:t>
      </w:r>
      <w:r w:rsidRPr="00116AE3">
        <w:rPr>
          <w:rFonts w:ascii="Times New Roman" w:eastAsia="宋体" w:hAnsi="Times New Roman" w:cs="Times New Roman"/>
          <w:sz w:val="24"/>
          <w:szCs w:val="24"/>
        </w:rPr>
        <w:t>，给出</w:t>
      </w:r>
      <w:r w:rsidR="00EE2E24" w:rsidRPr="00116AE3">
        <w:rPr>
          <w:rFonts w:ascii="Times New Roman" w:eastAsia="宋体" w:hAnsi="Times New Roman" w:cs="Times New Roman"/>
          <w:sz w:val="24"/>
          <w:szCs w:val="24"/>
        </w:rPr>
        <w:t>2026</w:t>
      </w:r>
      <w:r w:rsidR="00EE2E24" w:rsidRPr="00116AE3">
        <w:rPr>
          <w:rFonts w:ascii="Times New Roman" w:eastAsia="宋体" w:hAnsi="Times New Roman" w:cs="Times New Roman"/>
          <w:sz w:val="24"/>
          <w:szCs w:val="24"/>
        </w:rPr>
        <w:t>年经济贡献预测值及</w:t>
      </w:r>
      <w:r w:rsidR="00EE2E24" w:rsidRPr="00116AE3">
        <w:rPr>
          <w:rFonts w:ascii="Times New Roman" w:eastAsia="宋体" w:hAnsi="Times New Roman" w:cs="Times New Roman"/>
          <w:sz w:val="24"/>
          <w:szCs w:val="24"/>
        </w:rPr>
        <w:t>95%</w:t>
      </w:r>
      <w:r w:rsidR="00EE2E24" w:rsidRPr="00116AE3">
        <w:rPr>
          <w:rFonts w:ascii="Times New Roman" w:eastAsia="宋体" w:hAnsi="Times New Roman" w:cs="Times New Roman"/>
          <w:sz w:val="24"/>
          <w:szCs w:val="24"/>
        </w:rPr>
        <w:t>置信区间</w:t>
      </w:r>
      <w:r w:rsidRPr="00116AE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EE2E24" w:rsidRPr="00116AE3" w:rsidRDefault="00EE2E24" w:rsidP="00EE2E24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116AE3">
        <w:rPr>
          <w:rFonts w:ascii="Times New Roman" w:eastAsia="宋体" w:hAnsi="Times New Roman" w:cs="Times New Roman"/>
          <w:b/>
          <w:sz w:val="24"/>
          <w:szCs w:val="24"/>
        </w:rPr>
        <w:t>问题</w:t>
      </w:r>
      <w:r w:rsidRPr="00116AE3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Pr="00116AE3">
        <w:rPr>
          <w:rFonts w:ascii="Times New Roman" w:eastAsia="宋体" w:hAnsi="Times New Roman" w:cs="Times New Roman"/>
          <w:b/>
          <w:sz w:val="24"/>
          <w:szCs w:val="24"/>
        </w:rPr>
        <w:t>：政策仿真验证</w:t>
      </w:r>
    </w:p>
    <w:p w:rsidR="00A23679" w:rsidRPr="00116AE3" w:rsidRDefault="00EE2E24" w:rsidP="00116AE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6AE3">
        <w:rPr>
          <w:rFonts w:ascii="Times New Roman" w:eastAsia="宋体" w:hAnsi="Times New Roman" w:cs="Times New Roman"/>
          <w:sz w:val="24"/>
          <w:szCs w:val="24"/>
        </w:rPr>
        <w:t>设计蒙特卡洛模拟验证模型稳健性，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假设：</w:t>
      </w:r>
      <w:r w:rsidRPr="00116AE3">
        <w:rPr>
          <w:rFonts w:ascii="Times New Roman" w:eastAsia="宋体" w:hAnsi="Times New Roman" w:cs="Times New Roman"/>
          <w:sz w:val="24"/>
          <w:szCs w:val="24"/>
        </w:rPr>
        <w:t>观众人数波动（</w:t>
      </w:r>
      <w:r w:rsidRPr="00116AE3">
        <w:rPr>
          <w:rFonts w:ascii="Times New Roman" w:eastAsia="宋体" w:hAnsi="Times New Roman" w:cs="Times New Roman"/>
          <w:sz w:val="24"/>
          <w:szCs w:val="24"/>
        </w:rPr>
        <w:t>±30%</w:t>
      </w:r>
      <w:r w:rsidRPr="00116AE3">
        <w:rPr>
          <w:rFonts w:ascii="Times New Roman" w:eastAsia="宋体" w:hAnsi="Times New Roman" w:cs="Times New Roman"/>
          <w:sz w:val="24"/>
          <w:szCs w:val="24"/>
        </w:rPr>
        <w:t>）、赞助金额变化（</w:t>
      </w:r>
      <w:r w:rsidRPr="00116AE3">
        <w:rPr>
          <w:rFonts w:ascii="Times New Roman" w:eastAsia="宋体" w:hAnsi="Times New Roman" w:cs="Times New Roman"/>
          <w:sz w:val="24"/>
          <w:szCs w:val="24"/>
        </w:rPr>
        <w:t>±50%</w:t>
      </w:r>
      <w:r w:rsidRPr="00116AE3">
        <w:rPr>
          <w:rFonts w:ascii="Times New Roman" w:eastAsia="宋体" w:hAnsi="Times New Roman" w:cs="Times New Roman"/>
          <w:sz w:val="24"/>
          <w:szCs w:val="24"/>
        </w:rPr>
        <w:t>）等扰动参数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，给出参数灵敏度分析。给出</w:t>
      </w:r>
      <w:r w:rsidRPr="00116AE3">
        <w:rPr>
          <w:rFonts w:ascii="Times New Roman" w:eastAsia="宋体" w:hAnsi="Times New Roman" w:cs="Times New Roman"/>
          <w:sz w:val="24"/>
          <w:szCs w:val="24"/>
        </w:rPr>
        <w:t>对江苏省</w:t>
      </w:r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体育</w:t>
      </w:r>
      <w:r w:rsidRPr="00116AE3">
        <w:rPr>
          <w:rFonts w:ascii="Times New Roman" w:eastAsia="宋体" w:hAnsi="Times New Roman" w:cs="Times New Roman"/>
          <w:sz w:val="24"/>
          <w:szCs w:val="24"/>
        </w:rPr>
        <w:t>+</w:t>
      </w:r>
      <w:proofErr w:type="gramStart"/>
      <w:r w:rsidRPr="00116AE3">
        <w:rPr>
          <w:rFonts w:ascii="Times New Roman" w:eastAsia="宋体" w:hAnsi="Times New Roman" w:cs="Times New Roman"/>
          <w:sz w:val="24"/>
          <w:szCs w:val="24"/>
        </w:rPr>
        <w:t>文旅</w:t>
      </w:r>
      <w:proofErr w:type="gramEnd"/>
      <w:r w:rsidRPr="00116AE3">
        <w:rPr>
          <w:rFonts w:ascii="Times New Roman" w:eastAsia="宋体" w:hAnsi="Times New Roman" w:cs="Times New Roman"/>
          <w:sz w:val="24"/>
          <w:szCs w:val="24"/>
        </w:rPr>
        <w:t>"</w:t>
      </w:r>
      <w:r w:rsidRPr="00116AE3">
        <w:rPr>
          <w:rFonts w:ascii="Times New Roman" w:eastAsia="宋体" w:hAnsi="Times New Roman" w:cs="Times New Roman"/>
          <w:sz w:val="24"/>
          <w:szCs w:val="24"/>
        </w:rPr>
        <w:t>融合发展的政策</w:t>
      </w:r>
      <w:r w:rsidRPr="00116AE3">
        <w:rPr>
          <w:rFonts w:ascii="Times New Roman" w:eastAsia="宋体" w:hAnsi="Times New Roman" w:cs="Times New Roman"/>
          <w:sz w:val="24"/>
          <w:szCs w:val="24"/>
        </w:rPr>
        <w:lastRenderedPageBreak/>
        <w:t>建议</w:t>
      </w:r>
      <w:r w:rsidR="00116AE3" w:rsidRPr="00116AE3">
        <w:rPr>
          <w:rFonts w:ascii="Times New Roman" w:eastAsia="宋体" w:hAnsi="Times New Roman" w:cs="Times New Roman"/>
          <w:sz w:val="24"/>
          <w:szCs w:val="24"/>
        </w:rPr>
        <w:t>。</w:t>
      </w:r>
    </w:p>
    <w:sectPr w:rsidR="00A23679" w:rsidRPr="00116AE3" w:rsidSect="00116AE3">
      <w:type w:val="continuous"/>
      <w:pgSz w:w="11419" w:h="15621" w:code="9"/>
      <w:pgMar w:top="1134" w:right="1134" w:bottom="851" w:left="1134" w:header="680" w:footer="454" w:gutter="0"/>
      <w:cols w:space="425"/>
      <w:docGrid w:type="lines"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D042F5"/>
    <w:multiLevelType w:val="hybridMultilevel"/>
    <w:tmpl w:val="035631CA"/>
    <w:lvl w:ilvl="0" w:tplc="476AFC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evenAndOddHeaders/>
  <w:drawingGridHorizontalSpacing w:val="105"/>
  <w:drawingGridVerticalSpacing w:val="29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E24"/>
    <w:rsid w:val="00116AE3"/>
    <w:rsid w:val="00345E71"/>
    <w:rsid w:val="00A23679"/>
    <w:rsid w:val="00EE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005F"/>
  <w15:chartTrackingRefBased/>
  <w15:docId w15:val="{25A53723-D906-48AB-BFEC-867889D6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2E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1</cp:revision>
  <dcterms:created xsi:type="dcterms:W3CDTF">2025-07-05T12:10:00Z</dcterms:created>
  <dcterms:modified xsi:type="dcterms:W3CDTF">2025-07-05T12:25:00Z</dcterms:modified>
</cp:coreProperties>
</file>